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EFEF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EFEFE"/>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EFEFE"/>
          <w:lang w:val="en-US" w:eastAsia="zh-CN" w:bidi="ar"/>
        </w:rPr>
        <w:t>焦作市住房和城乡建设局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EFEFE"/>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EFEFE"/>
          <w:lang w:val="en-US" w:eastAsia="zh-CN" w:bidi="ar"/>
        </w:rPr>
        <w:t>关于建立房屋和市政领域招标文件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微软雅黑" w:hAnsi="微软雅黑" w:eastAsia="微软雅黑" w:cs="微软雅黑"/>
          <w:b w:val="0"/>
          <w:bCs w:val="0"/>
          <w:i w:val="0"/>
          <w:iCs w:val="0"/>
          <w:caps w:val="0"/>
          <w:color w:val="auto"/>
          <w:spacing w:val="0"/>
          <w:kern w:val="0"/>
          <w:sz w:val="33"/>
          <w:szCs w:val="33"/>
          <w:shd w:val="clear" w:fill="FEFEFE"/>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EFEFE"/>
          <w:lang w:val="en-US" w:eastAsia="zh-CN" w:bidi="ar"/>
        </w:rPr>
        <w:t>公平竞争审查制度的通知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right="0" w:firstLine="660" w:firstLineChars="200"/>
        <w:jc w:val="both"/>
        <w:textAlignment w:val="auto"/>
        <w:rPr>
          <w:rFonts w:hint="eastAsia" w:ascii="微软雅黑" w:hAnsi="微软雅黑" w:eastAsia="微软雅黑" w:cs="微软雅黑"/>
          <w:b w:val="0"/>
          <w:bCs w:val="0"/>
          <w:i w:val="0"/>
          <w:iCs w:val="0"/>
          <w:caps w:val="0"/>
          <w:color w:val="auto"/>
          <w:spacing w:val="0"/>
          <w:kern w:val="0"/>
          <w:sz w:val="33"/>
          <w:szCs w:val="33"/>
          <w:shd w:val="clear" w:fill="FEFEF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ascii="Calibri" w:hAnsi="Calibri" w:cs="Calibri"/>
          <w:b w:val="0"/>
          <w:bCs w:val="0"/>
          <w:color w:val="auto"/>
          <w:sz w:val="21"/>
          <w:szCs w:val="21"/>
        </w:rPr>
      </w:pPr>
      <w:r>
        <w:rPr>
          <w:rFonts w:ascii="仿宋_GB2312" w:hAnsi="Calibri" w:eastAsia="仿宋_GB2312" w:cs="仿宋_GB2312"/>
          <w:b w:val="0"/>
          <w:bCs w:val="0"/>
          <w:i w:val="0"/>
          <w:iCs w:val="0"/>
          <w:caps w:val="0"/>
          <w:color w:val="auto"/>
          <w:spacing w:val="0"/>
          <w:kern w:val="0"/>
          <w:sz w:val="32"/>
          <w:szCs w:val="32"/>
          <w:shd w:val="clear" w:fill="FEFEFE"/>
          <w:lang w:val="en-US" w:eastAsia="zh-CN" w:bidi="ar"/>
        </w:rPr>
        <w:t>各县</w:t>
      </w:r>
      <w:r>
        <w:rPr>
          <w:rFonts w:hint="eastAsia" w:ascii="仿宋_GB2312" w:hAnsi="Calibri" w:eastAsia="仿宋_GB2312" w:cs="仿宋_GB2312"/>
          <w:b w:val="0"/>
          <w:bCs w:val="0"/>
          <w:i w:val="0"/>
          <w:iCs w:val="0"/>
          <w:caps w:val="0"/>
          <w:color w:val="auto"/>
          <w:spacing w:val="0"/>
          <w:kern w:val="0"/>
          <w:sz w:val="32"/>
          <w:szCs w:val="32"/>
          <w:shd w:val="clear" w:fill="FEFEFE"/>
          <w:lang w:val="en-US" w:eastAsia="zh-CN" w:bidi="ar"/>
        </w:rPr>
        <w:t>（市）</w:t>
      </w:r>
      <w:r>
        <w:rPr>
          <w:rFonts w:ascii="仿宋_GB2312" w:hAnsi="Calibri" w:eastAsia="仿宋_GB2312" w:cs="仿宋_GB2312"/>
          <w:b w:val="0"/>
          <w:bCs w:val="0"/>
          <w:i w:val="0"/>
          <w:iCs w:val="0"/>
          <w:caps w:val="0"/>
          <w:color w:val="auto"/>
          <w:spacing w:val="0"/>
          <w:kern w:val="0"/>
          <w:sz w:val="32"/>
          <w:szCs w:val="32"/>
          <w:shd w:val="clear" w:fill="FEFEFE"/>
          <w:lang w:val="en-US" w:eastAsia="zh-CN" w:bidi="ar"/>
        </w:rPr>
        <w:t>区</w:t>
      </w:r>
      <w:r>
        <w:rPr>
          <w:rFonts w:hint="eastAsia" w:ascii="仿宋_GB2312" w:hAnsi="Calibri" w:eastAsia="仿宋_GB2312" w:cs="仿宋_GB2312"/>
          <w:b w:val="0"/>
          <w:bCs w:val="0"/>
          <w:i w:val="0"/>
          <w:iCs w:val="0"/>
          <w:caps w:val="0"/>
          <w:color w:val="auto"/>
          <w:spacing w:val="0"/>
          <w:kern w:val="0"/>
          <w:sz w:val="32"/>
          <w:szCs w:val="32"/>
          <w:shd w:val="clear" w:fill="FEFEFE"/>
          <w:lang w:val="en-US" w:eastAsia="zh-CN" w:bidi="ar"/>
        </w:rPr>
        <w:t>住房城乡建设局</w:t>
      </w:r>
      <w:r>
        <w:rPr>
          <w:rFonts w:ascii="仿宋_GB2312" w:hAnsi="Calibri" w:eastAsia="仿宋_GB2312" w:cs="仿宋_GB2312"/>
          <w:b w:val="0"/>
          <w:bCs w:val="0"/>
          <w:i w:val="0"/>
          <w:iCs w:val="0"/>
          <w:caps w:val="0"/>
          <w:color w:val="auto"/>
          <w:spacing w:val="0"/>
          <w:kern w:val="0"/>
          <w:sz w:val="32"/>
          <w:szCs w:val="32"/>
          <w:shd w:val="clear" w:fill="FEFEFE"/>
          <w:lang w:val="en-US" w:eastAsia="zh-CN" w:bidi="ar"/>
        </w:rPr>
        <w:t>，</w:t>
      </w:r>
      <w:r>
        <w:rPr>
          <w:rFonts w:hint="eastAsia" w:ascii="仿宋_GB2312" w:hAnsi="Calibri" w:eastAsia="仿宋_GB2312" w:cs="仿宋_GB2312"/>
          <w:b w:val="0"/>
          <w:bCs w:val="0"/>
          <w:i w:val="0"/>
          <w:iCs w:val="0"/>
          <w:caps w:val="0"/>
          <w:color w:val="auto"/>
          <w:spacing w:val="0"/>
          <w:kern w:val="0"/>
          <w:sz w:val="32"/>
          <w:szCs w:val="32"/>
          <w:shd w:val="clear" w:fill="FEFEFE"/>
          <w:lang w:val="en-US" w:eastAsia="zh-CN" w:bidi="ar"/>
        </w:rPr>
        <w:t>高新区城乡建设服务中心，市直</w:t>
      </w:r>
      <w:r>
        <w:rPr>
          <w:rFonts w:ascii="仿宋_GB2312" w:hAnsi="Calibri" w:eastAsia="仿宋_GB2312" w:cs="仿宋_GB2312"/>
          <w:b w:val="0"/>
          <w:bCs w:val="0"/>
          <w:i w:val="0"/>
          <w:iCs w:val="0"/>
          <w:caps w:val="0"/>
          <w:color w:val="auto"/>
          <w:spacing w:val="0"/>
          <w:kern w:val="0"/>
          <w:sz w:val="32"/>
          <w:szCs w:val="32"/>
          <w:shd w:val="clear" w:fill="FEFEFE"/>
          <w:lang w:val="en-US" w:eastAsia="zh-CN" w:bidi="ar"/>
        </w:rPr>
        <w:t>有关</w:t>
      </w:r>
      <w:r>
        <w:rPr>
          <w:rFonts w:hint="eastAsia" w:ascii="仿宋_GB2312" w:hAnsi="Calibri" w:eastAsia="仿宋_GB2312" w:cs="仿宋_GB2312"/>
          <w:b w:val="0"/>
          <w:bCs w:val="0"/>
          <w:i w:val="0"/>
          <w:iCs w:val="0"/>
          <w:caps w:val="0"/>
          <w:color w:val="auto"/>
          <w:spacing w:val="0"/>
          <w:kern w:val="0"/>
          <w:sz w:val="32"/>
          <w:szCs w:val="32"/>
          <w:shd w:val="clear" w:fill="FEFEFE"/>
          <w:lang w:val="en-US" w:eastAsia="zh-CN" w:bidi="ar"/>
        </w:rPr>
        <w:t>部门，各相关单位</w:t>
      </w:r>
      <w:r>
        <w:rPr>
          <w:rFonts w:ascii="仿宋_GB2312" w:hAnsi="Calibri" w:eastAsia="仿宋_GB2312" w:cs="仿宋_GB2312"/>
          <w:b w:val="0"/>
          <w:bCs w:val="0"/>
          <w:i w:val="0"/>
          <w:iCs w:val="0"/>
          <w:caps w:val="0"/>
          <w:color w:val="auto"/>
          <w:spacing w:val="0"/>
          <w:kern w:val="0"/>
          <w:sz w:val="32"/>
          <w:szCs w:val="32"/>
          <w:shd w:val="clear" w:fill="FEFEF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b w:val="0"/>
          <w:bCs w:val="0"/>
          <w:color w:val="auto"/>
          <w:sz w:val="21"/>
          <w:szCs w:val="21"/>
        </w:rPr>
      </w:pPr>
      <w:r>
        <w:rPr>
          <w:rFonts w:hint="default" w:ascii="仿宋_GB2312" w:hAnsi="Calibri" w:eastAsia="仿宋_GB2312" w:cs="仿宋_GB2312"/>
          <w:b w:val="0"/>
          <w:bCs w:val="0"/>
          <w:i w:val="0"/>
          <w:iCs w:val="0"/>
          <w:caps w:val="0"/>
          <w:color w:val="auto"/>
          <w:spacing w:val="0"/>
          <w:kern w:val="0"/>
          <w:sz w:val="32"/>
          <w:szCs w:val="32"/>
          <w:shd w:val="clear" w:fill="FEFEFE"/>
          <w:lang w:val="en-US" w:eastAsia="zh-CN" w:bidi="ar"/>
        </w:rPr>
        <w:t>为进一步优化我市招投标营商环境，推动落实招标人主体责任，促进工程招投标领域公平竞争，根据《公平竞争审查制度实施细则》(国市监反垄规〔2021〕2号)《国家发展改革委等部门关于严格执行招标投标法规制度进一步规范招标投标主体行为的若干意见》（发改法规规〔2022〕1117号）等文件精神，现就建立房屋和市政领域招标文件公平竞争审查制度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b w:val="0"/>
          <w:bCs w:val="0"/>
          <w:color w:val="auto"/>
          <w:sz w:val="21"/>
          <w:szCs w:val="21"/>
        </w:rPr>
      </w:pPr>
      <w:r>
        <w:rPr>
          <w:rFonts w:ascii="黑体" w:hAnsi="宋体" w:eastAsia="黑体" w:cs="黑体"/>
          <w:b w:val="0"/>
          <w:bCs w:val="0"/>
          <w:i w:val="0"/>
          <w:iCs w:val="0"/>
          <w:caps w:val="0"/>
          <w:color w:val="auto"/>
          <w:spacing w:val="0"/>
          <w:kern w:val="0"/>
          <w:sz w:val="32"/>
          <w:szCs w:val="32"/>
          <w:shd w:val="clear" w:fill="FEFEFE"/>
          <w:lang w:val="en-US" w:eastAsia="zh-CN" w:bidi="ar"/>
        </w:rPr>
        <w:t>一、审查实施范围。</w:t>
      </w:r>
      <w:r>
        <w:rPr>
          <w:rFonts w:hint="default" w:ascii="仿宋_GB2312" w:hAnsi="Calibri" w:eastAsia="仿宋_GB2312" w:cs="仿宋_GB2312"/>
          <w:b w:val="0"/>
          <w:bCs w:val="0"/>
          <w:i w:val="0"/>
          <w:iCs w:val="0"/>
          <w:caps w:val="0"/>
          <w:color w:val="auto"/>
          <w:spacing w:val="0"/>
          <w:kern w:val="0"/>
          <w:sz w:val="32"/>
          <w:szCs w:val="32"/>
          <w:shd w:val="clear" w:fill="FEFEFE"/>
          <w:lang w:val="en-US" w:eastAsia="zh-CN" w:bidi="ar"/>
        </w:rPr>
        <w:t>全市范围内依法必须招标房屋和市政领域工程建设项目的招标文件（含招标公告、资格预审文件），须按本通知要求开展公平竞争审查。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b w:val="0"/>
          <w:bCs w:val="0"/>
          <w:color w:val="auto"/>
          <w:sz w:val="21"/>
          <w:szCs w:val="21"/>
        </w:rPr>
      </w:pPr>
      <w:r>
        <w:rPr>
          <w:rFonts w:hint="eastAsia" w:ascii="黑体" w:hAnsi="宋体" w:eastAsia="黑体" w:cs="黑体"/>
          <w:b w:val="0"/>
          <w:bCs w:val="0"/>
          <w:i w:val="0"/>
          <w:iCs w:val="0"/>
          <w:caps w:val="0"/>
          <w:color w:val="auto"/>
          <w:spacing w:val="0"/>
          <w:kern w:val="0"/>
          <w:sz w:val="32"/>
          <w:szCs w:val="32"/>
          <w:shd w:val="clear" w:fill="FEFEFE"/>
          <w:lang w:val="en-US" w:eastAsia="zh-CN" w:bidi="ar"/>
        </w:rPr>
        <w:t>二、审查方式内容。</w:t>
      </w:r>
      <w:r>
        <w:rPr>
          <w:rFonts w:hint="default" w:ascii="仿宋_GB2312" w:hAnsi="Calibri" w:eastAsia="仿宋_GB2312" w:cs="仿宋_GB2312"/>
          <w:b w:val="0"/>
          <w:bCs w:val="0"/>
          <w:i w:val="0"/>
          <w:iCs w:val="0"/>
          <w:caps w:val="0"/>
          <w:color w:val="auto"/>
          <w:spacing w:val="0"/>
          <w:kern w:val="0"/>
          <w:sz w:val="32"/>
          <w:szCs w:val="32"/>
          <w:shd w:val="clear" w:fill="FEFEFE"/>
          <w:lang w:val="en-US" w:eastAsia="zh-CN" w:bidi="ar"/>
        </w:rPr>
        <w:t>招标人应当在招标文件发布前，依据相关法律法规和规范性文件，对招标文件进行公平竞争审查，可以咨询专家学者、法律顾问、专业机构或在公共资源交易平台征求社会公众意见建议，形成《招标文件公平竞争审查情况表》（见附件），并随项目招投标资料一并存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b w:val="0"/>
          <w:bCs w:val="0"/>
          <w:color w:val="auto"/>
          <w:sz w:val="21"/>
          <w:szCs w:val="21"/>
        </w:rPr>
      </w:pPr>
      <w:r>
        <w:rPr>
          <w:rFonts w:hint="default" w:ascii="仿宋_GB2312" w:hAnsi="Calibri" w:eastAsia="仿宋_GB2312" w:cs="仿宋_GB2312"/>
          <w:b w:val="0"/>
          <w:bCs w:val="0"/>
          <w:i w:val="0"/>
          <w:iCs w:val="0"/>
          <w:caps w:val="0"/>
          <w:color w:val="auto"/>
          <w:spacing w:val="0"/>
          <w:kern w:val="0"/>
          <w:sz w:val="32"/>
          <w:szCs w:val="32"/>
          <w:shd w:val="clear" w:fill="FEFEFE"/>
          <w:lang w:val="en-US" w:eastAsia="zh-CN" w:bidi="ar"/>
        </w:rPr>
        <w:t>按照《公平竞争审查制度实施细则》（国市监反垄规〔2021〕2号）第十三条、第十四条等有关要求，招标人应组织对招标文件是否存在设置不合理或者歧视性的准入和退出条件，限定经营、购买、使用特定经营者提供的商品和服务，排斥或者限制外地经营者参加本地招标投标活动，排斥、限制或者强制外地经营者在本地投资或者设立分支机构，以不合理条件限制、排斥潜在投标人或者投标人等情形进行严格审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b w:val="0"/>
          <w:bCs w:val="0"/>
          <w:i w:val="0"/>
          <w:iCs w:val="0"/>
          <w:caps w:val="0"/>
          <w:color w:val="auto"/>
          <w:spacing w:val="0"/>
          <w:kern w:val="0"/>
          <w:sz w:val="32"/>
          <w:szCs w:val="32"/>
          <w:shd w:val="clear" w:fill="FEFEFE"/>
          <w:lang w:val="en-US" w:eastAsia="zh-CN" w:bidi="ar"/>
        </w:rPr>
      </w:pPr>
      <w:r>
        <w:rPr>
          <w:rFonts w:hint="eastAsia" w:ascii="黑体" w:hAnsi="宋体" w:eastAsia="黑体" w:cs="黑体"/>
          <w:b w:val="0"/>
          <w:bCs w:val="0"/>
          <w:i w:val="0"/>
          <w:iCs w:val="0"/>
          <w:caps w:val="0"/>
          <w:color w:val="auto"/>
          <w:spacing w:val="0"/>
          <w:kern w:val="0"/>
          <w:sz w:val="32"/>
          <w:szCs w:val="32"/>
          <w:shd w:val="clear" w:fill="FEFEFE"/>
          <w:lang w:val="en-US" w:eastAsia="zh-CN" w:bidi="ar"/>
        </w:rPr>
        <w:t>三、实行重大项目全过程服务机制。</w:t>
      </w:r>
      <w:r>
        <w:rPr>
          <w:rFonts w:hint="eastAsia" w:ascii="仿宋" w:hAnsi="仿宋" w:eastAsia="仿宋" w:cs="Times New Roman"/>
          <w:b w:val="0"/>
          <w:bCs w:val="0"/>
          <w:color w:val="auto"/>
          <w:sz w:val="32"/>
          <w:szCs w:val="32"/>
          <w:lang w:val="en-US" w:eastAsia="zh-CN"/>
        </w:rPr>
        <w:t>建立市级重大项目全过程服务体系，发挥政府（国有资金）对我市经济的正向拉动作用，将投资5000万元以上或跨辖区及其他社会公益性建筑工程、民生工程列入全过程服务名单。</w:t>
      </w:r>
      <w:r>
        <w:rPr>
          <w:rFonts w:hint="eastAsia" w:ascii="仿宋_GB2312" w:hAnsi="Calibri" w:eastAsia="仿宋_GB2312" w:cs="仿宋_GB2312"/>
          <w:b w:val="0"/>
          <w:bCs w:val="0"/>
          <w:i w:val="0"/>
          <w:iCs w:val="0"/>
          <w:caps w:val="0"/>
          <w:color w:val="auto"/>
          <w:spacing w:val="0"/>
          <w:kern w:val="0"/>
          <w:sz w:val="32"/>
          <w:szCs w:val="32"/>
          <w:shd w:val="clear" w:fill="FEFEFE"/>
          <w:lang w:val="en-US" w:eastAsia="zh-CN" w:bidi="ar"/>
        </w:rPr>
        <w:t>成立市级重大项目招投标公平性竞争审查专家委员会，负责市级重大项目招投标公平性竞争审查，确保满足招投标条件的本地企业不少于三家，建立统一的建筑业大市场，以便充分竞争。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b w:val="0"/>
          <w:bCs w:val="0"/>
          <w:i w:val="0"/>
          <w:iCs w:val="0"/>
          <w:caps w:val="0"/>
          <w:color w:val="auto"/>
          <w:spacing w:val="0"/>
          <w:kern w:val="0"/>
          <w:sz w:val="32"/>
          <w:szCs w:val="32"/>
          <w:shd w:val="clear" w:fill="FEFEFE"/>
          <w:lang w:val="en-US" w:eastAsia="zh-CN" w:bidi="ar"/>
        </w:rPr>
      </w:pPr>
      <w:r>
        <w:rPr>
          <w:rFonts w:hint="eastAsia" w:ascii="黑体" w:hAnsi="宋体" w:eastAsia="黑体" w:cs="黑体"/>
          <w:b w:val="0"/>
          <w:bCs w:val="0"/>
          <w:i w:val="0"/>
          <w:iCs w:val="0"/>
          <w:caps w:val="0"/>
          <w:color w:val="auto"/>
          <w:spacing w:val="0"/>
          <w:kern w:val="0"/>
          <w:sz w:val="32"/>
          <w:szCs w:val="32"/>
          <w:shd w:val="clear" w:fill="FEFEFE"/>
          <w:lang w:val="en-US" w:eastAsia="zh-CN" w:bidi="ar"/>
        </w:rPr>
        <w:t>四、强化监督检查。</w:t>
      </w:r>
      <w:r>
        <w:rPr>
          <w:rFonts w:hint="eastAsia" w:ascii="仿宋_GB2312" w:hAnsi="Calibri" w:eastAsia="仿宋_GB2312" w:cs="仿宋_GB2312"/>
          <w:b w:val="0"/>
          <w:bCs w:val="0"/>
          <w:i w:val="0"/>
          <w:iCs w:val="0"/>
          <w:caps w:val="0"/>
          <w:color w:val="auto"/>
          <w:spacing w:val="0"/>
          <w:kern w:val="0"/>
          <w:sz w:val="32"/>
          <w:szCs w:val="32"/>
          <w:shd w:val="clear" w:fill="FEFEFE"/>
          <w:lang w:val="en-US" w:eastAsia="zh-CN" w:bidi="ar"/>
        </w:rPr>
        <w:t>各级</w:t>
      </w:r>
      <w:r>
        <w:rPr>
          <w:rFonts w:hint="default" w:ascii="仿宋_GB2312" w:hAnsi="Calibri" w:eastAsia="仿宋_GB2312" w:cs="仿宋_GB2312"/>
          <w:b w:val="0"/>
          <w:bCs w:val="0"/>
          <w:i w:val="0"/>
          <w:iCs w:val="0"/>
          <w:caps w:val="0"/>
          <w:color w:val="auto"/>
          <w:spacing w:val="0"/>
          <w:kern w:val="0"/>
          <w:sz w:val="32"/>
          <w:szCs w:val="32"/>
          <w:shd w:val="clear" w:fill="FEFEFE"/>
          <w:lang w:val="en-US" w:eastAsia="zh-CN" w:bidi="ar"/>
        </w:rPr>
        <w:t>招投标行政监督部门或行业主管部门要按照职责分工，将招标人落实</w:t>
      </w:r>
      <w:r>
        <w:rPr>
          <w:rFonts w:hint="eastAsia" w:ascii="仿宋_GB2312" w:hAnsi="Calibri" w:eastAsia="仿宋_GB2312" w:cs="仿宋_GB2312"/>
          <w:b w:val="0"/>
          <w:bCs w:val="0"/>
          <w:i w:val="0"/>
          <w:iCs w:val="0"/>
          <w:caps w:val="0"/>
          <w:color w:val="auto"/>
          <w:spacing w:val="0"/>
          <w:kern w:val="0"/>
          <w:sz w:val="32"/>
          <w:szCs w:val="32"/>
          <w:shd w:val="clear" w:fill="FEFEFE"/>
          <w:lang w:val="en-US" w:eastAsia="zh-CN" w:bidi="ar"/>
        </w:rPr>
        <w:t>招标文件</w:t>
      </w:r>
      <w:r>
        <w:rPr>
          <w:rFonts w:hint="default" w:ascii="仿宋_GB2312" w:hAnsi="Calibri" w:eastAsia="仿宋_GB2312" w:cs="仿宋_GB2312"/>
          <w:b w:val="0"/>
          <w:bCs w:val="0"/>
          <w:i w:val="0"/>
          <w:iCs w:val="0"/>
          <w:caps w:val="0"/>
          <w:color w:val="auto"/>
          <w:spacing w:val="0"/>
          <w:kern w:val="0"/>
          <w:sz w:val="32"/>
          <w:szCs w:val="32"/>
          <w:shd w:val="clear" w:fill="FEFEFE"/>
          <w:lang w:val="en-US" w:eastAsia="zh-CN" w:bidi="ar"/>
        </w:rPr>
        <w:t>公平竞争审查工作情况作为事前监管的重要内容之一，在开展工程招投标领域“双随机、一公开”监管和重点监管时，对招标人落实公平竞争审查工作情况进行监督检查。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Calibri" w:hAnsi="Calibri" w:cs="Calibri"/>
          <w:b w:val="0"/>
          <w:bCs w:val="0"/>
          <w:color w:val="auto"/>
          <w:sz w:val="21"/>
          <w:szCs w:val="21"/>
        </w:rPr>
      </w:pPr>
      <w:r>
        <w:rPr>
          <w:rFonts w:hint="eastAsia" w:ascii="黑体" w:hAnsi="宋体" w:eastAsia="黑体" w:cs="黑体"/>
          <w:b w:val="0"/>
          <w:bCs w:val="0"/>
          <w:i w:val="0"/>
          <w:iCs w:val="0"/>
          <w:caps w:val="0"/>
          <w:color w:val="auto"/>
          <w:spacing w:val="0"/>
          <w:kern w:val="0"/>
          <w:sz w:val="32"/>
          <w:szCs w:val="32"/>
          <w:shd w:val="clear" w:fill="FEFEFE"/>
          <w:lang w:val="en-US" w:eastAsia="zh-CN" w:bidi="ar"/>
        </w:rPr>
        <w:t>五、严肃追责问责。</w:t>
      </w:r>
      <w:r>
        <w:rPr>
          <w:rFonts w:hint="default" w:ascii="仿宋_GB2312" w:hAnsi="Calibri" w:eastAsia="仿宋_GB2312" w:cs="仿宋_GB2312"/>
          <w:b w:val="0"/>
          <w:bCs w:val="0"/>
          <w:i w:val="0"/>
          <w:iCs w:val="0"/>
          <w:caps w:val="0"/>
          <w:color w:val="auto"/>
          <w:spacing w:val="0"/>
          <w:kern w:val="0"/>
          <w:sz w:val="32"/>
          <w:szCs w:val="32"/>
          <w:shd w:val="clear" w:fill="FEFEFE"/>
          <w:lang w:val="en-US" w:eastAsia="zh-CN" w:bidi="ar"/>
        </w:rPr>
        <w:t>对落实招标文件公平竞争审查制度工作不认真不负责，存在限制或变相限制市场准入、以不合理条件限制、排斥潜在投标人或投标人情形而影响市场公平竞争的，由招标人和其委托的招标代理机构分别承担主体责任或连带责任，</w:t>
      </w:r>
      <w:r>
        <w:rPr>
          <w:rFonts w:hint="eastAsia" w:ascii="仿宋_GB2312" w:hAnsi="Calibri" w:eastAsia="仿宋_GB2312" w:cs="仿宋_GB2312"/>
          <w:b w:val="0"/>
          <w:bCs w:val="0"/>
          <w:i w:val="0"/>
          <w:iCs w:val="0"/>
          <w:caps w:val="0"/>
          <w:color w:val="auto"/>
          <w:spacing w:val="0"/>
          <w:kern w:val="0"/>
          <w:sz w:val="32"/>
          <w:szCs w:val="32"/>
          <w:shd w:val="clear" w:fill="FEFEFE"/>
          <w:lang w:val="en-US" w:eastAsia="zh-CN" w:bidi="ar"/>
        </w:rPr>
        <w:t>各级</w:t>
      </w:r>
      <w:r>
        <w:rPr>
          <w:rFonts w:hint="default" w:ascii="仿宋_GB2312" w:hAnsi="Calibri" w:eastAsia="仿宋_GB2312" w:cs="仿宋_GB2312"/>
          <w:b w:val="0"/>
          <w:bCs w:val="0"/>
          <w:i w:val="0"/>
          <w:iCs w:val="0"/>
          <w:caps w:val="0"/>
          <w:color w:val="auto"/>
          <w:spacing w:val="0"/>
          <w:kern w:val="0"/>
          <w:sz w:val="32"/>
          <w:szCs w:val="32"/>
          <w:shd w:val="clear" w:fill="FEFEFE"/>
          <w:lang w:val="en-US" w:eastAsia="zh-CN" w:bidi="ar"/>
        </w:rPr>
        <w:t>招投标行政监督部门应责令招标人或其招标代理机构限期整改，对拒不整改的运用“两书一函”和信用惩戒加强监管，情节严重的予以通报曝光并按照规定做好问题线索移交。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仿宋_GB2312" w:hAnsi="Calibri" w:eastAsia="仿宋_GB2312" w:cs="仿宋_GB2312"/>
          <w:i w:val="0"/>
          <w:iCs w:val="0"/>
          <w:caps w:val="0"/>
          <w:color w:val="000000"/>
          <w:spacing w:val="0"/>
          <w:kern w:val="0"/>
          <w:sz w:val="32"/>
          <w:szCs w:val="32"/>
          <w:shd w:val="clear" w:fill="FEFEFE"/>
          <w:lang w:val="en-US" w:eastAsia="zh-CN" w:bidi="ar"/>
        </w:rPr>
      </w:pPr>
      <w:r>
        <w:rPr>
          <w:rFonts w:hint="default" w:ascii="仿宋_GB2312" w:hAnsi="Calibri" w:eastAsia="仿宋_GB2312" w:cs="仿宋_GB2312"/>
          <w:i w:val="0"/>
          <w:iCs w:val="0"/>
          <w:caps w:val="0"/>
          <w:color w:val="000000"/>
          <w:spacing w:val="0"/>
          <w:kern w:val="0"/>
          <w:sz w:val="32"/>
          <w:szCs w:val="32"/>
          <w:shd w:val="clear" w:fill="FEFEFE"/>
          <w:lang w:val="en-US" w:eastAsia="zh-CN" w:bidi="ar"/>
        </w:rPr>
        <w:t>附件:</w:t>
      </w:r>
      <w:r>
        <w:rPr>
          <w:rFonts w:hint="eastAsia" w:ascii="仿宋_GB2312" w:hAnsi="Calibri" w:eastAsia="仿宋_GB2312" w:cs="仿宋_GB2312"/>
          <w:i w:val="0"/>
          <w:iCs w:val="0"/>
          <w:caps w:val="0"/>
          <w:color w:val="000000"/>
          <w:spacing w:val="0"/>
          <w:kern w:val="0"/>
          <w:sz w:val="32"/>
          <w:szCs w:val="32"/>
          <w:shd w:val="clear" w:fill="FEFEFE"/>
          <w:lang w:val="en-US" w:eastAsia="zh-CN" w:bidi="ar"/>
        </w:rPr>
        <w:t>1、房屋和市政领域</w:t>
      </w:r>
      <w:r>
        <w:rPr>
          <w:rFonts w:hint="default" w:ascii="仿宋_GB2312" w:hAnsi="Calibri" w:eastAsia="仿宋_GB2312" w:cs="仿宋_GB2312"/>
          <w:i w:val="0"/>
          <w:iCs w:val="0"/>
          <w:caps w:val="0"/>
          <w:color w:val="000000"/>
          <w:spacing w:val="0"/>
          <w:kern w:val="0"/>
          <w:sz w:val="32"/>
          <w:szCs w:val="32"/>
          <w:shd w:val="clear" w:fill="FEFEFE"/>
          <w:lang w:val="en-US" w:eastAsia="zh-CN" w:bidi="ar"/>
        </w:rPr>
        <w:t>招标文件公平竞争审查情况表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仿宋_GB2312" w:hAnsi="Calibri" w:eastAsia="仿宋_GB2312" w:cs="仿宋_GB2312"/>
          <w:i w:val="0"/>
          <w:iCs w:val="0"/>
          <w:caps w:val="0"/>
          <w:color w:val="000000"/>
          <w:spacing w:val="0"/>
          <w:kern w:val="0"/>
          <w:sz w:val="32"/>
          <w:szCs w:val="32"/>
          <w:shd w:val="clear" w:fill="FEFEFE"/>
          <w:lang w:val="en-US" w:eastAsia="zh-CN" w:bidi="ar"/>
        </w:rPr>
      </w:pPr>
      <w:r>
        <w:rPr>
          <w:rFonts w:hint="eastAsia" w:ascii="仿宋_GB2312" w:hAnsi="Calibri" w:eastAsia="仿宋_GB2312" w:cs="仿宋_GB2312"/>
          <w:i w:val="0"/>
          <w:iCs w:val="0"/>
          <w:caps w:val="0"/>
          <w:color w:val="000000"/>
          <w:spacing w:val="0"/>
          <w:kern w:val="0"/>
          <w:sz w:val="32"/>
          <w:szCs w:val="32"/>
          <w:shd w:val="clear" w:fill="FEFEFE"/>
          <w:lang w:val="en-US" w:eastAsia="zh-CN" w:bidi="ar"/>
        </w:rPr>
        <w:t xml:space="preserve">     2、焦作市重大项目招投标公平性竞争审查专家委员会组成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default" w:ascii="仿宋_GB2312" w:hAnsi="Calibri" w:eastAsia="仿宋_GB2312" w:cs="仿宋_GB2312"/>
          <w:i w:val="0"/>
          <w:iCs w:val="0"/>
          <w:caps w:val="0"/>
          <w:color w:val="000000"/>
          <w:spacing w:val="0"/>
          <w:kern w:val="0"/>
          <w:sz w:val="32"/>
          <w:szCs w:val="32"/>
          <w:shd w:val="clear" w:fill="FFFFFF"/>
          <w:lang w:val="en-US" w:eastAsia="zh-CN" w:bidi="ar"/>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default" w:ascii="仿宋_GB2312" w:hAnsi="Calibri"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default" w:ascii="仿宋_GB2312" w:hAnsi="Calibri"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default" w:ascii="仿宋_GB2312" w:hAnsi="Calibri"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default" w:ascii="仿宋_GB2312" w:hAnsi="Calibri"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default" w:ascii="仿宋_GB2312" w:hAnsi="Calibri"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default" w:ascii="仿宋_GB2312" w:hAnsi="Calibri"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default" w:ascii="仿宋_GB2312" w:hAnsi="Calibri"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default" w:ascii="仿宋_GB2312" w:hAnsi="Calibri"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default" w:ascii="仿宋_GB2312" w:hAnsi="Calibri"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default" w:ascii="仿宋_GB2312" w:hAnsi="Calibri"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default" w:ascii="Calibri" w:hAnsi="Calibri" w:cs="Calibri"/>
          <w:sz w:val="21"/>
          <w:szCs w:val="21"/>
        </w:rPr>
      </w:pPr>
      <w:r>
        <w:rPr>
          <w:rFonts w:ascii="方正小标宋_GBK" w:hAnsi="方正小标宋_GBK" w:eastAsia="方正小标宋_GBK" w:cs="方正小标宋_GBK"/>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500"/>
        <w:jc w:val="both"/>
        <w:rPr>
          <w:rFonts w:hint="default" w:ascii="Calibri" w:hAnsi="Calibri" w:cs="Calibri"/>
          <w:sz w:val="21"/>
          <w:szCs w:val="21"/>
        </w:rPr>
      </w:pPr>
      <w:r>
        <w:rPr>
          <w:rFonts w:hint="default" w:ascii="方正小标宋_GBK" w:hAnsi="方正小标宋_GBK" w:eastAsia="方正小标宋_GBK" w:cs="方正小标宋_GBK"/>
          <w:i w:val="0"/>
          <w:iCs w:val="0"/>
          <w:caps w:val="0"/>
          <w:color w:val="000000"/>
          <w:spacing w:val="0"/>
          <w:kern w:val="0"/>
          <w:sz w:val="28"/>
          <w:szCs w:val="28"/>
          <w:shd w:val="clear" w:fill="FFFFFF"/>
          <w:lang w:val="en-US" w:eastAsia="zh-CN" w:bidi="ar"/>
        </w:rPr>
        <w:t> </w:t>
      </w:r>
      <w:r>
        <w:rPr>
          <w:rFonts w:hint="eastAsia" w:ascii="仿宋_GB2312" w:hAnsi="Calibri" w:eastAsia="仿宋_GB2312" w:cs="仿宋_GB2312"/>
          <w:i w:val="0"/>
          <w:iCs w:val="0"/>
          <w:caps w:val="0"/>
          <w:color w:val="000000"/>
          <w:spacing w:val="0"/>
          <w:kern w:val="0"/>
          <w:sz w:val="32"/>
          <w:szCs w:val="32"/>
          <w:shd w:val="clear" w:fill="FEFEFE"/>
          <w:lang w:val="en-US" w:eastAsia="zh-CN" w:bidi="ar"/>
        </w:rPr>
        <w:t>焦作市住房和城乡建设局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480"/>
        <w:jc w:val="left"/>
        <w:rPr>
          <w:rFonts w:hint="default" w:ascii="Calibri" w:hAnsi="Calibri" w:cs="Calibri"/>
          <w:sz w:val="21"/>
          <w:szCs w:val="21"/>
        </w:rPr>
      </w:pPr>
      <w:r>
        <w:rPr>
          <w:rFonts w:hint="default" w:ascii="仿宋_GB2312" w:hAnsi="Calibri" w:eastAsia="仿宋_GB2312" w:cs="仿宋_GB2312"/>
          <w:i w:val="0"/>
          <w:iCs w:val="0"/>
          <w:caps w:val="0"/>
          <w:color w:val="000000"/>
          <w:spacing w:val="0"/>
          <w:kern w:val="0"/>
          <w:sz w:val="32"/>
          <w:szCs w:val="32"/>
          <w:shd w:val="clear" w:fill="FFFFFF"/>
          <w:lang w:val="en-US" w:eastAsia="zh-CN" w:bidi="ar"/>
        </w:rPr>
        <w:t>202</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4</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年</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9</w:t>
      </w:r>
      <w:r>
        <w:rPr>
          <w:rFonts w:hint="default" w:ascii="仿宋_GB2312" w:hAnsi="Calibri" w:eastAsia="仿宋_GB2312" w:cs="仿宋_GB2312"/>
          <w:i w:val="0"/>
          <w:iCs w:val="0"/>
          <w:caps w:val="0"/>
          <w:color w:val="000000"/>
          <w:spacing w:val="0"/>
          <w:kern w:val="0"/>
          <w:sz w:val="32"/>
          <w:szCs w:val="32"/>
          <w:shd w:val="clear" w:fill="FFFFFF"/>
          <w:lang w:val="en-US" w:eastAsia="zh-CN" w:bidi="ar"/>
        </w:rPr>
        <w:t>月10日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宋体" w:hAnsi="宋体" w:eastAsia="宋体" w:cs="宋体"/>
          <w:i w:val="0"/>
          <w:iCs w:val="0"/>
          <w:caps w:val="0"/>
          <w:color w:val="000000"/>
          <w:spacing w:val="0"/>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宋体" w:hAnsi="宋体" w:eastAsia="宋体" w:cs="宋体"/>
          <w:i w:val="0"/>
          <w:iCs w:val="0"/>
          <w:caps w:val="0"/>
          <w:color w:val="000000"/>
          <w:spacing w:val="0"/>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宋体" w:hAnsi="宋体" w:eastAsia="宋体" w:cs="宋体"/>
          <w:sz w:val="36"/>
          <w:szCs w:val="36"/>
          <w:lang w:val="en-US"/>
        </w:rPr>
      </w:pPr>
      <w:r>
        <w:rPr>
          <w:rFonts w:hint="eastAsia" w:ascii="宋体" w:hAnsi="宋体" w:eastAsia="宋体" w:cs="宋体"/>
          <w:i w:val="0"/>
          <w:iCs w:val="0"/>
          <w:caps w:val="0"/>
          <w:color w:val="000000"/>
          <w:spacing w:val="0"/>
          <w:kern w:val="0"/>
          <w:sz w:val="36"/>
          <w:szCs w:val="36"/>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房屋和市政领域</w:t>
      </w: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招标文件公平竞争</w:t>
      </w: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rPr>
          <w:rFonts w:hint="default" w:ascii="Calibri" w:hAnsi="Calibri" w:cs="Calibri"/>
          <w:sz w:val="21"/>
          <w:szCs w:val="21"/>
        </w:rPr>
      </w:pP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情况表</w:t>
      </w:r>
    </w:p>
    <w:tbl>
      <w:tblPr>
        <w:tblStyle w:val="2"/>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49"/>
        <w:gridCol w:w="29"/>
        <w:gridCol w:w="4614"/>
        <w:gridCol w:w="17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2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项目名称</w:t>
            </w:r>
          </w:p>
        </w:tc>
        <w:tc>
          <w:tcPr>
            <w:tcW w:w="6495"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2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招标人</w:t>
            </w:r>
          </w:p>
        </w:tc>
        <w:tc>
          <w:tcPr>
            <w:tcW w:w="6495"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2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招标代理机构</w:t>
            </w:r>
          </w:p>
        </w:tc>
        <w:tc>
          <w:tcPr>
            <w:tcW w:w="6495"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28"/>
                <w:szCs w:val="28"/>
                <w:lang w:val="en-US" w:eastAsia="zh-CN" w:bidi="ar"/>
              </w:rPr>
              <w:t>招标文件公平竞争影响性条款</w:t>
            </w:r>
          </w:p>
        </w:tc>
        <w:tc>
          <w:tcPr>
            <w:tcW w:w="17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审查结果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1.本次招标项目未按规定发布招标计划。</w:t>
            </w:r>
          </w:p>
        </w:tc>
        <w:tc>
          <w:tcPr>
            <w:tcW w:w="17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□有  □无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2.设置限制、排斥不同所有制企业参与招投标的规定，以及虽然没有直接限制、排斥，但实质上起到变相限制、排斥效果的规定。</w:t>
            </w:r>
          </w:p>
        </w:tc>
        <w:tc>
          <w:tcPr>
            <w:tcW w:w="17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□有  □无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3.限定潜在投标人或者投标人的所在地、所有制形式或者组织形式，对不同所有制投标人采取不同的资格审查标准。</w:t>
            </w:r>
          </w:p>
        </w:tc>
        <w:tc>
          <w:tcPr>
            <w:tcW w:w="17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□有  □无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4.设定企业股东背景、年平均承接项目数量或者金额、从业人员、纳税额、营业场所面积等规模条件；设置超过项目实际需要的企业注册资本、资产总额、净资产规模、营业收入、利润、授信额度等财务指标。</w:t>
            </w:r>
          </w:p>
        </w:tc>
        <w:tc>
          <w:tcPr>
            <w:tcW w:w="17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□有  □无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5.设定明显超出招标项目具体特点和实际需要的过高的资质资格、技术、商务条件或者业绩、奖项要求。</w:t>
            </w:r>
          </w:p>
        </w:tc>
        <w:tc>
          <w:tcPr>
            <w:tcW w:w="17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□有  □无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6.将国家已经明令取消的资质资格作为投标条件、加分条件、中标条件；在国家已经明令取消资质资格的领域，将其他资质资格作为投标条件、加分条件、中标条件；将外地企业与本地企业组成联合体作为投标条件、加分条件、中标条件。</w:t>
            </w:r>
          </w:p>
        </w:tc>
        <w:tc>
          <w:tcPr>
            <w:tcW w:w="17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□有  □无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7.将特定行政区域、特定行业的业绩、奖项作为投标条件、加分条件、中标条件；将政府部门、行业协会商会或者其他机构对投标人作出的荣誉奖励和慈善公益证明等作为投标条件、中标条件。</w:t>
            </w:r>
          </w:p>
        </w:tc>
        <w:tc>
          <w:tcPr>
            <w:tcW w:w="17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□有  □无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8.套用特定生产供应者的条件设定投标人资格、技术、商务条件。</w:t>
            </w:r>
          </w:p>
        </w:tc>
        <w:tc>
          <w:tcPr>
            <w:tcW w:w="17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□有  □无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9.限定或者指定特定的专利、商标、品牌、原产地、 供应商或者检验检测认证机构（法律法规有明确要求的除外）。</w:t>
            </w:r>
          </w:p>
        </w:tc>
        <w:tc>
          <w:tcPr>
            <w:tcW w:w="17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□有  □无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10.要求投标人在本地注册设立子公司、分公司、分支机构，在本地拥有一定办公面积，在本地缴纳社会保险、纳税等。</w:t>
            </w:r>
          </w:p>
        </w:tc>
        <w:tc>
          <w:tcPr>
            <w:tcW w:w="17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□有  □无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11.简单以注册人员、业绩数量等规模条件或者特定行政区域的业绩奖项评价企业的信用等级，或者设置对不同所有制企业构成歧视的信用评价指标。</w:t>
            </w:r>
          </w:p>
        </w:tc>
        <w:tc>
          <w:tcPr>
            <w:tcW w:w="17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□有  □无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12.其他不合理限制和壁垒。</w:t>
            </w:r>
          </w:p>
        </w:tc>
        <w:tc>
          <w:tcPr>
            <w:tcW w:w="17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□有  □无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99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其他需要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说明的情况</w:t>
            </w:r>
          </w:p>
        </w:tc>
        <w:tc>
          <w:tcPr>
            <w:tcW w:w="6510" w:type="dxa"/>
            <w:gridSpan w:val="3"/>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99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审查结论</w:t>
            </w:r>
          </w:p>
        </w:tc>
        <w:tc>
          <w:tcPr>
            <w:tcW w:w="6510" w:type="dxa"/>
            <w:gridSpan w:val="3"/>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99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招标代理机构主要负责人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意见</w:t>
            </w:r>
          </w:p>
        </w:tc>
        <w:tc>
          <w:tcPr>
            <w:tcW w:w="6510" w:type="dxa"/>
            <w:gridSpan w:val="3"/>
            <w:tcBorders>
              <w:top w:val="single" w:color="000000" w:sz="6" w:space="0"/>
              <w:left w:val="single" w:color="000000" w:sz="6" w:space="0"/>
              <w:bottom w:val="single" w:color="000000" w:sz="6" w:space="0"/>
              <w:right w:val="single" w:color="000000" w:sz="6"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签字： </w:t>
            </w:r>
            <w:r>
              <w:rPr>
                <w:rFonts w:ascii="font-size:14pt;" w:hAnsi="font-size:14pt;" w:eastAsia="font-size:14pt;" w:cs="font-size:14pt;"/>
                <w:kern w:val="0"/>
                <w:sz w:val="21"/>
                <w:szCs w:val="21"/>
                <w:lang w:val="en-US" w:eastAsia="zh-CN" w:bidi="ar"/>
              </w:rPr>
              <w:t>               </w:t>
            </w:r>
            <w:r>
              <w:rPr>
                <w:rFonts w:hint="default" w:ascii="仿宋_GB2312" w:hAnsi="Calibri" w:eastAsia="仿宋_GB2312" w:cs="仿宋_GB2312"/>
                <w:kern w:val="0"/>
                <w:sz w:val="28"/>
                <w:szCs w:val="28"/>
                <w:lang w:val="en-US" w:eastAsia="zh-CN" w:bidi="ar"/>
              </w:rPr>
              <w:t>日期：</w:t>
            </w:r>
            <w:r>
              <w:rPr>
                <w:rFonts w:hint="default" w:ascii="font-size:14pt;" w:hAnsi="font-size:14pt;" w:eastAsia="font-size:14pt;" w:cs="font-size:14pt;"/>
                <w:kern w:val="0"/>
                <w:sz w:val="21"/>
                <w:szCs w:val="21"/>
                <w:lang w:val="en-US" w:eastAsia="zh-CN" w:bidi="ar"/>
              </w:rPr>
              <w:t>        </w:t>
            </w:r>
            <w:r>
              <w:rPr>
                <w:rFonts w:hint="default" w:ascii="仿宋_GB2312" w:hAnsi="Calibri" w:eastAsia="仿宋_GB2312" w:cs="仿宋_GB2312"/>
                <w:kern w:val="0"/>
                <w:sz w:val="28"/>
                <w:szCs w:val="28"/>
                <w:lang w:val="en-US" w:eastAsia="zh-CN" w:bidi="ar"/>
              </w:rPr>
              <w:t>   单位盖章：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99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招标人主要负责人意见</w:t>
            </w:r>
          </w:p>
        </w:tc>
        <w:tc>
          <w:tcPr>
            <w:tcW w:w="6510" w:type="dxa"/>
            <w:gridSpan w:val="3"/>
            <w:tcBorders>
              <w:top w:val="single" w:color="000000" w:sz="6" w:space="0"/>
              <w:left w:val="single" w:color="000000" w:sz="6" w:space="0"/>
              <w:bottom w:val="single" w:color="000000" w:sz="6" w:space="0"/>
              <w:right w:val="single" w:color="000000" w:sz="6"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仿宋_GB2312" w:hAnsi="Calibri" w:eastAsia="仿宋_GB2312" w:cs="仿宋_GB2312"/>
                <w:kern w:val="0"/>
                <w:sz w:val="28"/>
                <w:szCs w:val="28"/>
                <w:lang w:val="en-US" w:eastAsia="zh-CN" w:bidi="ar"/>
              </w:rPr>
              <w:t>签字： </w:t>
            </w:r>
            <w:r>
              <w:rPr>
                <w:rFonts w:hint="default" w:ascii="font-size:14pt;" w:hAnsi="font-size:14pt;" w:eastAsia="font-size:14pt;" w:cs="font-size:14pt;"/>
                <w:kern w:val="0"/>
                <w:sz w:val="21"/>
                <w:szCs w:val="21"/>
                <w:lang w:val="en-US" w:eastAsia="zh-CN" w:bidi="ar"/>
              </w:rPr>
              <w:t>               </w:t>
            </w:r>
            <w:r>
              <w:rPr>
                <w:rFonts w:hint="default" w:ascii="仿宋_GB2312" w:hAnsi="Calibri" w:eastAsia="仿宋_GB2312" w:cs="仿宋_GB2312"/>
                <w:kern w:val="0"/>
                <w:sz w:val="28"/>
                <w:szCs w:val="28"/>
                <w:lang w:val="en-US" w:eastAsia="zh-CN" w:bidi="ar"/>
              </w:rPr>
              <w:t>日期：</w:t>
            </w:r>
            <w:r>
              <w:rPr>
                <w:rFonts w:hint="default" w:ascii="font-size:14pt;" w:hAnsi="font-size:14pt;" w:eastAsia="font-size:14pt;" w:cs="font-size:14pt;"/>
                <w:kern w:val="0"/>
                <w:sz w:val="21"/>
                <w:szCs w:val="21"/>
                <w:lang w:val="en-US" w:eastAsia="zh-CN" w:bidi="ar"/>
              </w:rPr>
              <w:t>        </w:t>
            </w:r>
            <w:r>
              <w:rPr>
                <w:rFonts w:hint="default" w:ascii="仿宋_GB2312" w:hAnsi="Calibri" w:eastAsia="仿宋_GB2312" w:cs="仿宋_GB2312"/>
                <w:kern w:val="0"/>
                <w:sz w:val="28"/>
                <w:szCs w:val="28"/>
                <w:lang w:val="en-US" w:eastAsia="zh-CN" w:bidi="ar"/>
              </w:rPr>
              <w:t>   单位盖章：</w:t>
            </w:r>
          </w:p>
        </w:tc>
      </w:tr>
    </w:tbl>
    <w:p/>
    <w:p/>
    <w:p/>
    <w:p/>
    <w:p/>
    <w:p/>
    <w:p/>
    <w:p/>
    <w:p/>
    <w:p/>
    <w:p/>
    <w:p/>
    <w:p/>
    <w:p/>
    <w:p/>
    <w:p/>
    <w:p/>
    <w:p/>
    <w:p/>
    <w:p/>
    <w:p/>
    <w:p/>
    <w:p/>
    <w:p/>
    <w:p>
      <w:pPr>
        <w:rPr>
          <w:rFonts w:hint="eastAsia"/>
          <w:sz w:val="36"/>
          <w:szCs w:val="36"/>
          <w:lang w:eastAsia="zh-CN"/>
        </w:rPr>
      </w:pPr>
    </w:p>
    <w:p>
      <w:pPr>
        <w:rPr>
          <w:rFonts w:hint="eastAsia"/>
          <w:sz w:val="36"/>
          <w:szCs w:val="36"/>
          <w:lang w:eastAsia="zh-CN"/>
        </w:rPr>
      </w:pPr>
    </w:p>
    <w:p>
      <w:pPr>
        <w:rPr>
          <w:rFonts w:hint="eastAsia"/>
          <w:sz w:val="36"/>
          <w:szCs w:val="36"/>
          <w:lang w:val="en-US" w:eastAsia="zh-CN"/>
        </w:rPr>
      </w:pPr>
      <w:bookmarkStart w:id="0" w:name="_GoBack"/>
      <w:bookmarkEnd w:id="0"/>
      <w:r>
        <w:rPr>
          <w:rFonts w:hint="eastAsia"/>
          <w:sz w:val="36"/>
          <w:szCs w:val="36"/>
          <w:lang w:eastAsia="zh-CN"/>
        </w:rPr>
        <w:t>附件</w:t>
      </w:r>
      <w:r>
        <w:rPr>
          <w:rFonts w:hint="eastAsia"/>
          <w:sz w:val="36"/>
          <w:szCs w:val="36"/>
          <w:lang w:val="en-US" w:eastAsia="zh-CN"/>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黑体" w:hAnsi="黑体" w:eastAsia="黑体" w:cs="黑体"/>
          <w:i w:val="0"/>
          <w:iCs w:val="0"/>
          <w:caps w:val="0"/>
          <w:color w:val="000000"/>
          <w:spacing w:val="0"/>
          <w:kern w:val="0"/>
          <w:sz w:val="36"/>
          <w:szCs w:val="36"/>
          <w:shd w:val="clear" w:fill="FEFEFE"/>
          <w:lang w:val="en-US" w:eastAsia="zh-CN" w:bidi="ar"/>
        </w:rPr>
      </w:pPr>
      <w:r>
        <w:rPr>
          <w:rFonts w:hint="eastAsia" w:ascii="黑体" w:hAnsi="黑体" w:eastAsia="黑体" w:cs="黑体"/>
          <w:i w:val="0"/>
          <w:iCs w:val="0"/>
          <w:caps w:val="0"/>
          <w:color w:val="000000"/>
          <w:spacing w:val="0"/>
          <w:kern w:val="0"/>
          <w:sz w:val="36"/>
          <w:szCs w:val="36"/>
          <w:shd w:val="clear" w:fill="FEFEFE"/>
          <w:lang w:val="en-US" w:eastAsia="zh-CN" w:bidi="ar"/>
        </w:rPr>
        <w:t>焦作市重大项目招投标公平性竞争审查</w:t>
      </w:r>
    </w:p>
    <w:tbl>
      <w:tblPr>
        <w:tblStyle w:val="2"/>
        <w:tblpPr w:leftFromText="180" w:rightFromText="180" w:vertAnchor="text" w:horzAnchor="page" w:tblpX="2276" w:tblpY="709"/>
        <w:tblOverlap w:val="never"/>
        <w:tblW w:w="461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2"/>
        <w:gridCol w:w="1012"/>
        <w:gridCol w:w="2750"/>
        <w:gridCol w:w="1672"/>
        <w:gridCol w:w="1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7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职位</w:t>
            </w:r>
          </w:p>
        </w:tc>
        <w:tc>
          <w:tcPr>
            <w:tcW w:w="101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职称、专业资格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吴冬云</w:t>
            </w:r>
          </w:p>
        </w:tc>
        <w:tc>
          <w:tcPr>
            <w:tcW w:w="17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河南宏程工程建设有限责任公司</w:t>
            </w:r>
          </w:p>
        </w:tc>
        <w:tc>
          <w:tcPr>
            <w:tcW w:w="10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企管部副部长</w:t>
            </w:r>
          </w:p>
        </w:tc>
        <w:tc>
          <w:tcPr>
            <w:tcW w:w="101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王静</w:t>
            </w:r>
          </w:p>
        </w:tc>
        <w:tc>
          <w:tcPr>
            <w:tcW w:w="17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河南鑫安胜通建设有限公司</w:t>
            </w:r>
          </w:p>
        </w:tc>
        <w:tc>
          <w:tcPr>
            <w:tcW w:w="10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成本部负责人</w:t>
            </w:r>
          </w:p>
        </w:tc>
        <w:tc>
          <w:tcPr>
            <w:tcW w:w="101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工程师、一级造价工程师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郭小俊</w:t>
            </w:r>
          </w:p>
        </w:tc>
        <w:tc>
          <w:tcPr>
            <w:tcW w:w="17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河南省中原建设工程有限公司</w:t>
            </w:r>
          </w:p>
        </w:tc>
        <w:tc>
          <w:tcPr>
            <w:tcW w:w="10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经营部长</w:t>
            </w:r>
          </w:p>
        </w:tc>
        <w:tc>
          <w:tcPr>
            <w:tcW w:w="101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邱宪威</w:t>
            </w:r>
          </w:p>
        </w:tc>
        <w:tc>
          <w:tcPr>
            <w:tcW w:w="17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河南中安建设工程有限公司</w:t>
            </w:r>
          </w:p>
        </w:tc>
        <w:tc>
          <w:tcPr>
            <w:tcW w:w="10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经营部部长</w:t>
            </w:r>
          </w:p>
        </w:tc>
        <w:tc>
          <w:tcPr>
            <w:tcW w:w="101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王永康</w:t>
            </w:r>
          </w:p>
        </w:tc>
        <w:tc>
          <w:tcPr>
            <w:tcW w:w="17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河南中安建设工程有限公司</w:t>
            </w:r>
          </w:p>
        </w:tc>
        <w:tc>
          <w:tcPr>
            <w:tcW w:w="10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事业发展部部长</w:t>
            </w:r>
          </w:p>
        </w:tc>
        <w:tc>
          <w:tcPr>
            <w:tcW w:w="101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孙燕</w:t>
            </w:r>
          </w:p>
        </w:tc>
        <w:tc>
          <w:tcPr>
            <w:tcW w:w="17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河南水建建筑工程有限公司</w:t>
            </w:r>
          </w:p>
        </w:tc>
        <w:tc>
          <w:tcPr>
            <w:tcW w:w="10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经营部经理</w:t>
            </w:r>
          </w:p>
        </w:tc>
        <w:tc>
          <w:tcPr>
            <w:tcW w:w="101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工程师、二级建造师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张玲</w:t>
            </w:r>
          </w:p>
        </w:tc>
        <w:tc>
          <w:tcPr>
            <w:tcW w:w="17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河南青峰建设有限公司</w:t>
            </w:r>
          </w:p>
        </w:tc>
        <w:tc>
          <w:tcPr>
            <w:tcW w:w="10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招投标经理</w:t>
            </w:r>
          </w:p>
        </w:tc>
        <w:tc>
          <w:tcPr>
            <w:tcW w:w="101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颜明</w:t>
            </w:r>
          </w:p>
        </w:tc>
        <w:tc>
          <w:tcPr>
            <w:tcW w:w="17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宙宏建设集团有限公司</w:t>
            </w:r>
          </w:p>
        </w:tc>
        <w:tc>
          <w:tcPr>
            <w:tcW w:w="10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经理</w:t>
            </w:r>
          </w:p>
        </w:tc>
        <w:tc>
          <w:tcPr>
            <w:tcW w:w="101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柳晓丽</w:t>
            </w:r>
          </w:p>
        </w:tc>
        <w:tc>
          <w:tcPr>
            <w:tcW w:w="17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河南福信建设集团有限公司</w:t>
            </w:r>
          </w:p>
        </w:tc>
        <w:tc>
          <w:tcPr>
            <w:tcW w:w="10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招投标经理</w:t>
            </w:r>
          </w:p>
        </w:tc>
        <w:tc>
          <w:tcPr>
            <w:tcW w:w="101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工程师、二级建造师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宋德建</w:t>
            </w:r>
          </w:p>
        </w:tc>
        <w:tc>
          <w:tcPr>
            <w:tcW w:w="17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焦作市招标投标协会</w:t>
            </w:r>
          </w:p>
        </w:tc>
        <w:tc>
          <w:tcPr>
            <w:tcW w:w="10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会长</w:t>
            </w:r>
          </w:p>
        </w:tc>
        <w:tc>
          <w:tcPr>
            <w:tcW w:w="101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周栓成</w:t>
            </w:r>
          </w:p>
        </w:tc>
        <w:tc>
          <w:tcPr>
            <w:tcW w:w="17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焦作市建筑业协会</w:t>
            </w:r>
          </w:p>
        </w:tc>
        <w:tc>
          <w:tcPr>
            <w:tcW w:w="10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会长</w:t>
            </w:r>
          </w:p>
        </w:tc>
        <w:tc>
          <w:tcPr>
            <w:tcW w:w="101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高级工程师</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黑体" w:hAnsi="黑体" w:eastAsia="黑体" w:cs="黑体"/>
          <w:i w:val="0"/>
          <w:iCs w:val="0"/>
          <w:caps w:val="0"/>
          <w:color w:val="000000"/>
          <w:spacing w:val="0"/>
          <w:kern w:val="0"/>
          <w:sz w:val="36"/>
          <w:szCs w:val="36"/>
          <w:shd w:val="clear" w:fill="FEFEFE"/>
          <w:lang w:val="en-US" w:eastAsia="zh-CN" w:bidi="ar"/>
        </w:rPr>
      </w:pPr>
      <w:r>
        <w:rPr>
          <w:rFonts w:hint="eastAsia" w:ascii="黑体" w:hAnsi="黑体" w:eastAsia="黑体" w:cs="黑体"/>
          <w:i w:val="0"/>
          <w:iCs w:val="0"/>
          <w:caps w:val="0"/>
          <w:color w:val="000000"/>
          <w:spacing w:val="0"/>
          <w:kern w:val="0"/>
          <w:sz w:val="36"/>
          <w:szCs w:val="36"/>
          <w:shd w:val="clear" w:fill="FEFEFE"/>
          <w:lang w:val="en-US" w:eastAsia="zh-CN" w:bidi="ar"/>
        </w:rPr>
        <w:t>专家委员会组成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font-size:14p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MjNkNzY5OWI2ODM4N2ZhNmY2ZmYxNDZkMzI2ZjgifQ=="/>
  </w:docVars>
  <w:rsids>
    <w:rsidRoot w:val="5F0270D3"/>
    <w:rsid w:val="02A55C85"/>
    <w:rsid w:val="0EDB32C2"/>
    <w:rsid w:val="2FB06B0E"/>
    <w:rsid w:val="304D2ECC"/>
    <w:rsid w:val="337D365C"/>
    <w:rsid w:val="34DD09E0"/>
    <w:rsid w:val="3D6B2BAD"/>
    <w:rsid w:val="42786A9F"/>
    <w:rsid w:val="5F0270D3"/>
    <w:rsid w:val="66124991"/>
    <w:rsid w:val="66A2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2027</Words>
  <Characters>2062</Characters>
  <Lines>0</Lines>
  <Paragraphs>0</Paragraphs>
  <TotalTime>9</TotalTime>
  <ScaleCrop>false</ScaleCrop>
  <LinksUpToDate>false</LinksUpToDate>
  <CharactersWithSpaces>2164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2024-09-18T03:13:00Z</dcterms:created>
  <dc:creator>Administrator</dc:creator>
  <cp:lastModifiedBy>李瑞良</cp:lastModifiedBy>
  <cp:lastPrinted>2024-09-18T09:02:42Z</cp:lastPrinted>
  <dcterms:modified xsi:type="dcterms:W3CDTF">2024-09-18T09:08:19Z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96F3D4A008E14E4A81FA23612D6E5906_11</vt:lpwstr>
  </property>
</Properties>
</file>