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4"/>
        <w:jc w:val="center"/>
        <w:rPr>
          <w:rFonts w:hint="eastAsia" w:hAnsi="宋体" w:eastAsia="宋体" w:cs="宋体"/>
          <w:b/>
          <w:color w:val="auto"/>
          <w:sz w:val="48"/>
          <w:lang w:val="en-US" w:eastAsia="zh-CN"/>
        </w:rPr>
      </w:pPr>
      <w:r>
        <w:rPr>
          <w:rFonts w:hint="eastAsia" w:hAnsi="宋体" w:cs="宋体"/>
          <w:b/>
          <w:color w:val="auto"/>
          <w:sz w:val="48"/>
          <w:lang w:val="en-US" w:eastAsia="zh-CN"/>
        </w:rPr>
        <w:drawing>
          <wp:inline distT="0" distB="0" distL="114300" distR="114300">
            <wp:extent cx="5760085" cy="8192135"/>
            <wp:effectExtent l="0" t="0" r="12065" b="18415"/>
            <wp:docPr id="2" name="图片 2" descr="监理文件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监理文件封面"/>
                    <pic:cNvPicPr>
                      <a:picLocks noChangeAspect="1"/>
                    </pic:cNvPicPr>
                  </pic:nvPicPr>
                  <pic:blipFill>
                    <a:blip r:embed="rId11"/>
                    <a:stretch>
                      <a:fillRect/>
                    </a:stretch>
                  </pic:blipFill>
                  <pic:spPr>
                    <a:xfrm>
                      <a:off x="0" y="0"/>
                      <a:ext cx="5760085" cy="8192135"/>
                    </a:xfrm>
                    <a:prstGeom prst="rect">
                      <a:avLst/>
                    </a:prstGeom>
                  </pic:spPr>
                </pic:pic>
              </a:graphicData>
            </a:graphic>
          </wp:inline>
        </w:drawing>
      </w:r>
      <w:r>
        <w:rPr>
          <w:rFonts w:hint="eastAsia" w:hAnsi="宋体" w:cs="宋体"/>
          <w:b/>
          <w:color w:val="auto"/>
          <w:sz w:val="48"/>
          <w:lang w:val="en-US" w:eastAsia="zh-CN"/>
        </w:rPr>
        <w:t xml:space="preserve"> </w:t>
      </w:r>
    </w:p>
    <w:p>
      <w:pPr>
        <w:pStyle w:val="11"/>
        <w:spacing w:line="360" w:lineRule="auto"/>
        <w:jc w:val="center"/>
        <w:rPr>
          <w:rFonts w:hint="eastAsia" w:hAnsi="宋体" w:eastAsia="宋体" w:cs="宋体"/>
          <w:b/>
          <w:bCs/>
          <w:sz w:val="44"/>
          <w:szCs w:val="44"/>
          <w:lang w:eastAsia="zh-CN"/>
        </w:rPr>
      </w:pPr>
      <w:r>
        <w:rPr>
          <w:rFonts w:hint="eastAsia" w:hAnsi="宋体" w:cs="宋体"/>
          <w:b/>
          <w:bCs/>
          <w:sz w:val="44"/>
          <w:szCs w:val="44"/>
          <w:lang w:eastAsia="zh-CN"/>
        </w:rPr>
        <w:t>国创•上风上水项目施工总承包监理</w:t>
      </w:r>
    </w:p>
    <w:p>
      <w:pPr>
        <w:pStyle w:val="44"/>
        <w:rPr>
          <w:rFonts w:hAnsi="宋体" w:cs="宋体"/>
          <w:b/>
          <w:color w:val="auto"/>
          <w:spacing w:val="60"/>
          <w:sz w:val="70"/>
        </w:rPr>
      </w:pPr>
    </w:p>
    <w:p>
      <w:pPr>
        <w:pStyle w:val="44"/>
        <w:rPr>
          <w:rFonts w:hAnsi="宋体" w:cs="宋体"/>
          <w:b/>
          <w:color w:val="auto"/>
          <w:spacing w:val="60"/>
          <w:sz w:val="70"/>
        </w:rPr>
      </w:pPr>
    </w:p>
    <w:p>
      <w:pPr>
        <w:jc w:val="center"/>
        <w:rPr>
          <w:rFonts w:ascii="宋体" w:hAnsi="宋体" w:cs="宋体"/>
          <w:b/>
          <w:sz w:val="84"/>
          <w:szCs w:val="84"/>
        </w:rPr>
      </w:pPr>
      <w:r>
        <w:rPr>
          <w:rFonts w:hint="eastAsia" w:ascii="宋体" w:hAnsi="宋体" w:cs="宋体"/>
          <w:b/>
          <w:sz w:val="84"/>
          <w:szCs w:val="84"/>
        </w:rPr>
        <w:t>招  标  文  件</w:t>
      </w:r>
    </w:p>
    <w:p>
      <w:pPr>
        <w:ind w:firstLine="1968" w:firstLineChars="700"/>
        <w:rPr>
          <w:rFonts w:ascii="宋体" w:hAnsi="宋体" w:cs="宋体"/>
          <w:b/>
          <w:sz w:val="28"/>
          <w:szCs w:val="28"/>
        </w:rPr>
      </w:pPr>
    </w:p>
    <w:p>
      <w:pPr>
        <w:ind w:firstLine="2530" w:firstLineChars="900"/>
        <w:rPr>
          <w:rFonts w:hint="default" w:ascii="宋体" w:hAnsi="宋体" w:eastAsia="宋体" w:cs="宋体"/>
          <w:b/>
          <w:sz w:val="28"/>
          <w:szCs w:val="28"/>
          <w:lang w:val="en-US" w:eastAsia="zh-CN"/>
        </w:rPr>
      </w:pPr>
      <w:r>
        <w:rPr>
          <w:rFonts w:hint="eastAsia" w:ascii="宋体" w:hAnsi="宋体" w:cs="宋体"/>
          <w:b/>
          <w:sz w:val="28"/>
          <w:szCs w:val="28"/>
        </w:rPr>
        <w:t>招标编号：</w:t>
      </w:r>
      <w:r>
        <w:rPr>
          <w:rFonts w:hint="eastAsia" w:ascii="宋体" w:hAnsi="宋体" w:cs="宋体"/>
          <w:b/>
          <w:sz w:val="28"/>
          <w:szCs w:val="28"/>
          <w:lang w:eastAsia="zh-CN"/>
        </w:rPr>
        <w:t>焦招[2024]-</w:t>
      </w:r>
      <w:r>
        <w:rPr>
          <w:rFonts w:hint="eastAsia" w:ascii="宋体" w:hAnsi="宋体" w:cs="宋体"/>
          <w:b/>
          <w:sz w:val="28"/>
          <w:szCs w:val="28"/>
          <w:lang w:val="en-US" w:eastAsia="zh-CN"/>
        </w:rPr>
        <w:t>011</w:t>
      </w:r>
    </w:p>
    <w:p>
      <w:pPr>
        <w:ind w:firstLine="2530" w:firstLineChars="900"/>
        <w:rPr>
          <w:rFonts w:hint="eastAsia" w:ascii="宋体" w:hAnsi="宋体" w:cs="宋体"/>
          <w:b/>
          <w:sz w:val="28"/>
          <w:szCs w:val="28"/>
        </w:rPr>
      </w:pPr>
      <w:r>
        <w:rPr>
          <w:rFonts w:hint="eastAsia" w:ascii="宋体" w:hAnsi="宋体" w:cs="宋体"/>
          <w:b/>
          <w:sz w:val="28"/>
          <w:szCs w:val="28"/>
        </w:rPr>
        <w:t>项目编号：</w:t>
      </w:r>
      <w:r>
        <w:rPr>
          <w:rFonts w:hint="eastAsia" w:ascii="宋体" w:hAnsi="宋体" w:cs="宋体"/>
          <w:b/>
          <w:sz w:val="28"/>
          <w:szCs w:val="28"/>
          <w:lang w:val="en-US" w:eastAsia="zh-CN"/>
        </w:rPr>
        <w:t>焦公资工程J2024-001</w:t>
      </w:r>
    </w:p>
    <w:p>
      <w:pPr>
        <w:ind w:firstLine="2891" w:firstLineChars="900"/>
        <w:rPr>
          <w:rFonts w:hint="eastAsia" w:ascii="宋体" w:hAnsi="宋体" w:eastAsia="宋体" w:cs="宋体"/>
          <w:b/>
          <w:bCs/>
          <w:sz w:val="32"/>
          <w:szCs w:val="32"/>
          <w:lang w:eastAsia="zh-CN"/>
        </w:rPr>
      </w:pPr>
    </w:p>
    <w:p>
      <w:pPr>
        <w:jc w:val="center"/>
        <w:rPr>
          <w:rFonts w:ascii="宋体" w:hAnsi="宋体" w:cs="宋体"/>
          <w:b/>
          <w:bCs/>
          <w:sz w:val="32"/>
          <w:szCs w:val="32"/>
        </w:rPr>
      </w:pPr>
    </w:p>
    <w:p>
      <w:pPr>
        <w:jc w:val="center"/>
        <w:rPr>
          <w:rFonts w:ascii="宋体" w:hAnsi="宋体" w:cs="宋体"/>
          <w:b/>
          <w:bCs/>
          <w:sz w:val="32"/>
          <w:szCs w:val="32"/>
        </w:rPr>
      </w:pPr>
    </w:p>
    <w:p>
      <w:pPr>
        <w:pStyle w:val="25"/>
        <w:rPr>
          <w:rFonts w:ascii="宋体" w:hAnsi="宋体" w:cs="宋体"/>
        </w:rPr>
      </w:pPr>
    </w:p>
    <w:p>
      <w:pPr>
        <w:jc w:val="center"/>
        <w:rPr>
          <w:rFonts w:ascii="宋体" w:hAnsi="宋体" w:cs="宋体"/>
          <w:b/>
          <w:bCs/>
          <w:sz w:val="32"/>
          <w:szCs w:val="32"/>
        </w:rPr>
      </w:pPr>
    </w:p>
    <w:p>
      <w:pPr>
        <w:pStyle w:val="43"/>
        <w:ind w:firstLine="643"/>
        <w:rPr>
          <w:rFonts w:ascii="宋体" w:hAnsi="宋体" w:cs="宋体"/>
          <w:b/>
          <w:bCs/>
          <w:sz w:val="32"/>
          <w:szCs w:val="32"/>
        </w:rPr>
      </w:pPr>
    </w:p>
    <w:p>
      <w:pPr>
        <w:pStyle w:val="43"/>
        <w:ind w:firstLine="643"/>
        <w:rPr>
          <w:rFonts w:ascii="宋体" w:hAnsi="宋体" w:cs="宋体"/>
          <w:b/>
          <w:bCs/>
          <w:sz w:val="32"/>
          <w:szCs w:val="32"/>
        </w:rPr>
      </w:pPr>
    </w:p>
    <w:p>
      <w:pPr>
        <w:jc w:val="center"/>
        <w:rPr>
          <w:rFonts w:ascii="宋体" w:hAnsi="宋体" w:cs="宋体"/>
          <w:b/>
          <w:bCs/>
          <w:sz w:val="32"/>
          <w:szCs w:val="32"/>
        </w:rPr>
      </w:pPr>
    </w:p>
    <w:p>
      <w:pPr>
        <w:ind w:firstLine="1886" w:firstLineChars="587"/>
        <w:jc w:val="left"/>
        <w:rPr>
          <w:rFonts w:hint="eastAsia" w:ascii="宋体" w:hAnsi="宋体" w:eastAsia="宋体"/>
          <w:b/>
          <w:bCs/>
          <w:color w:val="000000" w:themeColor="text1"/>
          <w:sz w:val="32"/>
          <w:szCs w:val="32"/>
          <w:lang w:eastAsia="zh-CN"/>
          <w14:textFill>
            <w14:solidFill>
              <w14:schemeClr w14:val="tx1"/>
            </w14:solidFill>
          </w14:textFill>
        </w:rPr>
      </w:pPr>
      <w:r>
        <w:rPr>
          <w:rFonts w:hint="eastAsia" w:ascii="宋体" w:hAnsi="宋体" w:cs="宋体"/>
          <w:b/>
          <w:bCs/>
          <w:color w:val="000000" w:themeColor="text1"/>
          <w:sz w:val="32"/>
          <w:szCs w:val="32"/>
          <w14:textFill>
            <w14:solidFill>
              <w14:schemeClr w14:val="tx1"/>
            </w14:solidFill>
          </w14:textFill>
        </w:rPr>
        <w:t>招标人：</w:t>
      </w:r>
      <w:r>
        <w:rPr>
          <w:rFonts w:hint="eastAsia" w:ascii="宋体" w:hAnsi="宋体" w:cs="宋体"/>
          <w:b/>
          <w:bCs/>
          <w:color w:val="000000" w:themeColor="text1"/>
          <w:sz w:val="32"/>
          <w:szCs w:val="32"/>
          <w:lang w:eastAsia="zh-CN"/>
          <w14:textFill>
            <w14:solidFill>
              <w14:schemeClr w14:val="tx1"/>
            </w14:solidFill>
          </w14:textFill>
        </w:rPr>
        <w:t>河南国创城市发展有限公司</w:t>
      </w:r>
    </w:p>
    <w:p>
      <w:pPr>
        <w:ind w:firstLine="1886" w:firstLineChars="587"/>
        <w:jc w:val="left"/>
        <w:rPr>
          <w:rFonts w:hint="eastAsia" w:ascii="宋体" w:hAnsi="宋体" w:eastAsia="宋体"/>
          <w:b/>
          <w:bCs/>
          <w:color w:val="000000" w:themeColor="text1"/>
          <w:sz w:val="32"/>
          <w:szCs w:val="32"/>
          <w:lang w:eastAsia="zh-CN"/>
          <w14:textFill>
            <w14:solidFill>
              <w14:schemeClr w14:val="tx1"/>
            </w14:solidFill>
          </w14:textFill>
        </w:rPr>
      </w:pPr>
      <w:r>
        <w:rPr>
          <w:rFonts w:hint="eastAsia" w:ascii="宋体" w:hAnsi="宋体" w:cs="宋体"/>
          <w:b/>
          <w:bCs/>
          <w:color w:val="000000" w:themeColor="text1"/>
          <w:sz w:val="32"/>
          <w:szCs w:val="32"/>
          <w14:textFill>
            <w14:solidFill>
              <w14:schemeClr w14:val="tx1"/>
            </w14:solidFill>
          </w14:textFill>
        </w:rPr>
        <w:t>招标代理机构：</w:t>
      </w:r>
      <w:r>
        <w:rPr>
          <w:rFonts w:hint="eastAsia" w:ascii="宋体" w:hAnsi="宋体"/>
          <w:b/>
          <w:bCs/>
          <w:color w:val="000000" w:themeColor="text1"/>
          <w:sz w:val="32"/>
          <w:szCs w:val="32"/>
          <w:lang w:eastAsia="zh-CN"/>
          <w14:textFill>
            <w14:solidFill>
              <w14:schemeClr w14:val="tx1"/>
            </w14:solidFill>
          </w14:textFill>
        </w:rPr>
        <w:t>鹏新工程管理有限公司</w:t>
      </w:r>
    </w:p>
    <w:p>
      <w:pPr>
        <w:ind w:firstLine="1928" w:firstLineChars="600"/>
        <w:rPr>
          <w:rFonts w:hint="eastAsia" w:ascii="宋体" w:hAnsi="宋体" w:cs="宋体"/>
          <w:b/>
          <w:bCs/>
          <w:color w:val="000000" w:themeColor="text1"/>
          <w:sz w:val="32"/>
          <w:szCs w:val="32"/>
          <w14:textFill>
            <w14:solidFill>
              <w14:schemeClr w14:val="tx1"/>
            </w14:solidFill>
          </w14:textFill>
        </w:rPr>
      </w:pPr>
      <w:r>
        <w:rPr>
          <w:rFonts w:hint="eastAsia" w:ascii="宋体" w:hAnsi="宋体" w:cs="宋体"/>
          <w:b/>
          <w:bCs/>
          <w:color w:val="000000" w:themeColor="text1"/>
          <w:sz w:val="32"/>
          <w:szCs w:val="32"/>
          <w14:textFill>
            <w14:solidFill>
              <w14:schemeClr w14:val="tx1"/>
            </w14:solidFill>
          </w14:textFill>
        </w:rPr>
        <w:t>招标人项目负责人：</w:t>
      </w:r>
      <w:r>
        <w:rPr>
          <w:rFonts w:hint="eastAsia" w:ascii="宋体" w:hAnsi="宋体" w:cs="宋体"/>
          <w:b/>
          <w:bCs/>
          <w:color w:val="000000" w:themeColor="text1"/>
          <w:sz w:val="32"/>
          <w:szCs w:val="32"/>
          <w:lang w:val="en-US" w:eastAsia="zh-CN"/>
          <w14:textFill>
            <w14:solidFill>
              <w14:schemeClr w14:val="tx1"/>
            </w14:solidFill>
          </w14:textFill>
        </w:rPr>
        <w:t>赵珂</w:t>
      </w:r>
    </w:p>
    <w:p>
      <w:pPr>
        <w:ind w:firstLine="1928" w:firstLineChars="600"/>
        <w:rPr>
          <w:rFonts w:hint="default" w:ascii="宋体" w:hAnsi="宋体" w:cs="宋体"/>
          <w:b/>
          <w:bCs/>
          <w:color w:val="000000" w:themeColor="text1"/>
          <w:sz w:val="32"/>
          <w:szCs w:val="32"/>
          <w:lang w:val="en-US" w:eastAsia="zh-CN"/>
          <w14:textFill>
            <w14:solidFill>
              <w14:schemeClr w14:val="tx1"/>
            </w14:solidFill>
          </w14:textFill>
        </w:rPr>
      </w:pPr>
      <w:r>
        <w:rPr>
          <w:rFonts w:hint="eastAsia" w:ascii="宋体" w:hAnsi="宋体" w:cs="宋体"/>
          <w:b/>
          <w:bCs/>
          <w:color w:val="000000" w:themeColor="text1"/>
          <w:sz w:val="32"/>
          <w:szCs w:val="32"/>
          <w14:textFill>
            <w14:solidFill>
              <w14:schemeClr w14:val="tx1"/>
            </w14:solidFill>
          </w14:textFill>
        </w:rPr>
        <w:t>招标代理机构项目负责人：</w:t>
      </w:r>
      <w:r>
        <w:rPr>
          <w:rFonts w:hint="eastAsia" w:ascii="宋体" w:hAnsi="宋体" w:cs="宋体"/>
          <w:b/>
          <w:bCs/>
          <w:color w:val="000000" w:themeColor="text1"/>
          <w:sz w:val="32"/>
          <w:szCs w:val="32"/>
          <w:lang w:val="en-US" w:eastAsia="zh-CN"/>
          <w14:textFill>
            <w14:solidFill>
              <w14:schemeClr w14:val="tx1"/>
            </w14:solidFill>
          </w14:textFill>
        </w:rPr>
        <w:t>梁博</w:t>
      </w:r>
    </w:p>
    <w:p>
      <w:pPr>
        <w:ind w:firstLine="3733" w:firstLineChars="1162"/>
        <w:rPr>
          <w:rFonts w:ascii="宋体" w:hAnsi="宋体" w:cs="宋体"/>
          <w:b/>
          <w:bCs/>
          <w:color w:val="000000" w:themeColor="text1"/>
          <w:sz w:val="32"/>
          <w:szCs w:val="32"/>
          <w14:textFill>
            <w14:solidFill>
              <w14:schemeClr w14:val="tx1"/>
            </w14:solidFill>
          </w14:textFill>
        </w:rPr>
      </w:pPr>
      <w:r>
        <w:rPr>
          <w:rFonts w:hint="eastAsia" w:ascii="宋体" w:hAnsi="宋体" w:cs="宋体"/>
          <w:b/>
          <w:bCs/>
          <w:color w:val="000000" w:themeColor="text1"/>
          <w:sz w:val="32"/>
          <w:szCs w:val="32"/>
          <w14:textFill>
            <w14:solidFill>
              <w14:schemeClr w14:val="tx1"/>
            </w14:solidFill>
          </w14:textFill>
        </w:rPr>
        <w:t>二零二</w:t>
      </w:r>
      <w:r>
        <w:rPr>
          <w:rFonts w:hint="eastAsia" w:ascii="宋体" w:hAnsi="宋体" w:cs="宋体"/>
          <w:b/>
          <w:bCs/>
          <w:color w:val="000000" w:themeColor="text1"/>
          <w:sz w:val="32"/>
          <w:szCs w:val="32"/>
          <w:lang w:eastAsia="zh-CN"/>
          <w14:textFill>
            <w14:solidFill>
              <w14:schemeClr w14:val="tx1"/>
            </w14:solidFill>
          </w14:textFill>
        </w:rPr>
        <w:t>四</w:t>
      </w:r>
      <w:r>
        <w:rPr>
          <w:rFonts w:hint="eastAsia" w:ascii="宋体" w:hAnsi="宋体" w:cs="宋体"/>
          <w:b/>
          <w:bCs/>
          <w:color w:val="000000" w:themeColor="text1"/>
          <w:sz w:val="32"/>
          <w:szCs w:val="32"/>
          <w14:textFill>
            <w14:solidFill>
              <w14:schemeClr w14:val="tx1"/>
            </w14:solidFill>
          </w14:textFill>
        </w:rPr>
        <w:t>年</w:t>
      </w:r>
      <w:r>
        <w:rPr>
          <w:rFonts w:hint="eastAsia" w:ascii="宋体" w:hAnsi="宋体" w:cs="宋体"/>
          <w:b/>
          <w:bCs/>
          <w:color w:val="000000" w:themeColor="text1"/>
          <w:sz w:val="32"/>
          <w:szCs w:val="32"/>
          <w:lang w:val="en-US" w:eastAsia="zh-CN"/>
          <w14:textFill>
            <w14:solidFill>
              <w14:schemeClr w14:val="tx1"/>
            </w14:solidFill>
          </w14:textFill>
        </w:rPr>
        <w:t>三</w:t>
      </w:r>
      <w:r>
        <w:rPr>
          <w:rFonts w:hint="eastAsia" w:ascii="宋体" w:hAnsi="宋体" w:cs="宋体"/>
          <w:b/>
          <w:bCs/>
          <w:color w:val="000000" w:themeColor="text1"/>
          <w:sz w:val="32"/>
          <w:szCs w:val="32"/>
          <w14:textFill>
            <w14:solidFill>
              <w14:schemeClr w14:val="tx1"/>
            </w14:solidFill>
          </w14:textFill>
        </w:rPr>
        <w:t>月</w:t>
      </w:r>
    </w:p>
    <w:p>
      <w:pPr>
        <w:tabs>
          <w:tab w:val="left" w:pos="3630"/>
          <w:tab w:val="center" w:pos="4535"/>
        </w:tabs>
        <w:spacing w:line="400" w:lineRule="exact"/>
        <w:ind w:right="-109" w:rightChars="-52"/>
        <w:jc w:val="left"/>
        <w:rPr>
          <w:rFonts w:ascii="宋体" w:hAnsi="宋体" w:cs="宋体"/>
          <w:b/>
          <w:sz w:val="30"/>
        </w:rPr>
        <w:sectPr>
          <w:footerReference r:id="rId4" w:type="first"/>
          <w:footerReference r:id="rId3" w:type="default"/>
          <w:pgSz w:w="11906" w:h="16838"/>
          <w:pgMar w:top="1418" w:right="1417" w:bottom="1418" w:left="1417" w:header="850" w:footer="850" w:gutter="0"/>
          <w:pgNumType w:start="1"/>
          <w:cols w:space="720" w:num="1"/>
          <w:docGrid w:type="lines" w:linePitch="312" w:charSpace="0"/>
        </w:sectPr>
      </w:pPr>
    </w:p>
    <w:p>
      <w:pPr>
        <w:jc w:val="center"/>
        <w:rPr>
          <w:rFonts w:ascii="宋体" w:hAnsi="宋体" w:cs="宋体"/>
          <w:b/>
          <w:sz w:val="36"/>
        </w:rPr>
      </w:pPr>
      <w:bookmarkStart w:id="0" w:name="_Toc152042286"/>
      <w:bookmarkStart w:id="1" w:name="_Toc144974478"/>
      <w:bookmarkStart w:id="2" w:name="_Toc300834926"/>
      <w:bookmarkStart w:id="3" w:name="_Toc247527532"/>
      <w:r>
        <w:rPr>
          <w:rFonts w:hint="eastAsia" w:ascii="宋体" w:hAnsi="宋体" w:cs="宋体"/>
          <w:b/>
          <w:sz w:val="32"/>
        </w:rPr>
        <w:t>目     录</w:t>
      </w:r>
      <w:bookmarkEnd w:id="0"/>
      <w:bookmarkEnd w:id="1"/>
      <w:bookmarkEnd w:id="2"/>
      <w:bookmarkEnd w:id="3"/>
    </w:p>
    <w:p>
      <w:pPr>
        <w:pStyle w:val="19"/>
        <w:tabs>
          <w:tab w:val="right" w:leader="dot" w:pos="8306"/>
        </w:tabs>
        <w:spacing w:line="480" w:lineRule="auto"/>
      </w:pPr>
      <w:bookmarkStart w:id="4" w:name="_Toc24983"/>
      <w:bookmarkStart w:id="5" w:name="_Toc11604"/>
      <w:bookmarkStart w:id="6" w:name="_Toc1670"/>
      <w:r>
        <w:fldChar w:fldCharType="begin"/>
      </w:r>
      <w:r>
        <w:instrText xml:space="preserve">TOC \o "1-1" \h \u </w:instrText>
      </w:r>
      <w:r>
        <w:fldChar w:fldCharType="separate"/>
      </w:r>
      <w:r>
        <w:fldChar w:fldCharType="begin"/>
      </w:r>
      <w:r>
        <w:instrText xml:space="preserve"> HYPERLINK \l _Toc17477 </w:instrText>
      </w:r>
      <w:r>
        <w:fldChar w:fldCharType="separate"/>
      </w:r>
      <w:r>
        <w:rPr>
          <w:rFonts w:hint="eastAsia" w:ascii="宋体" w:hAnsi="宋体" w:cs="宋体"/>
        </w:rPr>
        <w:t>第一章 招标公告</w:t>
      </w:r>
      <w:r>
        <w:tab/>
      </w:r>
      <w:r>
        <w:fldChar w:fldCharType="begin"/>
      </w:r>
      <w:r>
        <w:instrText xml:space="preserve"> PAGEREF _Toc17477 \h </w:instrText>
      </w:r>
      <w:r>
        <w:fldChar w:fldCharType="separate"/>
      </w:r>
      <w:r>
        <w:t>3</w:t>
      </w:r>
      <w:r>
        <w:fldChar w:fldCharType="end"/>
      </w:r>
      <w:r>
        <w:fldChar w:fldCharType="end"/>
      </w:r>
    </w:p>
    <w:p>
      <w:pPr>
        <w:pStyle w:val="19"/>
        <w:tabs>
          <w:tab w:val="right" w:leader="dot" w:pos="8306"/>
        </w:tabs>
        <w:spacing w:line="480" w:lineRule="auto"/>
      </w:pPr>
      <w:r>
        <w:fldChar w:fldCharType="begin"/>
      </w:r>
      <w:r>
        <w:instrText xml:space="preserve"> HYPERLINK \l _Toc4403 </w:instrText>
      </w:r>
      <w:r>
        <w:fldChar w:fldCharType="separate"/>
      </w:r>
      <w:r>
        <w:rPr>
          <w:rFonts w:hint="eastAsia" w:ascii="宋体" w:hAnsi="宋体" w:cs="宋体"/>
        </w:rPr>
        <w:t>第二章 投标人须知</w:t>
      </w:r>
      <w:r>
        <w:tab/>
      </w:r>
      <w:r>
        <w:fldChar w:fldCharType="begin"/>
      </w:r>
      <w:r>
        <w:instrText xml:space="preserve"> PAGEREF _Toc4403 \h </w:instrText>
      </w:r>
      <w:r>
        <w:fldChar w:fldCharType="separate"/>
      </w:r>
      <w:r>
        <w:t>6</w:t>
      </w:r>
      <w:r>
        <w:fldChar w:fldCharType="end"/>
      </w:r>
      <w:r>
        <w:fldChar w:fldCharType="end"/>
      </w:r>
    </w:p>
    <w:p>
      <w:pPr>
        <w:pStyle w:val="19"/>
        <w:tabs>
          <w:tab w:val="right" w:leader="dot" w:pos="8306"/>
        </w:tabs>
        <w:spacing w:line="480" w:lineRule="auto"/>
      </w:pPr>
      <w:r>
        <w:fldChar w:fldCharType="begin"/>
      </w:r>
      <w:r>
        <w:instrText xml:space="preserve"> HYPERLINK \l _Toc4757 </w:instrText>
      </w:r>
      <w:r>
        <w:fldChar w:fldCharType="separate"/>
      </w:r>
      <w:r>
        <w:rPr>
          <w:rFonts w:hint="eastAsia" w:ascii="宋体" w:hAnsi="宋体" w:cs="宋体"/>
        </w:rPr>
        <w:t>第三章 评标办法（综合评估法）</w:t>
      </w:r>
      <w:r>
        <w:tab/>
      </w:r>
      <w:r>
        <w:fldChar w:fldCharType="begin"/>
      </w:r>
      <w:r>
        <w:instrText xml:space="preserve"> PAGEREF _Toc4757 \h </w:instrText>
      </w:r>
      <w:r>
        <w:fldChar w:fldCharType="separate"/>
      </w:r>
      <w:r>
        <w:t>25</w:t>
      </w:r>
      <w:r>
        <w:fldChar w:fldCharType="end"/>
      </w:r>
      <w:r>
        <w:fldChar w:fldCharType="end"/>
      </w:r>
    </w:p>
    <w:p>
      <w:pPr>
        <w:pStyle w:val="19"/>
        <w:tabs>
          <w:tab w:val="right" w:leader="dot" w:pos="8306"/>
        </w:tabs>
        <w:spacing w:line="480" w:lineRule="auto"/>
      </w:pPr>
      <w:r>
        <w:fldChar w:fldCharType="begin"/>
      </w:r>
      <w:r>
        <w:instrText xml:space="preserve"> HYPERLINK \l _Toc31582 </w:instrText>
      </w:r>
      <w:r>
        <w:fldChar w:fldCharType="separate"/>
      </w:r>
      <w:r>
        <w:rPr>
          <w:rFonts w:hint="eastAsia" w:ascii="宋体" w:hAnsi="宋体" w:cs="宋体"/>
        </w:rPr>
        <w:t>第四章 技术条件和技术规范</w:t>
      </w:r>
      <w:r>
        <w:tab/>
      </w:r>
      <w:r>
        <w:fldChar w:fldCharType="begin"/>
      </w:r>
      <w:r>
        <w:instrText xml:space="preserve"> PAGEREF _Toc31582 \h </w:instrText>
      </w:r>
      <w:r>
        <w:fldChar w:fldCharType="separate"/>
      </w:r>
      <w:r>
        <w:t>31</w:t>
      </w:r>
      <w:r>
        <w:fldChar w:fldCharType="end"/>
      </w:r>
      <w:r>
        <w:fldChar w:fldCharType="end"/>
      </w:r>
    </w:p>
    <w:p>
      <w:pPr>
        <w:pStyle w:val="19"/>
        <w:tabs>
          <w:tab w:val="right" w:leader="dot" w:pos="8306"/>
        </w:tabs>
        <w:spacing w:line="480" w:lineRule="auto"/>
      </w:pPr>
      <w:r>
        <w:fldChar w:fldCharType="begin"/>
      </w:r>
      <w:r>
        <w:instrText xml:space="preserve"> HYPERLINK \l _Toc18914 </w:instrText>
      </w:r>
      <w:r>
        <w:fldChar w:fldCharType="separate"/>
      </w:r>
      <w:r>
        <w:rPr>
          <w:rFonts w:hint="eastAsia" w:ascii="宋体" w:hAnsi="宋体" w:cs="宋体"/>
        </w:rPr>
        <w:t>第五章 合同条款及格式（参考）</w:t>
      </w:r>
      <w:r>
        <w:tab/>
      </w:r>
      <w:r>
        <w:fldChar w:fldCharType="begin"/>
      </w:r>
      <w:r>
        <w:instrText xml:space="preserve"> PAGEREF _Toc18914 \h </w:instrText>
      </w:r>
      <w:r>
        <w:fldChar w:fldCharType="separate"/>
      </w:r>
      <w:r>
        <w:t>33</w:t>
      </w:r>
      <w:r>
        <w:fldChar w:fldCharType="end"/>
      </w:r>
      <w:r>
        <w:fldChar w:fldCharType="end"/>
      </w:r>
    </w:p>
    <w:p>
      <w:pPr>
        <w:pStyle w:val="19"/>
        <w:tabs>
          <w:tab w:val="right" w:leader="dot" w:pos="8306"/>
        </w:tabs>
        <w:spacing w:line="480" w:lineRule="auto"/>
      </w:pPr>
      <w:r>
        <w:fldChar w:fldCharType="begin"/>
      </w:r>
      <w:r>
        <w:instrText xml:space="preserve"> HYPERLINK \l _Toc5289 </w:instrText>
      </w:r>
      <w:r>
        <w:fldChar w:fldCharType="separate"/>
      </w:r>
      <w:r>
        <w:rPr>
          <w:rFonts w:ascii="宋体" w:hAnsi="宋体"/>
        </w:rPr>
        <w:t>第</w:t>
      </w:r>
      <w:r>
        <w:rPr>
          <w:rFonts w:hint="eastAsia" w:ascii="宋体" w:hAnsi="宋体"/>
        </w:rPr>
        <w:t>六</w:t>
      </w:r>
      <w:r>
        <w:rPr>
          <w:rFonts w:ascii="宋体" w:hAnsi="宋体"/>
        </w:rPr>
        <w:t>章</w:t>
      </w:r>
      <w:r>
        <w:rPr>
          <w:rFonts w:hint="eastAsia" w:ascii="宋体" w:hAnsi="宋体"/>
        </w:rPr>
        <w:t xml:space="preserve"> </w:t>
      </w:r>
      <w:r>
        <w:rPr>
          <w:rFonts w:hint="eastAsia" w:ascii="宋体" w:hAnsi="宋体" w:cs="宋体"/>
        </w:rPr>
        <w:t>投标文件格式</w:t>
      </w:r>
      <w:r>
        <w:tab/>
      </w:r>
      <w:r>
        <w:fldChar w:fldCharType="begin"/>
      </w:r>
      <w:r>
        <w:instrText xml:space="preserve"> PAGEREF _Toc5289 \h </w:instrText>
      </w:r>
      <w:r>
        <w:fldChar w:fldCharType="separate"/>
      </w:r>
      <w:r>
        <w:t>52</w:t>
      </w:r>
      <w:r>
        <w:fldChar w:fldCharType="end"/>
      </w:r>
      <w:r>
        <w:fldChar w:fldCharType="end"/>
      </w:r>
    </w:p>
    <w:p>
      <w:r>
        <w:fldChar w:fldCharType="end"/>
      </w:r>
    </w:p>
    <w:p>
      <w:pPr>
        <w:pStyle w:val="4"/>
        <w:keepNext w:val="0"/>
        <w:keepLines w:val="0"/>
        <w:pageBreakBefore/>
        <w:spacing w:before="120" w:after="120" w:line="400" w:lineRule="exact"/>
        <w:jc w:val="center"/>
        <w:rPr>
          <w:rFonts w:ascii="宋体" w:hAnsi="宋体" w:cs="宋体"/>
        </w:rPr>
      </w:pPr>
      <w:bookmarkStart w:id="7" w:name="_Toc17477"/>
      <w:bookmarkStart w:id="8" w:name="_Toc13123"/>
      <w:r>
        <w:rPr>
          <w:rFonts w:hint="eastAsia" w:ascii="宋体" w:hAnsi="宋体" w:cs="宋体"/>
        </w:rPr>
        <w:t>第一章 招标公告</w:t>
      </w:r>
      <w:bookmarkEnd w:id="4"/>
      <w:bookmarkEnd w:id="5"/>
      <w:bookmarkEnd w:id="6"/>
      <w:bookmarkEnd w:id="7"/>
      <w:bookmarkEnd w:id="8"/>
    </w:p>
    <w:p>
      <w:pPr>
        <w:keepNext w:val="0"/>
        <w:keepLines w:val="0"/>
        <w:pageBreakBefore w:val="0"/>
        <w:widowControl w:val="0"/>
        <w:topLinePunct w:val="0"/>
        <w:autoSpaceDE/>
        <w:autoSpaceDN/>
        <w:bidi w:val="0"/>
        <w:spacing w:line="440" w:lineRule="exact"/>
        <w:jc w:val="center"/>
        <w:textAlignment w:val="baseline"/>
        <w:rPr>
          <w:rFonts w:ascii="宋体" w:hAnsi="宋体" w:cs="宋体"/>
          <w:b/>
          <w:sz w:val="24"/>
        </w:rPr>
      </w:pPr>
      <w:bookmarkStart w:id="9" w:name="_Toc9573"/>
      <w:bookmarkStart w:id="10" w:name="_Toc13133"/>
      <w:bookmarkStart w:id="11" w:name="_Toc152045527"/>
      <w:bookmarkStart w:id="12" w:name="_Toc247527551"/>
      <w:bookmarkStart w:id="13" w:name="_Toc144974495"/>
      <w:bookmarkStart w:id="14" w:name="_Toc247513950"/>
      <w:bookmarkStart w:id="15" w:name="_Toc152042303"/>
      <w:r>
        <w:rPr>
          <w:rFonts w:hint="eastAsia" w:ascii="宋体" w:hAnsi="宋体" w:cs="宋体"/>
          <w:b/>
          <w:sz w:val="24"/>
          <w:lang w:eastAsia="zh-CN"/>
        </w:rPr>
        <w:t>国创•上风上水项目施工总承包监理</w:t>
      </w:r>
      <w:r>
        <w:rPr>
          <w:rFonts w:hint="eastAsia" w:ascii="宋体" w:hAnsi="宋体" w:cs="宋体"/>
          <w:b/>
          <w:sz w:val="24"/>
        </w:rPr>
        <w:t>（不见面开标）招标公告</w:t>
      </w:r>
      <w:bookmarkEnd w:id="9"/>
      <w:bookmarkEnd w:id="10"/>
    </w:p>
    <w:p>
      <w:pPr>
        <w:keepNext w:val="0"/>
        <w:keepLines w:val="0"/>
        <w:pageBreakBefore w:val="0"/>
        <w:widowControl w:val="0"/>
        <w:topLinePunct w:val="0"/>
        <w:autoSpaceDE/>
        <w:autoSpaceDN/>
        <w:bidi w:val="0"/>
        <w:adjustRightInd w:val="0"/>
        <w:snapToGrid w:val="0"/>
        <w:spacing w:line="440" w:lineRule="exact"/>
        <w:rPr>
          <w:rFonts w:hint="eastAsia" w:ascii="宋体" w:hAnsi="宋体" w:eastAsia="宋体" w:cs="宋体"/>
          <w:sz w:val="24"/>
          <w:szCs w:val="24"/>
          <w:highlight w:val="none"/>
          <w:lang w:eastAsia="zh-CN"/>
        </w:rPr>
      </w:pPr>
      <w:r>
        <w:rPr>
          <w:rFonts w:hint="eastAsia" w:ascii="宋体" w:hAnsi="宋体" w:cs="宋体"/>
          <w:sz w:val="24"/>
          <w:szCs w:val="24"/>
          <w:highlight w:val="none"/>
        </w:rPr>
        <w:t>招标编号：</w:t>
      </w:r>
      <w:r>
        <w:rPr>
          <w:rFonts w:hint="eastAsia" w:ascii="宋体" w:hAnsi="宋体" w:cs="宋体"/>
          <w:sz w:val="24"/>
          <w:szCs w:val="24"/>
          <w:highlight w:val="none"/>
          <w:lang w:eastAsia="zh-CN"/>
        </w:rPr>
        <w:t>焦招[2024]-</w:t>
      </w:r>
      <w:r>
        <w:rPr>
          <w:rFonts w:hint="eastAsia" w:ascii="宋体" w:hAnsi="宋体" w:cs="宋体"/>
          <w:sz w:val="24"/>
          <w:szCs w:val="24"/>
          <w:highlight w:val="none"/>
          <w:lang w:val="en-US" w:eastAsia="zh-CN"/>
        </w:rPr>
        <w:t>011</w:t>
      </w:r>
      <w:r>
        <w:rPr>
          <w:rFonts w:hint="eastAsia" w:ascii="宋体" w:hAnsi="宋体" w:cs="宋体"/>
          <w:sz w:val="24"/>
          <w:szCs w:val="24"/>
          <w:highlight w:val="none"/>
        </w:rPr>
        <w:t xml:space="preserve">          项目编号：</w:t>
      </w:r>
      <w:r>
        <w:rPr>
          <w:rFonts w:hint="eastAsia" w:ascii="宋体" w:hAnsi="宋体" w:cs="宋体"/>
          <w:sz w:val="24"/>
          <w:szCs w:val="24"/>
          <w:highlight w:val="none"/>
          <w:lang w:val="en-US" w:eastAsia="zh-CN"/>
        </w:rPr>
        <w:t>焦公资工程J2024-001</w:t>
      </w:r>
    </w:p>
    <w:p>
      <w:pPr>
        <w:keepNext w:val="0"/>
        <w:keepLines w:val="0"/>
        <w:pageBreakBefore w:val="0"/>
        <w:widowControl w:val="0"/>
        <w:topLinePunct w:val="0"/>
        <w:autoSpaceDE/>
        <w:autoSpaceDN/>
        <w:bidi w:val="0"/>
        <w:adjustRightInd w:val="0"/>
        <w:snapToGrid w:val="0"/>
        <w:spacing w:line="440" w:lineRule="exact"/>
        <w:textAlignment w:val="auto"/>
        <w:rPr>
          <w:rFonts w:ascii="宋体" w:hAnsi="宋体" w:cs="宋体"/>
          <w:sz w:val="24"/>
          <w:szCs w:val="24"/>
        </w:rPr>
      </w:pPr>
      <w:r>
        <w:rPr>
          <w:rFonts w:hint="eastAsia" w:ascii="宋体" w:hAnsi="宋体" w:cs="宋体"/>
          <w:b/>
          <w:kern w:val="0"/>
          <w:sz w:val="24"/>
          <w:szCs w:val="24"/>
        </w:rPr>
        <w:t>1、招标条件：</w:t>
      </w:r>
    </w:p>
    <w:p>
      <w:pPr>
        <w:pStyle w:val="2"/>
        <w:keepNext w:val="0"/>
        <w:keepLines w:val="0"/>
        <w:pageBreakBefore w:val="0"/>
        <w:widowControl w:val="0"/>
        <w:tabs>
          <w:tab w:val="left" w:pos="1343"/>
          <w:tab w:val="left" w:pos="2697"/>
          <w:tab w:val="left" w:pos="3264"/>
          <w:tab w:val="left" w:pos="4896"/>
          <w:tab w:val="left" w:pos="6005"/>
          <w:tab w:val="left" w:pos="7085"/>
          <w:tab w:val="left" w:pos="7498"/>
        </w:tabs>
        <w:kinsoku w:val="0"/>
        <w:overflowPunct w:val="0"/>
        <w:topLinePunct w:val="0"/>
        <w:autoSpaceDE/>
        <w:autoSpaceDN/>
        <w:bidi w:val="0"/>
        <w:snapToGrid w:val="0"/>
        <w:spacing w:line="440" w:lineRule="exact"/>
        <w:ind w:left="100" w:right="211" w:firstLine="419"/>
        <w:textAlignment w:val="auto"/>
        <w:rPr>
          <w:rFonts w:ascii="宋体" w:hAnsi="宋体" w:eastAsia="宋体" w:cs="宋体"/>
          <w:bCs/>
          <w:sz w:val="24"/>
          <w:szCs w:val="24"/>
          <w:highlight w:val="none"/>
        </w:rPr>
      </w:pPr>
      <w:r>
        <w:rPr>
          <w:rFonts w:hint="eastAsia" w:ascii="宋体" w:hAnsi="宋体" w:eastAsia="宋体" w:cs="宋体"/>
          <w:bCs/>
          <w:sz w:val="24"/>
          <w:szCs w:val="24"/>
        </w:rPr>
        <w:t>本招标项目</w:t>
      </w:r>
      <w:r>
        <w:rPr>
          <w:rFonts w:hint="eastAsia" w:ascii="宋体" w:hAnsi="宋体" w:eastAsia="宋体" w:cs="宋体"/>
          <w:bCs/>
          <w:sz w:val="24"/>
          <w:szCs w:val="24"/>
          <w:u w:val="single"/>
          <w:lang w:eastAsia="zh-CN"/>
        </w:rPr>
        <w:t>国创•上风上水项目施工总承包监理</w:t>
      </w:r>
      <w:r>
        <w:rPr>
          <w:rFonts w:hint="eastAsia" w:ascii="宋体" w:hAnsi="宋体" w:eastAsia="宋体" w:cs="宋体"/>
          <w:bCs/>
          <w:sz w:val="24"/>
          <w:szCs w:val="24"/>
          <w:u w:val="none"/>
          <w:lang w:eastAsia="zh-CN"/>
        </w:rPr>
        <w:t>已由</w:t>
      </w:r>
      <w:r>
        <w:rPr>
          <w:rFonts w:hint="eastAsia" w:ascii="宋体" w:hAnsi="宋体" w:eastAsia="宋体" w:cs="宋体"/>
          <w:bCs/>
          <w:sz w:val="24"/>
          <w:szCs w:val="24"/>
          <w:u w:val="single"/>
          <w:lang w:eastAsia="zh-CN"/>
        </w:rPr>
        <w:t>焦作市马村区发展和改革委员会</w:t>
      </w:r>
      <w:r>
        <w:rPr>
          <w:rFonts w:hint="eastAsia" w:ascii="宋体" w:hAnsi="宋体" w:eastAsia="宋体" w:cs="宋体"/>
          <w:bCs/>
          <w:sz w:val="24"/>
          <w:szCs w:val="24"/>
          <w:u w:val="none"/>
          <w:lang w:eastAsia="zh-CN"/>
        </w:rPr>
        <w:t>以备案号为</w:t>
      </w:r>
      <w:r>
        <w:rPr>
          <w:rFonts w:hint="eastAsia" w:ascii="宋体" w:hAnsi="宋体" w:eastAsia="宋体" w:cs="宋体"/>
          <w:bCs/>
          <w:sz w:val="24"/>
          <w:szCs w:val="24"/>
          <w:u w:val="single"/>
          <w:lang w:eastAsia="zh-CN"/>
        </w:rPr>
        <w:t>2020-410804-70-03-022659</w:t>
      </w:r>
      <w:r>
        <w:rPr>
          <w:rFonts w:hint="eastAsia" w:ascii="宋体" w:hAnsi="宋体" w:eastAsia="宋体" w:cs="宋体"/>
          <w:bCs/>
          <w:sz w:val="24"/>
          <w:szCs w:val="24"/>
          <w:u w:val="none"/>
          <w:lang w:eastAsia="zh-CN"/>
        </w:rPr>
        <w:t>批准</w:t>
      </w:r>
      <w:r>
        <w:rPr>
          <w:rFonts w:hint="eastAsia" w:ascii="宋体" w:hAnsi="宋体" w:eastAsia="宋体" w:cs="宋体"/>
          <w:bCs/>
          <w:color w:val="000000" w:themeColor="text1"/>
          <w:sz w:val="24"/>
          <w:szCs w:val="24"/>
          <w:highlight w:val="none"/>
          <w:u w:val="none"/>
          <w:lang w:eastAsia="zh-CN"/>
          <w14:textFill>
            <w14:solidFill>
              <w14:schemeClr w14:val="tx1"/>
            </w14:solidFill>
          </w14:textFill>
        </w:rPr>
        <w:t>，</w:t>
      </w:r>
      <w:r>
        <w:rPr>
          <w:rFonts w:hint="eastAsia" w:ascii="宋体" w:hAnsi="宋体" w:eastAsia="宋体" w:cs="宋体"/>
          <w:bCs/>
          <w:sz w:val="24"/>
          <w:szCs w:val="24"/>
          <w:highlight w:val="none"/>
        </w:rPr>
        <w:t>项目业主为</w:t>
      </w:r>
      <w:r>
        <w:rPr>
          <w:rFonts w:hint="eastAsia" w:ascii="宋体" w:hAnsi="宋体" w:eastAsia="宋体" w:cs="宋体"/>
          <w:bCs/>
          <w:sz w:val="24"/>
          <w:szCs w:val="24"/>
          <w:highlight w:val="none"/>
          <w:u w:val="single"/>
          <w:lang w:eastAsia="zh-CN"/>
        </w:rPr>
        <w:t>河南国创城市发展有限公司</w:t>
      </w:r>
      <w:r>
        <w:rPr>
          <w:rFonts w:hint="eastAsia" w:ascii="宋体" w:hAnsi="宋体" w:eastAsia="宋体" w:cs="宋体"/>
          <w:bCs/>
          <w:sz w:val="24"/>
          <w:szCs w:val="24"/>
          <w:highlight w:val="none"/>
        </w:rPr>
        <w:t>，建设资金来自</w:t>
      </w:r>
      <w:r>
        <w:rPr>
          <w:rFonts w:hint="eastAsia" w:ascii="宋体" w:hAnsi="宋体" w:eastAsia="宋体" w:cs="宋体"/>
          <w:bCs/>
          <w:sz w:val="24"/>
          <w:szCs w:val="24"/>
          <w:highlight w:val="none"/>
          <w:u w:val="single"/>
        </w:rPr>
        <w:t>自筹资金</w:t>
      </w:r>
      <w:r>
        <w:rPr>
          <w:rFonts w:hint="eastAsia" w:ascii="宋体" w:hAnsi="宋体" w:eastAsia="宋体" w:cs="宋体"/>
          <w:bCs/>
          <w:sz w:val="24"/>
          <w:szCs w:val="24"/>
          <w:highlight w:val="none"/>
        </w:rPr>
        <w:t>，出资比例为</w:t>
      </w:r>
      <w:r>
        <w:rPr>
          <w:rFonts w:hint="eastAsia" w:ascii="宋体" w:hAnsi="宋体" w:eastAsia="宋体" w:cs="宋体"/>
          <w:bCs/>
          <w:sz w:val="24"/>
          <w:szCs w:val="24"/>
          <w:highlight w:val="none"/>
          <w:u w:val="single"/>
        </w:rPr>
        <w:t>100%</w:t>
      </w:r>
      <w:r>
        <w:rPr>
          <w:rFonts w:hint="eastAsia" w:ascii="宋体" w:hAnsi="宋体" w:eastAsia="宋体" w:cs="宋体"/>
          <w:bCs/>
          <w:sz w:val="24"/>
          <w:szCs w:val="24"/>
          <w:highlight w:val="none"/>
        </w:rPr>
        <w:t>，招标人为</w:t>
      </w:r>
      <w:r>
        <w:rPr>
          <w:rFonts w:hint="eastAsia" w:ascii="宋体" w:hAnsi="宋体" w:eastAsia="宋体" w:cs="宋体"/>
          <w:bCs/>
          <w:sz w:val="24"/>
          <w:szCs w:val="24"/>
          <w:highlight w:val="none"/>
          <w:u w:val="single"/>
          <w:lang w:eastAsia="zh-CN"/>
        </w:rPr>
        <w:t>河南国创城市发展有限公司</w:t>
      </w:r>
      <w:r>
        <w:rPr>
          <w:rFonts w:hint="eastAsia" w:ascii="宋体" w:hAnsi="宋体" w:eastAsia="宋体" w:cs="宋体"/>
          <w:bCs/>
          <w:sz w:val="24"/>
          <w:szCs w:val="24"/>
          <w:highlight w:val="none"/>
        </w:rPr>
        <w:t>。项目已具备招标条件，现对该项目的监理进行公开招标。</w:t>
      </w:r>
    </w:p>
    <w:p>
      <w:pPr>
        <w:keepNext w:val="0"/>
        <w:keepLines w:val="0"/>
        <w:pageBreakBefore w:val="0"/>
        <w:widowControl w:val="0"/>
        <w:topLinePunct w:val="0"/>
        <w:autoSpaceDE/>
        <w:autoSpaceDN/>
        <w:bidi w:val="0"/>
        <w:adjustRightInd w:val="0"/>
        <w:snapToGrid w:val="0"/>
        <w:spacing w:line="440" w:lineRule="exact"/>
        <w:textAlignment w:val="auto"/>
        <w:rPr>
          <w:rFonts w:ascii="宋体" w:hAnsi="宋体" w:cs="宋体"/>
          <w:sz w:val="24"/>
          <w:szCs w:val="24"/>
        </w:rPr>
      </w:pPr>
      <w:r>
        <w:rPr>
          <w:rFonts w:hint="eastAsia" w:ascii="宋体" w:hAnsi="宋体" w:cs="宋体"/>
          <w:b/>
          <w:kern w:val="0"/>
          <w:sz w:val="24"/>
          <w:szCs w:val="24"/>
        </w:rPr>
        <w:t>2、项目概况与招标范围</w:t>
      </w:r>
    </w:p>
    <w:p>
      <w:pPr>
        <w:pStyle w:val="23"/>
        <w:keepNext w:val="0"/>
        <w:keepLines w:val="0"/>
        <w:pageBreakBefore w:val="0"/>
        <w:widowControl w:val="0"/>
        <w:topLinePunct w:val="0"/>
        <w:autoSpaceDE/>
        <w:autoSpaceDN/>
        <w:bidi w:val="0"/>
        <w:snapToGrid w:val="0"/>
        <w:spacing w:before="0" w:beforeAutospacing="0" w:after="0" w:afterAutospacing="0" w:line="440" w:lineRule="exact"/>
        <w:ind w:firstLine="480" w:firstLineChars="200"/>
        <w:jc w:val="both"/>
        <w:textAlignment w:val="auto"/>
        <w:rPr>
          <w:rFonts w:hint="default" w:eastAsia="宋体"/>
          <w:bCs/>
          <w:szCs w:val="24"/>
          <w:lang w:val="en-US" w:eastAsia="zh-CN"/>
        </w:rPr>
      </w:pPr>
      <w:r>
        <w:rPr>
          <w:rFonts w:hint="eastAsia"/>
          <w:bCs/>
          <w:kern w:val="2"/>
          <w:szCs w:val="24"/>
        </w:rPr>
        <w:t>2.1项目概况：项目占地面积30268</w:t>
      </w:r>
      <w:r>
        <w:rPr>
          <w:rFonts w:hint="eastAsia"/>
          <w:bCs/>
          <w:kern w:val="2"/>
          <w:szCs w:val="24"/>
          <w:lang w:val="en-US" w:eastAsia="zh-CN"/>
        </w:rPr>
        <w:t>平方米</w:t>
      </w:r>
      <w:r>
        <w:rPr>
          <w:rFonts w:hint="eastAsia"/>
          <w:bCs/>
          <w:kern w:val="2"/>
          <w:szCs w:val="24"/>
        </w:rPr>
        <w:t>（约45.4亩），建筑总面积103</w:t>
      </w:r>
      <w:r>
        <w:rPr>
          <w:rFonts w:hint="eastAsia"/>
          <w:bCs/>
          <w:kern w:val="2"/>
          <w:szCs w:val="24"/>
          <w:lang w:val="en-US" w:eastAsia="zh-CN"/>
        </w:rPr>
        <w:t>382.25平方米</w:t>
      </w:r>
      <w:r>
        <w:rPr>
          <w:rFonts w:hint="eastAsia"/>
          <w:bCs/>
          <w:kern w:val="2"/>
          <w:szCs w:val="24"/>
        </w:rPr>
        <w:t>。其中地上建筑面积75</w:t>
      </w:r>
      <w:r>
        <w:rPr>
          <w:rFonts w:hint="eastAsia"/>
          <w:bCs/>
          <w:kern w:val="2"/>
          <w:szCs w:val="24"/>
          <w:lang w:val="en-US" w:eastAsia="zh-CN"/>
        </w:rPr>
        <w:t>575.11</w:t>
      </w:r>
      <w:r>
        <w:rPr>
          <w:rFonts w:hint="eastAsia"/>
          <w:bCs/>
          <w:kern w:val="2"/>
          <w:szCs w:val="24"/>
        </w:rPr>
        <w:t>㎡，地下建筑面积2</w:t>
      </w:r>
      <w:r>
        <w:rPr>
          <w:rFonts w:hint="eastAsia"/>
          <w:bCs/>
          <w:kern w:val="2"/>
          <w:szCs w:val="24"/>
          <w:lang w:val="en-US" w:eastAsia="zh-CN"/>
        </w:rPr>
        <w:t>7807.14</w:t>
      </w:r>
      <w:r>
        <w:rPr>
          <w:rFonts w:hint="eastAsia"/>
          <w:bCs/>
          <w:kern w:val="2"/>
          <w:szCs w:val="24"/>
        </w:rPr>
        <w:t>㎡。建设内容主要包括洋房住宅共4栋（9层），高层住宅共4栋</w:t>
      </w:r>
      <w:r>
        <w:rPr>
          <w:rFonts w:hint="eastAsia"/>
          <w:bCs/>
          <w:kern w:val="2"/>
          <w:szCs w:val="24"/>
          <w:lang w:eastAsia="zh-CN"/>
        </w:rPr>
        <w:t>（</w:t>
      </w:r>
      <w:r>
        <w:rPr>
          <w:rFonts w:hint="eastAsia"/>
          <w:bCs/>
          <w:kern w:val="2"/>
          <w:szCs w:val="24"/>
          <w:lang w:val="en-US" w:eastAsia="zh-CN"/>
        </w:rPr>
        <w:t>2栋19层、2栋20层</w:t>
      </w:r>
      <w:r>
        <w:rPr>
          <w:rFonts w:hint="eastAsia"/>
          <w:bCs/>
          <w:kern w:val="2"/>
          <w:szCs w:val="24"/>
          <w:lang w:eastAsia="zh-CN"/>
        </w:rPr>
        <w:t>），</w:t>
      </w:r>
      <w:r>
        <w:rPr>
          <w:rFonts w:hint="eastAsia"/>
          <w:bCs/>
          <w:kern w:val="2"/>
          <w:szCs w:val="24"/>
        </w:rPr>
        <w:t>商业建筑1栋</w:t>
      </w:r>
      <w:r>
        <w:rPr>
          <w:rFonts w:hint="eastAsia"/>
          <w:bCs/>
          <w:kern w:val="2"/>
          <w:szCs w:val="24"/>
          <w:lang w:eastAsia="zh-CN"/>
        </w:rPr>
        <w:t>（</w:t>
      </w:r>
      <w:r>
        <w:rPr>
          <w:rFonts w:hint="eastAsia"/>
          <w:bCs/>
          <w:kern w:val="2"/>
          <w:szCs w:val="24"/>
          <w:lang w:val="en-US" w:eastAsia="zh-CN"/>
        </w:rPr>
        <w:t>5层</w:t>
      </w:r>
      <w:r>
        <w:rPr>
          <w:rFonts w:hint="eastAsia"/>
          <w:bCs/>
          <w:kern w:val="2"/>
          <w:szCs w:val="24"/>
          <w:lang w:eastAsia="zh-CN"/>
        </w:rPr>
        <w:t>）。</w:t>
      </w:r>
    </w:p>
    <w:p>
      <w:pPr>
        <w:keepNext w:val="0"/>
        <w:keepLines w:val="0"/>
        <w:pageBreakBefore w:val="0"/>
        <w:widowControl w:val="0"/>
        <w:topLinePunct w:val="0"/>
        <w:autoSpaceDE/>
        <w:autoSpaceDN/>
        <w:bidi w:val="0"/>
        <w:adjustRightInd w:val="0"/>
        <w:snapToGrid w:val="0"/>
        <w:spacing w:line="440" w:lineRule="exact"/>
        <w:ind w:firstLine="422"/>
        <w:jc w:val="left"/>
        <w:textAlignment w:val="auto"/>
        <w:rPr>
          <w:rFonts w:hint="default" w:ascii="宋体" w:hAnsi="宋体" w:eastAsia="宋体" w:cs="宋体"/>
          <w:bCs/>
          <w:sz w:val="24"/>
          <w:szCs w:val="24"/>
          <w:highlight w:val="none"/>
          <w:lang w:val="en-US" w:eastAsia="zh-CN"/>
        </w:rPr>
      </w:pPr>
      <w:r>
        <w:rPr>
          <w:rFonts w:hint="eastAsia" w:ascii="宋体" w:hAnsi="宋体" w:cs="宋体"/>
          <w:bCs/>
          <w:sz w:val="24"/>
          <w:szCs w:val="24"/>
          <w:highlight w:val="none"/>
        </w:rPr>
        <w:t>2.2项目总投资：</w:t>
      </w:r>
      <w:r>
        <w:rPr>
          <w:rFonts w:hint="eastAsia" w:ascii="宋体" w:hAnsi="宋体" w:cs="宋体"/>
          <w:bCs/>
          <w:sz w:val="24"/>
          <w:szCs w:val="24"/>
          <w:highlight w:val="none"/>
          <w:lang w:val="en-US" w:eastAsia="zh-CN"/>
        </w:rPr>
        <w:t>2</w:t>
      </w:r>
      <w:r>
        <w:rPr>
          <w:rFonts w:hint="eastAsia" w:ascii="宋体" w:hAnsi="宋体" w:cs="宋体"/>
          <w:bCs/>
          <w:color w:val="000000" w:themeColor="text1"/>
          <w:sz w:val="24"/>
          <w:szCs w:val="24"/>
          <w:highlight w:val="none"/>
          <w:lang w:val="en-US" w:eastAsia="zh-CN"/>
          <w14:textFill>
            <w14:solidFill>
              <w14:schemeClr w14:val="tx1"/>
            </w14:solidFill>
          </w14:textFill>
        </w:rPr>
        <w:t>63441426.43元。</w:t>
      </w:r>
    </w:p>
    <w:p>
      <w:pPr>
        <w:keepNext w:val="0"/>
        <w:keepLines w:val="0"/>
        <w:pageBreakBefore w:val="0"/>
        <w:widowControl w:val="0"/>
        <w:topLinePunct w:val="0"/>
        <w:autoSpaceDE/>
        <w:autoSpaceDN/>
        <w:bidi w:val="0"/>
        <w:adjustRightInd w:val="0"/>
        <w:snapToGrid w:val="0"/>
        <w:spacing w:line="440" w:lineRule="exact"/>
        <w:ind w:firstLine="422"/>
        <w:jc w:val="left"/>
        <w:textAlignment w:val="auto"/>
        <w:rPr>
          <w:rFonts w:hint="eastAsia" w:ascii="宋体" w:hAnsi="宋体" w:cs="宋体"/>
          <w:bCs/>
          <w:sz w:val="24"/>
          <w:szCs w:val="24"/>
        </w:rPr>
      </w:pPr>
      <w:r>
        <w:rPr>
          <w:rFonts w:hint="eastAsia" w:ascii="宋体" w:hAnsi="宋体" w:cs="宋体"/>
          <w:bCs/>
          <w:sz w:val="24"/>
          <w:szCs w:val="24"/>
        </w:rPr>
        <w:t>2.3建设地点：</w:t>
      </w:r>
      <w:r>
        <w:rPr>
          <w:rFonts w:hint="eastAsia" w:ascii="宋体" w:hAnsi="宋体" w:cs="宋体"/>
          <w:bCs/>
          <w:sz w:val="24"/>
          <w:szCs w:val="24"/>
          <w:lang w:val="en-US" w:eastAsia="zh-CN"/>
        </w:rPr>
        <w:t>焦作市马村区</w:t>
      </w:r>
      <w:r>
        <w:rPr>
          <w:rFonts w:hint="eastAsia" w:ascii="宋体" w:hAnsi="宋体" w:cs="宋体"/>
          <w:bCs/>
          <w:sz w:val="24"/>
          <w:szCs w:val="24"/>
        </w:rPr>
        <w:t>。</w:t>
      </w:r>
    </w:p>
    <w:p>
      <w:pPr>
        <w:keepNext w:val="0"/>
        <w:keepLines w:val="0"/>
        <w:pageBreakBefore w:val="0"/>
        <w:widowControl w:val="0"/>
        <w:topLinePunct w:val="0"/>
        <w:autoSpaceDE/>
        <w:autoSpaceDN/>
        <w:bidi w:val="0"/>
        <w:adjustRightInd w:val="0"/>
        <w:snapToGrid w:val="0"/>
        <w:spacing w:line="440" w:lineRule="exact"/>
        <w:ind w:firstLine="422"/>
        <w:jc w:val="left"/>
        <w:textAlignment w:val="auto"/>
        <w:rPr>
          <w:rFonts w:ascii="宋体" w:hAnsi="宋体" w:cs="宋体"/>
          <w:bCs/>
          <w:sz w:val="24"/>
          <w:szCs w:val="24"/>
        </w:rPr>
      </w:pPr>
      <w:r>
        <w:rPr>
          <w:rFonts w:hint="eastAsia" w:ascii="宋体" w:hAnsi="宋体" w:cs="宋体"/>
          <w:bCs/>
          <w:sz w:val="24"/>
          <w:szCs w:val="24"/>
        </w:rPr>
        <w:t>2.4招标范围：施工及缺陷责任期阶段的全过程监理工作。</w:t>
      </w:r>
    </w:p>
    <w:p>
      <w:pPr>
        <w:keepNext w:val="0"/>
        <w:keepLines w:val="0"/>
        <w:pageBreakBefore w:val="0"/>
        <w:widowControl w:val="0"/>
        <w:topLinePunct w:val="0"/>
        <w:autoSpaceDE/>
        <w:autoSpaceDN/>
        <w:bidi w:val="0"/>
        <w:adjustRightInd w:val="0"/>
        <w:snapToGrid w:val="0"/>
        <w:spacing w:line="440" w:lineRule="exact"/>
        <w:ind w:firstLine="422"/>
        <w:jc w:val="left"/>
        <w:textAlignment w:val="auto"/>
        <w:rPr>
          <w:rFonts w:ascii="宋体" w:hAnsi="宋体" w:cs="宋体"/>
          <w:bCs/>
          <w:sz w:val="24"/>
          <w:szCs w:val="24"/>
        </w:rPr>
      </w:pPr>
      <w:r>
        <w:rPr>
          <w:rFonts w:hint="eastAsia" w:ascii="宋体" w:hAnsi="宋体" w:cs="宋体"/>
          <w:bCs/>
          <w:sz w:val="24"/>
          <w:szCs w:val="24"/>
        </w:rPr>
        <w:t>2.5标段划分：本项目共分一个标段。</w:t>
      </w:r>
    </w:p>
    <w:p>
      <w:pPr>
        <w:keepNext w:val="0"/>
        <w:keepLines w:val="0"/>
        <w:pageBreakBefore w:val="0"/>
        <w:widowControl w:val="0"/>
        <w:topLinePunct w:val="0"/>
        <w:autoSpaceDE/>
        <w:autoSpaceDN/>
        <w:bidi w:val="0"/>
        <w:adjustRightInd w:val="0"/>
        <w:snapToGrid w:val="0"/>
        <w:spacing w:line="440" w:lineRule="exact"/>
        <w:ind w:firstLine="422"/>
        <w:jc w:val="left"/>
        <w:textAlignment w:val="auto"/>
        <w:rPr>
          <w:rFonts w:ascii="宋体" w:hAnsi="宋体" w:cs="宋体"/>
          <w:bCs/>
          <w:sz w:val="24"/>
          <w:szCs w:val="24"/>
          <w:highlight w:val="none"/>
        </w:rPr>
      </w:pPr>
      <w:r>
        <w:rPr>
          <w:rFonts w:hint="eastAsia" w:ascii="宋体" w:hAnsi="宋体" w:cs="宋体"/>
          <w:bCs/>
          <w:sz w:val="24"/>
          <w:szCs w:val="24"/>
          <w:highlight w:val="none"/>
        </w:rPr>
        <w:t>2.6服务期限：本项目施工期及缺陷责任期。</w:t>
      </w:r>
    </w:p>
    <w:p>
      <w:pPr>
        <w:keepNext w:val="0"/>
        <w:keepLines w:val="0"/>
        <w:pageBreakBefore w:val="0"/>
        <w:widowControl w:val="0"/>
        <w:topLinePunct w:val="0"/>
        <w:autoSpaceDE/>
        <w:autoSpaceDN/>
        <w:bidi w:val="0"/>
        <w:adjustRightInd w:val="0"/>
        <w:snapToGrid w:val="0"/>
        <w:spacing w:line="440" w:lineRule="exact"/>
        <w:ind w:firstLine="422"/>
        <w:jc w:val="left"/>
        <w:textAlignment w:val="auto"/>
        <w:rPr>
          <w:rFonts w:ascii="宋体" w:hAnsi="宋体" w:cs="宋体"/>
          <w:sz w:val="24"/>
          <w:szCs w:val="24"/>
        </w:rPr>
      </w:pPr>
      <w:r>
        <w:rPr>
          <w:rFonts w:hint="eastAsia" w:ascii="宋体" w:hAnsi="宋体" w:cs="宋体"/>
          <w:bCs/>
          <w:sz w:val="24"/>
          <w:szCs w:val="24"/>
        </w:rPr>
        <w:t>2.7质量要求：合格，达到国家现行有关施工质量验收规范标准</w:t>
      </w:r>
      <w:r>
        <w:rPr>
          <w:rFonts w:hint="eastAsia" w:ascii="宋体" w:hAnsi="宋体" w:cs="宋体"/>
          <w:sz w:val="24"/>
          <w:szCs w:val="24"/>
        </w:rPr>
        <w:t>。</w:t>
      </w:r>
    </w:p>
    <w:p>
      <w:pPr>
        <w:keepNext w:val="0"/>
        <w:keepLines w:val="0"/>
        <w:pageBreakBefore w:val="0"/>
        <w:widowControl w:val="0"/>
        <w:topLinePunct w:val="0"/>
        <w:autoSpaceDE/>
        <w:autoSpaceDN/>
        <w:bidi w:val="0"/>
        <w:adjustRightInd w:val="0"/>
        <w:snapToGrid w:val="0"/>
        <w:spacing w:line="440" w:lineRule="exact"/>
        <w:jc w:val="left"/>
        <w:textAlignment w:val="auto"/>
        <w:rPr>
          <w:rFonts w:ascii="宋体" w:hAnsi="宋体" w:cs="宋体"/>
          <w:b/>
          <w:sz w:val="24"/>
          <w:szCs w:val="24"/>
        </w:rPr>
      </w:pPr>
      <w:r>
        <w:rPr>
          <w:rFonts w:hint="eastAsia" w:ascii="宋体" w:hAnsi="宋体" w:cs="宋体"/>
          <w:b/>
          <w:sz w:val="24"/>
          <w:szCs w:val="24"/>
        </w:rPr>
        <w:t>3.投标人资格要求：</w:t>
      </w:r>
    </w:p>
    <w:p>
      <w:pPr>
        <w:keepNext w:val="0"/>
        <w:keepLines w:val="0"/>
        <w:pageBreakBefore w:val="0"/>
        <w:widowControl w:val="0"/>
        <w:topLinePunct w:val="0"/>
        <w:autoSpaceDE/>
        <w:autoSpaceDN/>
        <w:bidi w:val="0"/>
        <w:adjustRightInd w:val="0"/>
        <w:snapToGrid w:val="0"/>
        <w:spacing w:line="440" w:lineRule="exact"/>
        <w:ind w:firstLine="422"/>
        <w:jc w:val="left"/>
        <w:textAlignment w:val="auto"/>
        <w:rPr>
          <w:rFonts w:ascii="宋体" w:hAnsi="宋体" w:cs="宋体"/>
          <w:bCs/>
          <w:sz w:val="24"/>
          <w:szCs w:val="24"/>
        </w:rPr>
      </w:pPr>
      <w:r>
        <w:rPr>
          <w:rFonts w:hint="eastAsia" w:ascii="宋体" w:hAnsi="宋体" w:cs="宋体"/>
          <w:bCs/>
          <w:sz w:val="24"/>
          <w:szCs w:val="24"/>
        </w:rPr>
        <w:t>3.1投标人在中华人民共和国境内注册，须具有独立法人资格及有效的企业法人营业执照。</w:t>
      </w:r>
    </w:p>
    <w:p>
      <w:pPr>
        <w:keepNext w:val="0"/>
        <w:keepLines w:val="0"/>
        <w:pageBreakBefore w:val="0"/>
        <w:widowControl w:val="0"/>
        <w:topLinePunct w:val="0"/>
        <w:autoSpaceDE/>
        <w:autoSpaceDN/>
        <w:bidi w:val="0"/>
        <w:adjustRightInd w:val="0"/>
        <w:snapToGrid w:val="0"/>
        <w:spacing w:line="440" w:lineRule="exact"/>
        <w:ind w:firstLine="422"/>
        <w:jc w:val="left"/>
        <w:textAlignment w:val="auto"/>
        <w:rPr>
          <w:rFonts w:ascii="宋体" w:hAnsi="宋体" w:cs="宋体"/>
          <w:bCs/>
          <w:color w:val="000000" w:themeColor="text1"/>
          <w:sz w:val="24"/>
          <w:szCs w:val="24"/>
          <w:highlight w:val="none"/>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3.2投标人须具备建设行政主管部门颁发的房屋建筑工程专业监理乙级及以上资质或工程监理综合资质</w:t>
      </w:r>
      <w:r>
        <w:rPr>
          <w:rFonts w:hint="eastAsia" w:ascii="宋体" w:hAnsi="宋体" w:cs="宋体"/>
          <w:bCs/>
          <w:color w:val="000000" w:themeColor="text1"/>
          <w:sz w:val="24"/>
          <w:szCs w:val="24"/>
          <w:highlight w:val="none"/>
          <w14:textFill>
            <w14:solidFill>
              <w14:schemeClr w14:val="tx1"/>
            </w14:solidFill>
          </w14:textFill>
        </w:rPr>
        <w:t>。</w:t>
      </w:r>
    </w:p>
    <w:p>
      <w:pPr>
        <w:keepNext w:val="0"/>
        <w:keepLines w:val="0"/>
        <w:pageBreakBefore w:val="0"/>
        <w:widowControl w:val="0"/>
        <w:topLinePunct w:val="0"/>
        <w:autoSpaceDE/>
        <w:autoSpaceDN/>
        <w:bidi w:val="0"/>
        <w:adjustRightInd w:val="0"/>
        <w:snapToGrid w:val="0"/>
        <w:spacing w:line="440" w:lineRule="exact"/>
        <w:ind w:firstLine="480" w:firstLineChars="200"/>
        <w:jc w:val="left"/>
        <w:textAlignment w:val="auto"/>
        <w:rPr>
          <w:rFonts w:ascii="宋体" w:hAnsi="宋体" w:cs="宋体"/>
          <w:color w:val="000000" w:themeColor="text1"/>
          <w:sz w:val="24"/>
          <w:szCs w:val="24"/>
          <w14:textFill>
            <w14:solidFill>
              <w14:schemeClr w14:val="tx1"/>
            </w14:solidFill>
          </w14:textFill>
        </w:rPr>
      </w:pPr>
      <w:r>
        <w:rPr>
          <w:rFonts w:hint="eastAsia" w:ascii="宋体" w:hAnsi="宋体" w:cs="宋体"/>
          <w:bCs/>
          <w:color w:val="000000" w:themeColor="text1"/>
          <w:sz w:val="24"/>
          <w:szCs w:val="24"/>
          <w:highlight w:val="none"/>
          <w14:textFill>
            <w14:solidFill>
              <w14:schemeClr w14:val="tx1"/>
            </w14:solidFill>
          </w14:textFill>
        </w:rPr>
        <w:t>3.3投标人</w:t>
      </w:r>
      <w:r>
        <w:rPr>
          <w:rFonts w:hint="eastAsia" w:ascii="宋体" w:hAnsi="宋体" w:cs="宋体"/>
          <w:color w:val="000000" w:themeColor="text1"/>
          <w:sz w:val="24"/>
          <w:szCs w:val="24"/>
          <w:highlight w:val="none"/>
          <w14:textFill>
            <w14:solidFill>
              <w14:schemeClr w14:val="tx1"/>
            </w14:solidFill>
          </w14:textFill>
        </w:rPr>
        <w:t>拟派项目总监须具备房屋建筑工程专业国家注册监理工程师执业资格，</w:t>
      </w:r>
      <w:r>
        <w:rPr>
          <w:rFonts w:hint="eastAsia" w:ascii="宋体" w:hAnsi="宋体" w:cs="宋体"/>
          <w:color w:val="000000" w:themeColor="text1"/>
          <w:sz w:val="24"/>
          <w:szCs w:val="24"/>
          <w:highlight w:val="none"/>
          <w:lang w:eastAsia="zh-CN"/>
          <w14:textFill>
            <w14:solidFill>
              <w14:schemeClr w14:val="tx1"/>
            </w14:solidFill>
          </w14:textFill>
        </w:rPr>
        <w:t>需提供本单位劳动关系证明</w:t>
      </w:r>
      <w:r>
        <w:rPr>
          <w:rFonts w:hint="eastAsia" w:ascii="宋体" w:hAnsi="宋体" w:cs="宋体"/>
          <w:color w:val="000000" w:themeColor="text1"/>
          <w:sz w:val="24"/>
          <w:szCs w:val="24"/>
          <w:highlight w:val="none"/>
          <w14:textFill>
            <w14:solidFill>
              <w14:schemeClr w14:val="tx1"/>
            </w14:solidFill>
          </w14:textFill>
        </w:rPr>
        <w:t>。本项目实行项目总监实名制，建设工期内项目总监必须保证在本工程开展工作，原则上</w:t>
      </w:r>
      <w:r>
        <w:rPr>
          <w:rFonts w:hint="eastAsia" w:ascii="宋体" w:hAnsi="宋体" w:cs="宋体"/>
          <w:color w:val="000000" w:themeColor="text1"/>
          <w:sz w:val="24"/>
          <w:szCs w:val="24"/>
          <w14:textFill>
            <w14:solidFill>
              <w14:schemeClr w14:val="tx1"/>
            </w14:solidFill>
          </w14:textFill>
        </w:rPr>
        <w:t>不允许变更；</w:t>
      </w:r>
    </w:p>
    <w:p>
      <w:pPr>
        <w:keepNext w:val="0"/>
        <w:keepLines w:val="0"/>
        <w:pageBreakBefore w:val="0"/>
        <w:widowControl w:val="0"/>
        <w:topLinePunct w:val="0"/>
        <w:autoSpaceDE/>
        <w:autoSpaceDN/>
        <w:bidi w:val="0"/>
        <w:adjustRightInd w:val="0"/>
        <w:snapToGrid w:val="0"/>
        <w:spacing w:line="440" w:lineRule="exact"/>
        <w:ind w:firstLine="480" w:firstLineChars="200"/>
        <w:jc w:val="left"/>
        <w:textAlignment w:val="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3.4业绩要求：自202</w:t>
      </w:r>
      <w:r>
        <w:rPr>
          <w:rFonts w:hint="eastAsia" w:ascii="宋体" w:hAnsi="宋体" w:cs="宋体"/>
          <w:color w:val="000000" w:themeColor="text1"/>
          <w:sz w:val="24"/>
          <w:szCs w:val="24"/>
          <w:highlight w:val="none"/>
          <w:lang w:val="en-US" w:eastAsia="zh-CN"/>
          <w14:textFill>
            <w14:solidFill>
              <w14:schemeClr w14:val="tx1"/>
            </w14:solidFill>
          </w14:textFill>
        </w:rPr>
        <w:t>1</w:t>
      </w:r>
      <w:r>
        <w:rPr>
          <w:rFonts w:hint="eastAsia" w:ascii="宋体" w:hAnsi="宋体" w:cs="宋体"/>
          <w:color w:val="000000" w:themeColor="text1"/>
          <w:sz w:val="24"/>
          <w:szCs w:val="24"/>
          <w:highlight w:val="none"/>
          <w14:textFill>
            <w14:solidFill>
              <w14:schemeClr w14:val="tx1"/>
            </w14:solidFill>
          </w14:textFill>
        </w:rPr>
        <w:t>年1月1日以来至少具有一项投资额在</w:t>
      </w:r>
      <w:r>
        <w:rPr>
          <w:rFonts w:hint="eastAsia" w:ascii="宋体" w:hAnsi="宋体" w:cs="宋体"/>
          <w:color w:val="000000" w:themeColor="text1"/>
          <w:sz w:val="24"/>
          <w:szCs w:val="24"/>
          <w:highlight w:val="none"/>
          <w:lang w:eastAsia="zh-CN"/>
          <w14:textFill>
            <w14:solidFill>
              <w14:schemeClr w14:val="tx1"/>
            </w14:solidFill>
          </w14:textFill>
        </w:rPr>
        <w:t>1.</w:t>
      </w:r>
      <w:r>
        <w:rPr>
          <w:rFonts w:hint="eastAsia" w:ascii="宋体" w:hAnsi="宋体" w:cs="宋体"/>
          <w:color w:val="000000" w:themeColor="text1"/>
          <w:sz w:val="24"/>
          <w:szCs w:val="24"/>
          <w:highlight w:val="none"/>
          <w:lang w:val="en-US" w:eastAsia="zh-CN"/>
          <w14:textFill>
            <w14:solidFill>
              <w14:schemeClr w14:val="tx1"/>
            </w14:solidFill>
          </w14:textFill>
        </w:rPr>
        <w:t>8</w:t>
      </w:r>
      <w:r>
        <w:rPr>
          <w:rFonts w:hint="eastAsia" w:ascii="宋体" w:hAnsi="宋体" w:cs="宋体"/>
          <w:color w:val="000000" w:themeColor="text1"/>
          <w:sz w:val="24"/>
          <w:szCs w:val="24"/>
          <w:highlight w:val="none"/>
          <w:lang w:eastAsia="zh-CN"/>
          <w14:textFill>
            <w14:solidFill>
              <w14:schemeClr w14:val="tx1"/>
            </w14:solidFill>
          </w14:textFill>
        </w:rPr>
        <w:t>亿元</w:t>
      </w:r>
      <w:r>
        <w:rPr>
          <w:rFonts w:hint="eastAsia" w:ascii="宋体" w:hAnsi="宋体" w:cs="宋体"/>
          <w:color w:val="000000" w:themeColor="text1"/>
          <w:sz w:val="24"/>
          <w:szCs w:val="24"/>
          <w:highlight w:val="none"/>
          <w:lang w:val="en-US" w:eastAsia="zh-CN"/>
          <w14:textFill>
            <w14:solidFill>
              <w14:schemeClr w14:val="tx1"/>
            </w14:solidFill>
          </w14:textFill>
        </w:rPr>
        <w:t>及以上</w:t>
      </w:r>
      <w:r>
        <w:rPr>
          <w:rFonts w:hint="eastAsia" w:ascii="宋体" w:hAnsi="宋体" w:cs="宋体"/>
          <w:color w:val="000000" w:themeColor="text1"/>
          <w:sz w:val="24"/>
          <w:szCs w:val="24"/>
          <w:highlight w:val="none"/>
          <w14:textFill>
            <w14:solidFill>
              <w14:schemeClr w14:val="tx1"/>
            </w14:solidFill>
          </w14:textFill>
        </w:rPr>
        <w:t>或者建筑面积在</w:t>
      </w:r>
      <w:r>
        <w:rPr>
          <w:rFonts w:hint="eastAsia" w:ascii="宋体" w:hAnsi="宋体" w:cs="宋体"/>
          <w:color w:val="000000" w:themeColor="text1"/>
          <w:sz w:val="24"/>
          <w:szCs w:val="24"/>
          <w:highlight w:val="none"/>
          <w:lang w:val="en-US" w:eastAsia="zh-CN"/>
          <w14:textFill>
            <w14:solidFill>
              <w14:schemeClr w14:val="tx1"/>
            </w14:solidFill>
          </w14:textFill>
        </w:rPr>
        <w:t>7</w:t>
      </w:r>
      <w:r>
        <w:rPr>
          <w:rFonts w:hint="eastAsia" w:ascii="宋体" w:hAnsi="宋体" w:cs="宋体"/>
          <w:color w:val="000000" w:themeColor="text1"/>
          <w:sz w:val="24"/>
          <w:szCs w:val="24"/>
          <w:highlight w:val="none"/>
          <w14:textFill>
            <w14:solidFill>
              <w14:schemeClr w14:val="tx1"/>
            </w14:solidFill>
          </w14:textFill>
        </w:rPr>
        <w:t>万平方米</w:t>
      </w:r>
      <w:r>
        <w:rPr>
          <w:rFonts w:hint="eastAsia" w:ascii="宋体" w:hAnsi="宋体" w:cs="宋体"/>
          <w:color w:val="000000" w:themeColor="text1"/>
          <w:sz w:val="24"/>
          <w:szCs w:val="24"/>
          <w:highlight w:val="none"/>
          <w:lang w:val="en-US" w:eastAsia="zh-CN"/>
          <w14:textFill>
            <w14:solidFill>
              <w14:schemeClr w14:val="tx1"/>
            </w14:solidFill>
          </w14:textFill>
        </w:rPr>
        <w:t>及</w:t>
      </w:r>
      <w:r>
        <w:rPr>
          <w:rFonts w:hint="eastAsia" w:ascii="宋体" w:hAnsi="宋体" w:cs="宋体"/>
          <w:color w:val="000000" w:themeColor="text1"/>
          <w:sz w:val="24"/>
          <w:szCs w:val="24"/>
          <w:highlight w:val="none"/>
          <w14:textFill>
            <w14:solidFill>
              <w14:schemeClr w14:val="tx1"/>
            </w14:solidFill>
          </w14:textFill>
        </w:rPr>
        <w:t>以上的</w:t>
      </w:r>
      <w:r>
        <w:rPr>
          <w:rFonts w:hint="eastAsia" w:ascii="宋体" w:hAnsi="宋体" w:cs="宋体"/>
          <w:color w:val="000000" w:themeColor="text1"/>
          <w:sz w:val="24"/>
          <w:szCs w:val="24"/>
          <w:highlight w:val="none"/>
          <w:lang w:eastAsia="zh-CN"/>
          <w14:textFill>
            <w14:solidFill>
              <w14:schemeClr w14:val="tx1"/>
            </w14:solidFill>
          </w14:textFill>
        </w:rPr>
        <w:t>类似</w:t>
      </w:r>
      <w:r>
        <w:rPr>
          <w:rFonts w:hint="eastAsia" w:ascii="宋体" w:hAnsi="宋体" w:cs="宋体"/>
          <w:color w:val="000000" w:themeColor="text1"/>
          <w:sz w:val="24"/>
          <w:szCs w:val="24"/>
          <w:highlight w:val="none"/>
          <w14:textFill>
            <w14:solidFill>
              <w14:schemeClr w14:val="tx1"/>
            </w14:solidFill>
          </w14:textFill>
        </w:rPr>
        <w:t>业绩（以合同签订日期为准，需提供中标通知书、合同协议书原件扫描件）。</w:t>
      </w:r>
    </w:p>
    <w:p>
      <w:pPr>
        <w:keepNext w:val="0"/>
        <w:keepLines w:val="0"/>
        <w:pageBreakBefore w:val="0"/>
        <w:widowControl w:val="0"/>
        <w:topLinePunct w:val="0"/>
        <w:autoSpaceDE/>
        <w:autoSpaceDN/>
        <w:bidi w:val="0"/>
        <w:adjustRightInd w:val="0"/>
        <w:snapToGrid w:val="0"/>
        <w:spacing w:line="440" w:lineRule="exact"/>
        <w:ind w:firstLine="480" w:firstLineChars="200"/>
        <w:jc w:val="left"/>
        <w:textAlignment w:val="auto"/>
        <w:rPr>
          <w:rFonts w:ascii="宋体" w:hAnsi="宋体" w:cs="宋体"/>
          <w:bCs/>
          <w:color w:val="000000" w:themeColor="text1"/>
          <w:sz w:val="24"/>
          <w:szCs w:val="24"/>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3.5财务要求：近三年（20</w:t>
      </w:r>
      <w:r>
        <w:rPr>
          <w:rFonts w:hint="eastAsia" w:ascii="宋体" w:hAnsi="宋体" w:cs="宋体"/>
          <w:color w:val="000000" w:themeColor="text1"/>
          <w:sz w:val="24"/>
          <w:szCs w:val="24"/>
          <w:highlight w:val="none"/>
          <w:lang w:val="en-US" w:eastAsia="zh-CN"/>
          <w14:textFill>
            <w14:solidFill>
              <w14:schemeClr w14:val="tx1"/>
            </w14:solidFill>
          </w14:textFill>
        </w:rPr>
        <w:t>20</w:t>
      </w:r>
      <w:r>
        <w:rPr>
          <w:rFonts w:hint="eastAsia" w:ascii="宋体" w:hAnsi="宋体" w:cs="宋体"/>
          <w:color w:val="000000" w:themeColor="text1"/>
          <w:sz w:val="24"/>
          <w:szCs w:val="24"/>
          <w:highlight w:val="none"/>
          <w14:textFill>
            <w14:solidFill>
              <w14:schemeClr w14:val="tx1"/>
            </w14:solidFill>
          </w14:textFill>
        </w:rPr>
        <w:t>年、202</w:t>
      </w:r>
      <w:r>
        <w:rPr>
          <w:rFonts w:hint="eastAsia" w:ascii="宋体" w:hAnsi="宋体" w:cs="宋体"/>
          <w:color w:val="000000" w:themeColor="text1"/>
          <w:sz w:val="24"/>
          <w:szCs w:val="24"/>
          <w:highlight w:val="none"/>
          <w:lang w:val="en-US" w:eastAsia="zh-CN"/>
          <w14:textFill>
            <w14:solidFill>
              <w14:schemeClr w14:val="tx1"/>
            </w14:solidFill>
          </w14:textFill>
        </w:rPr>
        <w:t>1</w:t>
      </w:r>
      <w:r>
        <w:rPr>
          <w:rFonts w:hint="eastAsia" w:ascii="宋体" w:hAnsi="宋体" w:cs="宋体"/>
          <w:color w:val="000000" w:themeColor="text1"/>
          <w:sz w:val="24"/>
          <w:szCs w:val="24"/>
          <w:highlight w:val="none"/>
          <w14:textFill>
            <w14:solidFill>
              <w14:schemeClr w14:val="tx1"/>
            </w14:solidFill>
          </w14:textFill>
        </w:rPr>
        <w:t>年度、202</w:t>
      </w:r>
      <w:r>
        <w:rPr>
          <w:rFonts w:hint="eastAsia" w:ascii="宋体" w:hAnsi="宋体" w:cs="宋体"/>
          <w:color w:val="000000" w:themeColor="text1"/>
          <w:sz w:val="24"/>
          <w:szCs w:val="24"/>
          <w:highlight w:val="none"/>
          <w:lang w:val="en-US" w:eastAsia="zh-CN"/>
          <w14:textFill>
            <w14:solidFill>
              <w14:schemeClr w14:val="tx1"/>
            </w14:solidFill>
          </w14:textFill>
        </w:rPr>
        <w:t>2</w:t>
      </w:r>
      <w:r>
        <w:rPr>
          <w:rFonts w:hint="eastAsia" w:ascii="宋体" w:hAnsi="宋体" w:cs="宋体"/>
          <w:color w:val="000000" w:themeColor="text1"/>
          <w:sz w:val="24"/>
          <w:szCs w:val="24"/>
          <w:highlight w:val="none"/>
          <w14:textFill>
            <w14:solidFill>
              <w14:schemeClr w14:val="tx1"/>
            </w14:solidFill>
          </w14:textFill>
        </w:rPr>
        <w:t>年度）财务状况良好，提供近三年财务审计报告。（企业成立不足三年的，从成立年份开始提供向后推算，成立不足一年的企业</w:t>
      </w:r>
      <w:r>
        <w:rPr>
          <w:rFonts w:hint="eastAsia" w:ascii="宋体" w:hAnsi="宋体" w:cs="宋体"/>
          <w:color w:val="000000" w:themeColor="text1"/>
          <w:sz w:val="24"/>
          <w:szCs w:val="24"/>
          <w14:textFill>
            <w14:solidFill>
              <w14:schemeClr w14:val="tx1"/>
            </w14:solidFill>
          </w14:textFill>
        </w:rPr>
        <w:t>无需提供财务审计报告，仅提供单位财务报表即可）</w:t>
      </w:r>
      <w:r>
        <w:rPr>
          <w:rFonts w:hint="eastAsia" w:ascii="宋体" w:hAnsi="宋体" w:cs="宋体"/>
          <w:bCs/>
          <w:color w:val="000000" w:themeColor="text1"/>
          <w:sz w:val="24"/>
          <w:szCs w:val="24"/>
          <w14:textFill>
            <w14:solidFill>
              <w14:schemeClr w14:val="tx1"/>
            </w14:solidFill>
          </w14:textFill>
        </w:rPr>
        <w:t>。</w:t>
      </w:r>
    </w:p>
    <w:p>
      <w:pPr>
        <w:keepNext w:val="0"/>
        <w:keepLines w:val="0"/>
        <w:pageBreakBefore w:val="0"/>
        <w:widowControl w:val="0"/>
        <w:topLinePunct w:val="0"/>
        <w:autoSpaceDE/>
        <w:autoSpaceDN/>
        <w:bidi w:val="0"/>
        <w:adjustRightInd w:val="0"/>
        <w:snapToGrid w:val="0"/>
        <w:spacing w:line="440" w:lineRule="exact"/>
        <w:ind w:firstLine="480" w:firstLineChars="200"/>
        <w:jc w:val="left"/>
        <w:textAlignment w:val="auto"/>
        <w:rPr>
          <w:rFonts w:hint="eastAsia" w:ascii="宋体" w:hAnsi="宋体" w:cs="宋体"/>
          <w:bCs/>
          <w:sz w:val="24"/>
          <w:szCs w:val="24"/>
          <w:highlight w:val="none"/>
        </w:rPr>
      </w:pPr>
      <w:r>
        <w:rPr>
          <w:rFonts w:hint="eastAsia" w:ascii="宋体" w:hAnsi="宋体" w:cs="宋体"/>
          <w:bCs/>
          <w:color w:val="000000" w:themeColor="text1"/>
          <w:sz w:val="24"/>
          <w:szCs w:val="24"/>
          <w:highlight w:val="none"/>
          <w14:textFill>
            <w14:solidFill>
              <w14:schemeClr w14:val="tx1"/>
            </w14:solidFill>
          </w14:textFill>
        </w:rPr>
        <w:t>3.6信誉要求：执行《关于</w:t>
      </w:r>
      <w:r>
        <w:rPr>
          <w:rFonts w:hint="eastAsia" w:ascii="宋体" w:hAnsi="宋体" w:cs="宋体"/>
          <w:bCs/>
          <w:sz w:val="24"/>
          <w:szCs w:val="24"/>
          <w:highlight w:val="none"/>
        </w:rPr>
        <w:t>在招标投标活动中对失信被执行人实施联合惩戒的通知》法（2016）285 号文件：通过“信用中国”网站（www.creditchina.gov.cn）及中国政府采购网（www.ccgp. gov.cn）查询潜在投标人的信用记录，凡是列入失信被执行人、重大税收违法失信主体、政府采购严重违法失信行为记录名单的， 依法拒绝其参与本次投标。查询渠道失信被执行人：“信用中国” 网站（www.creditchina.gov.cn）；重大税收违法： “信用中国”网站（www.creditchina.gov.cn）； 政府采购严重违法失信行为： 中国政府采购网（www.ccgp.gov.cn）】。（投标单位需提供网站查询截图， 加盖企业公章，查询日期为招标公告发布之日起至投标文件递交截止日前)；</w:t>
      </w:r>
    </w:p>
    <w:p>
      <w:pPr>
        <w:keepNext w:val="0"/>
        <w:keepLines w:val="0"/>
        <w:pageBreakBefore w:val="0"/>
        <w:widowControl w:val="0"/>
        <w:topLinePunct w:val="0"/>
        <w:autoSpaceDE/>
        <w:autoSpaceDN/>
        <w:bidi w:val="0"/>
        <w:adjustRightInd w:val="0"/>
        <w:snapToGrid w:val="0"/>
        <w:spacing w:line="440" w:lineRule="exact"/>
        <w:ind w:firstLine="422"/>
        <w:jc w:val="left"/>
        <w:textAlignment w:val="auto"/>
        <w:rPr>
          <w:rFonts w:ascii="宋体" w:hAnsi="宋体" w:cs="宋体"/>
          <w:bCs/>
          <w:sz w:val="24"/>
          <w:szCs w:val="24"/>
        </w:rPr>
      </w:pPr>
      <w:r>
        <w:rPr>
          <w:rFonts w:hint="eastAsia" w:ascii="宋体" w:hAnsi="宋体" w:cs="宋体"/>
          <w:bCs/>
          <w:sz w:val="24"/>
          <w:szCs w:val="24"/>
        </w:rPr>
        <w:t>3.7本次招标不接受联合体投标。</w:t>
      </w:r>
    </w:p>
    <w:p>
      <w:pPr>
        <w:keepNext w:val="0"/>
        <w:keepLines w:val="0"/>
        <w:pageBreakBefore w:val="0"/>
        <w:widowControl w:val="0"/>
        <w:topLinePunct w:val="0"/>
        <w:autoSpaceDE/>
        <w:autoSpaceDN/>
        <w:bidi w:val="0"/>
        <w:snapToGrid w:val="0"/>
        <w:spacing w:line="440" w:lineRule="exact"/>
        <w:ind w:firstLine="482" w:firstLineChars="200"/>
        <w:textAlignment w:val="auto"/>
        <w:rPr>
          <w:rFonts w:ascii="宋体" w:hAnsi="宋体" w:cs="宋体"/>
          <w:b/>
          <w:bCs/>
          <w:sz w:val="24"/>
          <w:szCs w:val="24"/>
        </w:rPr>
      </w:pPr>
      <w:r>
        <w:rPr>
          <w:rFonts w:hint="eastAsia" w:ascii="宋体" w:hAnsi="宋体" w:cs="宋体"/>
          <w:b/>
          <w:bCs/>
          <w:sz w:val="24"/>
          <w:szCs w:val="24"/>
        </w:rPr>
        <w:t>注：单位负责人为同一人或者存在直接控股、管理关系的不同单位，不得同时对该项目进行投标。</w:t>
      </w:r>
    </w:p>
    <w:p>
      <w:pPr>
        <w:keepNext w:val="0"/>
        <w:keepLines w:val="0"/>
        <w:pageBreakBefore w:val="0"/>
        <w:widowControl w:val="0"/>
        <w:topLinePunct w:val="0"/>
        <w:autoSpaceDE/>
        <w:autoSpaceDN/>
        <w:bidi w:val="0"/>
        <w:adjustRightInd w:val="0"/>
        <w:snapToGrid w:val="0"/>
        <w:spacing w:line="440" w:lineRule="exact"/>
        <w:jc w:val="left"/>
        <w:textAlignment w:val="auto"/>
        <w:rPr>
          <w:rFonts w:ascii="宋体" w:hAnsi="宋体" w:cs="宋体"/>
          <w:b/>
          <w:color w:val="0000FF"/>
          <w:sz w:val="24"/>
          <w:szCs w:val="24"/>
        </w:rPr>
      </w:pPr>
      <w:r>
        <w:rPr>
          <w:rFonts w:hint="eastAsia" w:ascii="宋体" w:hAnsi="宋体" w:cs="宋体"/>
          <w:b/>
          <w:sz w:val="24"/>
          <w:szCs w:val="24"/>
        </w:rPr>
        <w:t>4.招标文件获取：</w:t>
      </w:r>
    </w:p>
    <w:p>
      <w:pPr>
        <w:keepNext w:val="0"/>
        <w:keepLines w:val="0"/>
        <w:pageBreakBefore w:val="0"/>
        <w:widowControl w:val="0"/>
        <w:topLinePunct w:val="0"/>
        <w:autoSpaceDE/>
        <w:autoSpaceDN/>
        <w:bidi w:val="0"/>
        <w:adjustRightInd w:val="0"/>
        <w:snapToGrid w:val="0"/>
        <w:spacing w:line="440" w:lineRule="exact"/>
        <w:ind w:firstLine="480" w:firstLineChars="200"/>
        <w:jc w:val="left"/>
        <w:textAlignment w:val="auto"/>
        <w:rPr>
          <w:rFonts w:hint="eastAsia" w:ascii="宋体" w:hAnsi="宋体" w:cs="宋体"/>
          <w:bCs/>
          <w:sz w:val="24"/>
          <w:szCs w:val="24"/>
        </w:rPr>
      </w:pPr>
      <w:r>
        <w:rPr>
          <w:rFonts w:hint="eastAsia" w:ascii="宋体" w:hAnsi="宋体" w:cs="宋体"/>
          <w:bCs/>
          <w:sz w:val="24"/>
          <w:szCs w:val="24"/>
        </w:rPr>
        <w:t>4.1网上获取：本项目招标文件采用网上下载，凡有意参加投标者，请登录“焦作市公共资源交易平台（http://ggzy.jiaozuo.gov.cn/TPBidder/memberLogin）-招标公告-文件下载，进行招标文件下载”。</w:t>
      </w:r>
    </w:p>
    <w:p>
      <w:pPr>
        <w:keepNext w:val="0"/>
        <w:keepLines w:val="0"/>
        <w:pageBreakBefore w:val="0"/>
        <w:widowControl w:val="0"/>
        <w:topLinePunct w:val="0"/>
        <w:autoSpaceDE/>
        <w:autoSpaceDN/>
        <w:bidi w:val="0"/>
        <w:adjustRightInd w:val="0"/>
        <w:snapToGrid w:val="0"/>
        <w:spacing w:line="440" w:lineRule="exact"/>
        <w:ind w:firstLine="480" w:firstLineChars="200"/>
        <w:jc w:val="left"/>
        <w:textAlignment w:val="auto"/>
        <w:rPr>
          <w:rFonts w:ascii="宋体" w:hAnsi="宋体" w:cs="宋体"/>
          <w:bCs/>
          <w:color w:val="auto"/>
          <w:sz w:val="24"/>
          <w:szCs w:val="24"/>
          <w:highlight w:val="none"/>
        </w:rPr>
      </w:pPr>
      <w:r>
        <w:rPr>
          <w:rFonts w:hint="eastAsia" w:ascii="宋体" w:hAnsi="宋体" w:cs="宋体"/>
          <w:bCs/>
          <w:sz w:val="24"/>
          <w:szCs w:val="24"/>
          <w:highlight w:val="none"/>
        </w:rPr>
        <w:t>4.2招标文件获取</w:t>
      </w:r>
      <w:r>
        <w:rPr>
          <w:rFonts w:hint="eastAsia" w:ascii="宋体" w:hAnsi="宋体" w:cs="宋体"/>
          <w:bCs/>
          <w:color w:val="auto"/>
          <w:sz w:val="24"/>
          <w:szCs w:val="24"/>
          <w:highlight w:val="none"/>
        </w:rPr>
        <w:t>时间：202</w:t>
      </w:r>
      <w:r>
        <w:rPr>
          <w:rFonts w:hint="eastAsia" w:ascii="宋体" w:hAnsi="宋体" w:cs="宋体"/>
          <w:bCs/>
          <w:color w:val="auto"/>
          <w:sz w:val="24"/>
          <w:szCs w:val="24"/>
          <w:highlight w:val="none"/>
          <w:lang w:val="en-US" w:eastAsia="zh-CN"/>
        </w:rPr>
        <w:t>4</w:t>
      </w:r>
      <w:r>
        <w:rPr>
          <w:rFonts w:hint="eastAsia" w:ascii="宋体" w:hAnsi="宋体" w:cs="宋体"/>
          <w:bCs/>
          <w:color w:val="auto"/>
          <w:sz w:val="24"/>
          <w:szCs w:val="24"/>
          <w:highlight w:val="none"/>
        </w:rPr>
        <w:t>年</w:t>
      </w:r>
      <w:r>
        <w:rPr>
          <w:rFonts w:hint="eastAsia" w:ascii="宋体" w:hAnsi="宋体" w:cs="宋体"/>
          <w:bCs/>
          <w:color w:val="auto"/>
          <w:sz w:val="24"/>
          <w:szCs w:val="24"/>
          <w:highlight w:val="none"/>
          <w:lang w:val="en-US" w:eastAsia="zh-CN"/>
        </w:rPr>
        <w:t>3</w:t>
      </w:r>
      <w:r>
        <w:rPr>
          <w:rFonts w:hint="eastAsia" w:ascii="宋体" w:hAnsi="宋体" w:cs="宋体"/>
          <w:bCs/>
          <w:color w:val="auto"/>
          <w:sz w:val="24"/>
          <w:szCs w:val="24"/>
          <w:highlight w:val="none"/>
        </w:rPr>
        <w:t>月</w:t>
      </w:r>
      <w:r>
        <w:rPr>
          <w:rFonts w:hint="eastAsia" w:ascii="宋体" w:hAnsi="宋体" w:cs="宋体"/>
          <w:bCs/>
          <w:color w:val="auto"/>
          <w:sz w:val="24"/>
          <w:szCs w:val="24"/>
          <w:highlight w:val="none"/>
          <w:lang w:val="en-US" w:eastAsia="zh-CN"/>
        </w:rPr>
        <w:t>18</w:t>
      </w:r>
      <w:r>
        <w:rPr>
          <w:rFonts w:hint="eastAsia" w:ascii="宋体" w:hAnsi="宋体" w:cs="宋体"/>
          <w:bCs/>
          <w:color w:val="auto"/>
          <w:sz w:val="24"/>
          <w:szCs w:val="24"/>
          <w:highlight w:val="none"/>
        </w:rPr>
        <w:t>日—202</w:t>
      </w:r>
      <w:r>
        <w:rPr>
          <w:rFonts w:hint="eastAsia" w:ascii="宋体" w:hAnsi="宋体" w:cs="宋体"/>
          <w:bCs/>
          <w:color w:val="auto"/>
          <w:sz w:val="24"/>
          <w:szCs w:val="24"/>
          <w:highlight w:val="none"/>
          <w:lang w:val="en-US" w:eastAsia="zh-CN"/>
        </w:rPr>
        <w:t>4</w:t>
      </w:r>
      <w:r>
        <w:rPr>
          <w:rFonts w:hint="eastAsia" w:ascii="宋体" w:hAnsi="宋体" w:cs="宋体"/>
          <w:bCs/>
          <w:color w:val="auto"/>
          <w:sz w:val="24"/>
          <w:szCs w:val="24"/>
          <w:highlight w:val="none"/>
        </w:rPr>
        <w:t>年</w:t>
      </w:r>
      <w:r>
        <w:rPr>
          <w:rFonts w:hint="eastAsia" w:ascii="宋体" w:hAnsi="宋体" w:cs="宋体"/>
          <w:bCs/>
          <w:color w:val="auto"/>
          <w:sz w:val="24"/>
          <w:szCs w:val="24"/>
          <w:highlight w:val="none"/>
          <w:lang w:val="en-US" w:eastAsia="zh-CN"/>
        </w:rPr>
        <w:t>3</w:t>
      </w:r>
      <w:r>
        <w:rPr>
          <w:rFonts w:hint="eastAsia" w:ascii="宋体" w:hAnsi="宋体" w:cs="宋体"/>
          <w:bCs/>
          <w:color w:val="auto"/>
          <w:sz w:val="24"/>
          <w:szCs w:val="24"/>
          <w:highlight w:val="none"/>
        </w:rPr>
        <w:t>月</w:t>
      </w:r>
      <w:r>
        <w:rPr>
          <w:rFonts w:hint="eastAsia" w:ascii="宋体" w:hAnsi="宋体" w:cs="宋体"/>
          <w:bCs/>
          <w:color w:val="auto"/>
          <w:sz w:val="24"/>
          <w:szCs w:val="24"/>
          <w:highlight w:val="none"/>
          <w:lang w:val="en-US" w:eastAsia="zh-CN"/>
        </w:rPr>
        <w:t>22</w:t>
      </w:r>
      <w:r>
        <w:rPr>
          <w:rFonts w:hint="eastAsia" w:ascii="宋体" w:hAnsi="宋体" w:cs="宋体"/>
          <w:bCs/>
          <w:color w:val="auto"/>
          <w:sz w:val="24"/>
          <w:szCs w:val="24"/>
          <w:highlight w:val="none"/>
        </w:rPr>
        <w:t>日。</w:t>
      </w:r>
    </w:p>
    <w:p>
      <w:pPr>
        <w:keepNext w:val="0"/>
        <w:keepLines w:val="0"/>
        <w:pageBreakBefore w:val="0"/>
        <w:widowControl w:val="0"/>
        <w:topLinePunct w:val="0"/>
        <w:autoSpaceDE/>
        <w:autoSpaceDN/>
        <w:bidi w:val="0"/>
        <w:adjustRightInd w:val="0"/>
        <w:snapToGrid w:val="0"/>
        <w:spacing w:line="440" w:lineRule="exact"/>
        <w:ind w:firstLine="480" w:firstLineChars="200"/>
        <w:jc w:val="left"/>
        <w:textAlignment w:val="auto"/>
        <w:rPr>
          <w:rFonts w:ascii="宋体" w:hAnsi="宋体" w:cs="宋体"/>
          <w:bCs/>
          <w:sz w:val="24"/>
          <w:szCs w:val="24"/>
        </w:rPr>
      </w:pPr>
      <w:r>
        <w:rPr>
          <w:rFonts w:hint="eastAsia" w:ascii="宋体" w:hAnsi="宋体" w:cs="宋体"/>
          <w:bCs/>
          <w:sz w:val="24"/>
          <w:szCs w:val="24"/>
        </w:rPr>
        <w:t>4.3</w:t>
      </w:r>
      <w:r>
        <w:rPr>
          <w:rFonts w:hint="eastAsia" w:ascii="宋体" w:hAnsi="宋体" w:cs="宋体"/>
          <w:bCs/>
          <w:sz w:val="24"/>
          <w:szCs w:val="24"/>
          <w:highlight w:val="none"/>
        </w:rPr>
        <w:t>凡未在规定时间内</w:t>
      </w:r>
      <w:r>
        <w:rPr>
          <w:rFonts w:hint="eastAsia" w:cs="宋体"/>
          <w:bCs/>
          <w:sz w:val="24"/>
          <w:szCs w:val="24"/>
          <w:highlight w:val="none"/>
          <w:lang w:eastAsia="zh-CN"/>
        </w:rPr>
        <w:t>完成下载</w:t>
      </w:r>
      <w:r>
        <w:rPr>
          <w:rFonts w:hint="eastAsia" w:ascii="宋体" w:hAnsi="宋体" w:cs="宋体"/>
          <w:bCs/>
          <w:sz w:val="24"/>
          <w:szCs w:val="24"/>
          <w:highlight w:val="none"/>
        </w:rPr>
        <w:t>招标文件者视为无效标</w:t>
      </w:r>
      <w:r>
        <w:rPr>
          <w:rFonts w:hint="eastAsia" w:ascii="宋体" w:hAnsi="宋体" w:cs="宋体"/>
          <w:bCs/>
          <w:sz w:val="24"/>
          <w:szCs w:val="24"/>
        </w:rPr>
        <w:t>。</w:t>
      </w:r>
    </w:p>
    <w:p>
      <w:pPr>
        <w:keepNext w:val="0"/>
        <w:keepLines w:val="0"/>
        <w:pageBreakBefore w:val="0"/>
        <w:widowControl w:val="0"/>
        <w:topLinePunct w:val="0"/>
        <w:autoSpaceDE/>
        <w:autoSpaceDN/>
        <w:bidi w:val="0"/>
        <w:adjustRightInd w:val="0"/>
        <w:snapToGrid w:val="0"/>
        <w:spacing w:line="440" w:lineRule="exact"/>
        <w:ind w:firstLine="480" w:firstLineChars="200"/>
        <w:jc w:val="left"/>
        <w:textAlignment w:val="auto"/>
        <w:rPr>
          <w:rFonts w:ascii="宋体" w:hAnsi="宋体" w:cs="宋体"/>
          <w:bCs/>
          <w:sz w:val="24"/>
          <w:szCs w:val="24"/>
        </w:rPr>
      </w:pPr>
      <w:r>
        <w:rPr>
          <w:rFonts w:hint="eastAsia" w:ascii="宋体" w:hAnsi="宋体" w:cs="宋体"/>
          <w:bCs/>
          <w:sz w:val="24"/>
          <w:szCs w:val="24"/>
        </w:rPr>
        <w:t>4.4请投标人时刻关注焦作市公共资源交易信息网和公司CA密钥推送消息。</w:t>
      </w:r>
    </w:p>
    <w:p>
      <w:pPr>
        <w:keepNext w:val="0"/>
        <w:keepLines w:val="0"/>
        <w:pageBreakBefore w:val="0"/>
        <w:widowControl w:val="0"/>
        <w:topLinePunct w:val="0"/>
        <w:autoSpaceDE/>
        <w:autoSpaceDN/>
        <w:bidi w:val="0"/>
        <w:adjustRightInd w:val="0"/>
        <w:snapToGrid w:val="0"/>
        <w:spacing w:line="440" w:lineRule="exact"/>
        <w:jc w:val="left"/>
        <w:textAlignment w:val="auto"/>
        <w:rPr>
          <w:rFonts w:ascii="宋体" w:hAnsi="宋体" w:cs="宋体"/>
          <w:bCs/>
          <w:sz w:val="24"/>
          <w:szCs w:val="24"/>
        </w:rPr>
      </w:pPr>
      <w:r>
        <w:rPr>
          <w:rFonts w:hint="eastAsia" w:ascii="宋体" w:hAnsi="宋体" w:cs="宋体"/>
          <w:b/>
          <w:sz w:val="24"/>
          <w:szCs w:val="24"/>
        </w:rPr>
        <w:t>5. 资格审查方法</w:t>
      </w:r>
      <w:r>
        <w:rPr>
          <w:rFonts w:hint="eastAsia" w:ascii="宋体" w:hAnsi="宋体" w:cs="宋体"/>
          <w:bCs/>
          <w:sz w:val="24"/>
          <w:szCs w:val="24"/>
        </w:rPr>
        <w:t>：本次招标采用资格后审。</w:t>
      </w:r>
    </w:p>
    <w:p>
      <w:pPr>
        <w:keepNext w:val="0"/>
        <w:keepLines w:val="0"/>
        <w:pageBreakBefore w:val="0"/>
        <w:widowControl w:val="0"/>
        <w:topLinePunct w:val="0"/>
        <w:autoSpaceDE/>
        <w:autoSpaceDN/>
        <w:bidi w:val="0"/>
        <w:adjustRightInd w:val="0"/>
        <w:snapToGrid w:val="0"/>
        <w:spacing w:line="440" w:lineRule="exact"/>
        <w:jc w:val="left"/>
        <w:textAlignment w:val="auto"/>
        <w:rPr>
          <w:rFonts w:ascii="宋体" w:hAnsi="宋体" w:cs="宋体"/>
          <w:b/>
          <w:sz w:val="24"/>
          <w:szCs w:val="24"/>
        </w:rPr>
      </w:pPr>
      <w:r>
        <w:rPr>
          <w:rFonts w:hint="eastAsia" w:ascii="宋体" w:hAnsi="宋体" w:cs="宋体"/>
          <w:b/>
          <w:sz w:val="24"/>
          <w:szCs w:val="24"/>
        </w:rPr>
        <w:t>6. 本项目采用电子开评标</w:t>
      </w:r>
    </w:p>
    <w:p>
      <w:pPr>
        <w:keepNext w:val="0"/>
        <w:keepLines w:val="0"/>
        <w:pageBreakBefore w:val="0"/>
        <w:widowControl w:val="0"/>
        <w:topLinePunct w:val="0"/>
        <w:autoSpaceDE/>
        <w:autoSpaceDN/>
        <w:bidi w:val="0"/>
        <w:adjustRightInd w:val="0"/>
        <w:snapToGrid w:val="0"/>
        <w:spacing w:line="440" w:lineRule="exact"/>
        <w:ind w:firstLine="480" w:firstLineChars="200"/>
        <w:jc w:val="left"/>
        <w:textAlignment w:val="auto"/>
        <w:rPr>
          <w:rFonts w:hint="eastAsia" w:ascii="宋体" w:hAnsi="宋体" w:cs="宋体"/>
          <w:bCs/>
          <w:sz w:val="24"/>
          <w:szCs w:val="24"/>
          <w:highlight w:val="none"/>
        </w:rPr>
      </w:pPr>
      <w:r>
        <w:rPr>
          <w:rFonts w:hint="eastAsia" w:ascii="宋体" w:hAnsi="宋体" w:cs="宋体"/>
          <w:bCs/>
          <w:sz w:val="24"/>
          <w:szCs w:val="24"/>
          <w:highlight w:val="none"/>
        </w:rPr>
        <w:t>特别提醒：本项目采用远程不见面开标和全程电子评标方式，潜在投标人可</w:t>
      </w:r>
      <w:r>
        <w:rPr>
          <w:rFonts w:hint="eastAsia" w:ascii="宋体" w:hAnsi="宋体" w:cs="宋体"/>
          <w:bCs/>
          <w:sz w:val="24"/>
          <w:szCs w:val="24"/>
          <w:highlight w:val="none"/>
          <w:lang w:eastAsia="zh-CN"/>
        </w:rPr>
        <w:t>在</w:t>
      </w:r>
      <w:r>
        <w:rPr>
          <w:rFonts w:hint="eastAsia" w:ascii="宋体" w:hAnsi="宋体" w:cs="宋体"/>
          <w:bCs/>
          <w:sz w:val="24"/>
          <w:szCs w:val="24"/>
          <w:highlight w:val="none"/>
        </w:rPr>
        <w:t>焦作市公共资源交易中心新网站“公共服务”—— “下载专区”栏目下载《投标单位操作手册及视频》和投标文件制作软件等，查看操作说明，按要求进行投标文件制作和上传等。为避免网络拥堵等不可控因素影响投标文件的上传</w:t>
      </w:r>
      <w:r>
        <w:rPr>
          <w:rFonts w:hint="eastAsia" w:ascii="宋体" w:hAnsi="宋体" w:cs="宋体"/>
          <w:bCs/>
          <w:sz w:val="24"/>
          <w:szCs w:val="24"/>
          <w:highlight w:val="none"/>
          <w:lang w:eastAsia="zh-CN"/>
        </w:rPr>
        <w:t>，</w:t>
      </w:r>
      <w:r>
        <w:rPr>
          <w:rFonts w:hint="eastAsia" w:ascii="宋体" w:hAnsi="宋体" w:cs="宋体"/>
          <w:bCs/>
          <w:sz w:val="24"/>
          <w:szCs w:val="24"/>
          <w:highlight w:val="none"/>
        </w:rPr>
        <w:t>请提前上传投标文件，并在开标截止时间前登录不见面开标大厅进行签到，按要求解密投标文件。投标文件的递交方式详见招标文件前附表4.2.2。因文件未及时上传导致投标失败的责任由投标人自行承担。</w:t>
      </w:r>
    </w:p>
    <w:p>
      <w:pPr>
        <w:keepNext w:val="0"/>
        <w:keepLines w:val="0"/>
        <w:pageBreakBefore w:val="0"/>
        <w:widowControl w:val="0"/>
        <w:topLinePunct w:val="0"/>
        <w:autoSpaceDE/>
        <w:autoSpaceDN/>
        <w:bidi w:val="0"/>
        <w:adjustRightInd w:val="0"/>
        <w:snapToGrid w:val="0"/>
        <w:spacing w:line="440" w:lineRule="exact"/>
        <w:ind w:firstLine="482" w:firstLineChars="200"/>
        <w:jc w:val="left"/>
        <w:textAlignment w:val="auto"/>
        <w:rPr>
          <w:rFonts w:hint="eastAsia" w:ascii="宋体" w:hAnsi="宋体" w:cs="宋体"/>
          <w:b/>
          <w:bCs w:val="0"/>
          <w:sz w:val="24"/>
          <w:szCs w:val="24"/>
          <w:highlight w:val="none"/>
        </w:rPr>
      </w:pPr>
      <w:r>
        <w:rPr>
          <w:rFonts w:hint="eastAsia" w:ascii="宋体" w:hAnsi="宋体" w:cs="宋体"/>
          <w:b/>
          <w:bCs w:val="0"/>
          <w:sz w:val="24"/>
          <w:szCs w:val="24"/>
          <w:highlight w:val="none"/>
        </w:rPr>
        <w:t>技术支持请联系：平台统一技术服务电话为：400-998-0000</w:t>
      </w:r>
    </w:p>
    <w:p>
      <w:pPr>
        <w:keepNext w:val="0"/>
        <w:keepLines w:val="0"/>
        <w:pageBreakBefore w:val="0"/>
        <w:widowControl w:val="0"/>
        <w:topLinePunct w:val="0"/>
        <w:autoSpaceDE/>
        <w:autoSpaceDN/>
        <w:bidi w:val="0"/>
        <w:adjustRightInd w:val="0"/>
        <w:snapToGrid w:val="0"/>
        <w:spacing w:line="440" w:lineRule="exact"/>
        <w:ind w:firstLine="482" w:firstLineChars="200"/>
        <w:jc w:val="left"/>
        <w:textAlignment w:val="auto"/>
        <w:rPr>
          <w:rFonts w:hint="eastAsia" w:ascii="宋体" w:hAnsi="宋体" w:cs="宋体"/>
          <w:b/>
          <w:bCs w:val="0"/>
          <w:sz w:val="24"/>
          <w:szCs w:val="24"/>
          <w:highlight w:val="none"/>
          <w:lang w:val="en-US" w:eastAsia="zh-CN"/>
        </w:rPr>
      </w:pPr>
      <w:r>
        <w:rPr>
          <w:rFonts w:hint="eastAsia" w:ascii="宋体" w:hAnsi="宋体" w:cs="宋体"/>
          <w:b/>
          <w:bCs w:val="0"/>
          <w:sz w:val="24"/>
          <w:szCs w:val="24"/>
          <w:highlight w:val="none"/>
          <w:lang w:val="en-US" w:eastAsia="zh-CN"/>
        </w:rPr>
        <w:t>清单造价技术问题请联系：刘工：13721426615</w:t>
      </w:r>
    </w:p>
    <w:p>
      <w:pPr>
        <w:keepNext w:val="0"/>
        <w:keepLines w:val="0"/>
        <w:pageBreakBefore w:val="0"/>
        <w:widowControl w:val="0"/>
        <w:topLinePunct w:val="0"/>
        <w:autoSpaceDE/>
        <w:autoSpaceDN/>
        <w:bidi w:val="0"/>
        <w:adjustRightInd w:val="0"/>
        <w:snapToGrid w:val="0"/>
        <w:spacing w:line="440" w:lineRule="exact"/>
        <w:ind w:firstLine="482" w:firstLineChars="200"/>
        <w:jc w:val="left"/>
        <w:textAlignment w:val="auto"/>
        <w:rPr>
          <w:rFonts w:hint="eastAsia" w:ascii="宋体" w:hAnsi="宋体" w:cs="宋体"/>
          <w:b/>
          <w:bCs w:val="0"/>
          <w:sz w:val="24"/>
          <w:szCs w:val="24"/>
          <w:highlight w:val="none"/>
        </w:rPr>
      </w:pPr>
      <w:r>
        <w:rPr>
          <w:rFonts w:hint="eastAsia" w:ascii="宋体" w:hAnsi="宋体" w:cs="宋体"/>
          <w:b/>
          <w:bCs w:val="0"/>
          <w:sz w:val="24"/>
          <w:szCs w:val="24"/>
          <w:highlight w:val="none"/>
        </w:rPr>
        <w:t>服务时间：周一至周日8：00-17：30</w:t>
      </w:r>
    </w:p>
    <w:p>
      <w:pPr>
        <w:keepNext w:val="0"/>
        <w:keepLines w:val="0"/>
        <w:pageBreakBefore w:val="0"/>
        <w:widowControl w:val="0"/>
        <w:topLinePunct w:val="0"/>
        <w:autoSpaceDE/>
        <w:autoSpaceDN/>
        <w:bidi w:val="0"/>
        <w:adjustRightInd w:val="0"/>
        <w:snapToGrid w:val="0"/>
        <w:spacing w:line="440" w:lineRule="exact"/>
        <w:jc w:val="left"/>
        <w:textAlignment w:val="auto"/>
        <w:rPr>
          <w:rFonts w:ascii="宋体" w:hAnsi="宋体" w:cs="宋体"/>
          <w:b/>
          <w:sz w:val="24"/>
          <w:szCs w:val="24"/>
        </w:rPr>
      </w:pPr>
      <w:r>
        <w:rPr>
          <w:rFonts w:hint="eastAsia" w:ascii="宋体" w:hAnsi="宋体" w:cs="宋体"/>
          <w:b/>
          <w:sz w:val="24"/>
          <w:szCs w:val="24"/>
        </w:rPr>
        <w:t>7.投标文件的递交</w:t>
      </w:r>
    </w:p>
    <w:p>
      <w:pPr>
        <w:keepNext w:val="0"/>
        <w:keepLines w:val="0"/>
        <w:pageBreakBefore w:val="0"/>
        <w:widowControl w:val="0"/>
        <w:topLinePunct w:val="0"/>
        <w:autoSpaceDE/>
        <w:autoSpaceDN/>
        <w:bidi w:val="0"/>
        <w:adjustRightInd w:val="0"/>
        <w:snapToGrid w:val="0"/>
        <w:spacing w:line="440" w:lineRule="exact"/>
        <w:ind w:firstLine="422"/>
        <w:jc w:val="left"/>
        <w:textAlignment w:val="auto"/>
        <w:rPr>
          <w:rFonts w:ascii="宋体" w:hAnsi="宋体" w:cs="宋体"/>
          <w:bCs/>
          <w:sz w:val="24"/>
          <w:szCs w:val="24"/>
        </w:rPr>
      </w:pPr>
      <w:r>
        <w:rPr>
          <w:rFonts w:hint="eastAsia" w:ascii="宋体" w:hAnsi="宋体" w:cs="宋体"/>
          <w:bCs/>
          <w:sz w:val="24"/>
          <w:szCs w:val="24"/>
        </w:rPr>
        <w:t>7.1投标文件递交的截</w:t>
      </w:r>
      <w:r>
        <w:rPr>
          <w:rFonts w:hint="eastAsia" w:ascii="宋体" w:hAnsi="宋体" w:cs="宋体"/>
          <w:bCs/>
          <w:color w:val="auto"/>
          <w:sz w:val="24"/>
          <w:szCs w:val="24"/>
        </w:rPr>
        <w:t>止时间为</w:t>
      </w:r>
      <w:r>
        <w:rPr>
          <w:rFonts w:hint="eastAsia" w:ascii="宋体" w:hAnsi="宋体" w:cs="宋体"/>
          <w:bCs/>
          <w:color w:val="auto"/>
          <w:sz w:val="24"/>
          <w:szCs w:val="24"/>
          <w:highlight w:val="none"/>
        </w:rPr>
        <w:t>202</w:t>
      </w:r>
      <w:r>
        <w:rPr>
          <w:rFonts w:hint="eastAsia" w:ascii="宋体" w:hAnsi="宋体" w:cs="宋体"/>
          <w:bCs/>
          <w:color w:val="auto"/>
          <w:sz w:val="24"/>
          <w:szCs w:val="24"/>
          <w:highlight w:val="none"/>
          <w:lang w:val="en-US" w:eastAsia="zh-CN"/>
        </w:rPr>
        <w:t>4</w:t>
      </w:r>
      <w:r>
        <w:rPr>
          <w:rFonts w:hint="eastAsia" w:ascii="宋体" w:hAnsi="宋体" w:cs="宋体"/>
          <w:bCs/>
          <w:color w:val="auto"/>
          <w:sz w:val="24"/>
          <w:szCs w:val="24"/>
          <w:highlight w:val="none"/>
        </w:rPr>
        <w:t>年</w:t>
      </w:r>
      <w:r>
        <w:rPr>
          <w:rFonts w:hint="eastAsia" w:ascii="宋体" w:hAnsi="宋体" w:cs="宋体"/>
          <w:bCs/>
          <w:color w:val="auto"/>
          <w:sz w:val="24"/>
          <w:szCs w:val="24"/>
          <w:highlight w:val="none"/>
          <w:lang w:val="en-US" w:eastAsia="zh-CN"/>
        </w:rPr>
        <w:t>4</w:t>
      </w:r>
      <w:r>
        <w:rPr>
          <w:rFonts w:hint="eastAsia" w:ascii="宋体" w:hAnsi="宋体" w:cs="宋体"/>
          <w:bCs/>
          <w:color w:val="auto"/>
          <w:sz w:val="24"/>
          <w:szCs w:val="24"/>
          <w:highlight w:val="none"/>
        </w:rPr>
        <w:t>月</w:t>
      </w:r>
      <w:r>
        <w:rPr>
          <w:rFonts w:hint="eastAsia" w:ascii="宋体" w:hAnsi="宋体" w:cs="宋体"/>
          <w:bCs/>
          <w:color w:val="auto"/>
          <w:sz w:val="24"/>
          <w:szCs w:val="24"/>
          <w:highlight w:val="none"/>
          <w:lang w:val="en-US" w:eastAsia="zh-CN"/>
        </w:rPr>
        <w:t>10</w:t>
      </w:r>
      <w:r>
        <w:rPr>
          <w:rFonts w:hint="eastAsia" w:ascii="宋体" w:hAnsi="宋体" w:cs="宋体"/>
          <w:bCs/>
          <w:color w:val="auto"/>
          <w:sz w:val="24"/>
          <w:szCs w:val="24"/>
          <w:highlight w:val="none"/>
        </w:rPr>
        <w:t>日9</w:t>
      </w:r>
      <w:r>
        <w:rPr>
          <w:rFonts w:hint="eastAsia" w:ascii="宋体" w:hAnsi="宋体" w:cs="宋体"/>
          <w:bCs/>
          <w:color w:val="000000" w:themeColor="text1"/>
          <w:sz w:val="24"/>
          <w:szCs w:val="24"/>
          <w:highlight w:val="none"/>
          <w14:textFill>
            <w14:solidFill>
              <w14:schemeClr w14:val="tx1"/>
            </w14:solidFill>
          </w14:textFill>
        </w:rPr>
        <w:t>时00分</w:t>
      </w:r>
      <w:r>
        <w:rPr>
          <w:rFonts w:hint="eastAsia" w:ascii="宋体" w:hAnsi="宋体" w:cs="宋体"/>
          <w:bCs/>
          <w:color w:val="000000" w:themeColor="text1"/>
          <w:sz w:val="24"/>
          <w:szCs w:val="24"/>
          <w14:textFill>
            <w14:solidFill>
              <w14:schemeClr w14:val="tx1"/>
            </w14:solidFill>
          </w14:textFill>
        </w:rPr>
        <w:t>，提</w:t>
      </w:r>
      <w:r>
        <w:rPr>
          <w:rFonts w:hint="eastAsia" w:ascii="宋体" w:hAnsi="宋体" w:cs="宋体"/>
          <w:bCs/>
          <w:sz w:val="24"/>
          <w:szCs w:val="24"/>
        </w:rPr>
        <w:t>交方式：网上提交。</w:t>
      </w:r>
    </w:p>
    <w:p>
      <w:pPr>
        <w:keepNext w:val="0"/>
        <w:keepLines w:val="0"/>
        <w:pageBreakBefore w:val="0"/>
        <w:widowControl w:val="0"/>
        <w:topLinePunct w:val="0"/>
        <w:autoSpaceDE/>
        <w:autoSpaceDN/>
        <w:bidi w:val="0"/>
        <w:adjustRightInd w:val="0"/>
        <w:snapToGrid w:val="0"/>
        <w:spacing w:line="440" w:lineRule="exact"/>
        <w:ind w:firstLine="422"/>
        <w:jc w:val="left"/>
        <w:textAlignment w:val="auto"/>
        <w:rPr>
          <w:rFonts w:ascii="宋体" w:hAnsi="宋体" w:cs="宋体"/>
          <w:bCs/>
          <w:sz w:val="24"/>
          <w:szCs w:val="24"/>
        </w:rPr>
      </w:pPr>
      <w:r>
        <w:rPr>
          <w:rFonts w:hint="eastAsia" w:ascii="宋体" w:hAnsi="宋体" w:cs="宋体"/>
          <w:bCs/>
          <w:sz w:val="24"/>
          <w:szCs w:val="24"/>
        </w:rPr>
        <w:t>7.2逾期上传或者未按要求解密投标文件，招标人不予受理。</w:t>
      </w:r>
    </w:p>
    <w:p>
      <w:pPr>
        <w:keepNext w:val="0"/>
        <w:keepLines w:val="0"/>
        <w:pageBreakBefore w:val="0"/>
        <w:widowControl w:val="0"/>
        <w:topLinePunct w:val="0"/>
        <w:autoSpaceDE/>
        <w:autoSpaceDN/>
        <w:bidi w:val="0"/>
        <w:adjustRightInd w:val="0"/>
        <w:snapToGrid w:val="0"/>
        <w:spacing w:line="440" w:lineRule="exact"/>
        <w:jc w:val="left"/>
        <w:textAlignment w:val="auto"/>
        <w:rPr>
          <w:rFonts w:ascii="宋体" w:hAnsi="宋体" w:cs="宋体"/>
          <w:b/>
          <w:sz w:val="24"/>
          <w:szCs w:val="24"/>
        </w:rPr>
      </w:pPr>
      <w:r>
        <w:rPr>
          <w:rFonts w:hint="eastAsia" w:ascii="宋体" w:hAnsi="宋体" w:cs="宋体"/>
          <w:b/>
          <w:sz w:val="24"/>
          <w:szCs w:val="24"/>
        </w:rPr>
        <w:t>8. 开标时间</w:t>
      </w:r>
    </w:p>
    <w:p>
      <w:pPr>
        <w:keepNext w:val="0"/>
        <w:keepLines w:val="0"/>
        <w:pageBreakBefore w:val="0"/>
        <w:widowControl w:val="0"/>
        <w:topLinePunct w:val="0"/>
        <w:autoSpaceDE/>
        <w:autoSpaceDN/>
        <w:bidi w:val="0"/>
        <w:adjustRightInd w:val="0"/>
        <w:snapToGrid w:val="0"/>
        <w:spacing w:line="440" w:lineRule="exact"/>
        <w:ind w:firstLine="422"/>
        <w:jc w:val="left"/>
        <w:textAlignment w:val="auto"/>
        <w:rPr>
          <w:rFonts w:ascii="宋体" w:hAnsi="宋体" w:cs="宋体"/>
          <w:bCs/>
          <w:sz w:val="24"/>
          <w:szCs w:val="24"/>
        </w:rPr>
      </w:pPr>
      <w:r>
        <w:rPr>
          <w:rFonts w:hint="eastAsia" w:ascii="宋体" w:hAnsi="宋体" w:cs="宋体"/>
          <w:bCs/>
          <w:sz w:val="24"/>
          <w:szCs w:val="24"/>
        </w:rPr>
        <w:t>8.1开标时</w:t>
      </w:r>
      <w:r>
        <w:rPr>
          <w:rFonts w:hint="eastAsia" w:ascii="宋体" w:hAnsi="宋体" w:cs="宋体"/>
          <w:bCs/>
          <w:color w:val="auto"/>
          <w:sz w:val="24"/>
          <w:szCs w:val="24"/>
        </w:rPr>
        <w:t>间为202</w:t>
      </w:r>
      <w:r>
        <w:rPr>
          <w:rFonts w:hint="eastAsia" w:ascii="宋体" w:hAnsi="宋体" w:cs="宋体"/>
          <w:bCs/>
          <w:color w:val="auto"/>
          <w:sz w:val="24"/>
          <w:szCs w:val="24"/>
          <w:lang w:val="en-US" w:eastAsia="zh-CN"/>
        </w:rPr>
        <w:t>4</w:t>
      </w:r>
      <w:r>
        <w:rPr>
          <w:rFonts w:hint="eastAsia" w:ascii="宋体" w:hAnsi="宋体" w:cs="宋体"/>
          <w:bCs/>
          <w:color w:val="auto"/>
          <w:sz w:val="24"/>
          <w:szCs w:val="24"/>
        </w:rPr>
        <w:t>年</w:t>
      </w:r>
      <w:r>
        <w:rPr>
          <w:rFonts w:hint="eastAsia" w:ascii="宋体" w:hAnsi="宋体" w:cs="宋体"/>
          <w:bCs/>
          <w:color w:val="auto"/>
          <w:sz w:val="24"/>
          <w:szCs w:val="24"/>
          <w:highlight w:val="none"/>
          <w:lang w:val="en-US" w:eastAsia="zh-CN"/>
        </w:rPr>
        <w:t>4</w:t>
      </w:r>
      <w:r>
        <w:rPr>
          <w:rFonts w:hint="eastAsia" w:ascii="宋体" w:hAnsi="宋体" w:cs="宋体"/>
          <w:bCs/>
          <w:color w:val="auto"/>
          <w:sz w:val="24"/>
          <w:szCs w:val="24"/>
          <w:highlight w:val="none"/>
        </w:rPr>
        <w:t>月</w:t>
      </w:r>
      <w:r>
        <w:rPr>
          <w:rFonts w:hint="eastAsia" w:ascii="宋体" w:hAnsi="宋体" w:cs="宋体"/>
          <w:bCs/>
          <w:color w:val="auto"/>
          <w:sz w:val="24"/>
          <w:szCs w:val="24"/>
          <w:highlight w:val="none"/>
          <w:lang w:val="en-US" w:eastAsia="zh-CN"/>
        </w:rPr>
        <w:t>10</w:t>
      </w:r>
      <w:r>
        <w:rPr>
          <w:rFonts w:hint="eastAsia" w:ascii="宋体" w:hAnsi="宋体" w:cs="宋体"/>
          <w:bCs/>
          <w:color w:val="auto"/>
          <w:sz w:val="24"/>
          <w:szCs w:val="24"/>
          <w:highlight w:val="none"/>
        </w:rPr>
        <w:t>日9时 00分</w:t>
      </w:r>
      <w:r>
        <w:rPr>
          <w:rFonts w:hint="eastAsia" w:ascii="宋体" w:hAnsi="宋体" w:cs="宋体"/>
          <w:bCs/>
          <w:color w:val="auto"/>
          <w:sz w:val="24"/>
          <w:szCs w:val="24"/>
        </w:rPr>
        <w:t>。</w:t>
      </w:r>
      <w:r>
        <w:rPr>
          <w:rFonts w:hint="eastAsia" w:ascii="宋体" w:hAnsi="宋体" w:cs="宋体"/>
          <w:bCs/>
          <w:color w:val="auto"/>
          <w:sz w:val="24"/>
          <w:szCs w:val="24"/>
          <w:highlight w:val="none"/>
        </w:rPr>
        <w:t>现场开标地点为焦作市人民路889号阳光大厦B座公共资源交易中心</w:t>
      </w:r>
      <w:r>
        <w:rPr>
          <w:rFonts w:hint="eastAsia" w:ascii="宋体" w:hAnsi="宋体" w:cs="宋体"/>
          <w:bCs/>
          <w:color w:val="auto"/>
          <w:sz w:val="24"/>
          <w:szCs w:val="24"/>
          <w:highlight w:val="none"/>
          <w:lang w:eastAsia="zh-CN"/>
        </w:rPr>
        <w:t>第</w:t>
      </w:r>
      <w:r>
        <w:rPr>
          <w:rFonts w:hint="eastAsia" w:ascii="宋体" w:hAnsi="宋体" w:cs="宋体"/>
          <w:bCs/>
          <w:color w:val="auto"/>
          <w:sz w:val="24"/>
          <w:szCs w:val="24"/>
          <w:highlight w:val="none"/>
          <w:lang w:val="en-US" w:eastAsia="zh-CN"/>
        </w:rPr>
        <w:t>一</w:t>
      </w:r>
      <w:r>
        <w:rPr>
          <w:rFonts w:hint="eastAsia" w:ascii="宋体" w:hAnsi="宋体" w:cs="宋体"/>
          <w:bCs/>
          <w:color w:val="auto"/>
          <w:sz w:val="24"/>
          <w:szCs w:val="24"/>
          <w:highlight w:val="none"/>
        </w:rPr>
        <w:t>开标</w:t>
      </w:r>
      <w:r>
        <w:rPr>
          <w:rFonts w:hint="eastAsia" w:ascii="宋体" w:hAnsi="宋体" w:cs="宋体"/>
          <w:bCs/>
          <w:color w:val="auto"/>
          <w:sz w:val="24"/>
          <w:szCs w:val="24"/>
          <w:highlight w:val="none"/>
          <w:lang w:val="en-US" w:eastAsia="zh-CN"/>
        </w:rPr>
        <w:t>室1</w:t>
      </w:r>
      <w:r>
        <w:rPr>
          <w:rFonts w:hint="eastAsia" w:ascii="宋体" w:hAnsi="宋体" w:cs="宋体"/>
          <w:bCs/>
          <w:color w:val="auto"/>
          <w:sz w:val="24"/>
          <w:szCs w:val="24"/>
          <w:highlight w:val="none"/>
        </w:rPr>
        <w:t>号机</w:t>
      </w:r>
      <w:r>
        <w:rPr>
          <w:rFonts w:hint="eastAsia" w:ascii="宋体" w:hAnsi="宋体" w:cs="宋体"/>
          <w:bCs/>
          <w:color w:val="auto"/>
          <w:sz w:val="24"/>
          <w:szCs w:val="24"/>
        </w:rPr>
        <w:t>。</w:t>
      </w:r>
    </w:p>
    <w:p>
      <w:pPr>
        <w:keepNext w:val="0"/>
        <w:keepLines w:val="0"/>
        <w:pageBreakBefore w:val="0"/>
        <w:widowControl w:val="0"/>
        <w:topLinePunct w:val="0"/>
        <w:autoSpaceDE/>
        <w:autoSpaceDN/>
        <w:bidi w:val="0"/>
        <w:adjustRightInd w:val="0"/>
        <w:snapToGrid w:val="0"/>
        <w:spacing w:line="440" w:lineRule="exact"/>
        <w:ind w:firstLine="422"/>
        <w:jc w:val="left"/>
        <w:textAlignment w:val="auto"/>
        <w:rPr>
          <w:rFonts w:ascii="宋体" w:hAnsi="宋体" w:cs="宋体"/>
          <w:bCs/>
          <w:sz w:val="24"/>
          <w:szCs w:val="24"/>
        </w:rPr>
      </w:pPr>
      <w:r>
        <w:rPr>
          <w:rFonts w:hint="eastAsia" w:ascii="宋体" w:hAnsi="宋体" w:cs="宋体"/>
          <w:bCs/>
          <w:sz w:val="24"/>
          <w:szCs w:val="24"/>
        </w:rPr>
        <w:t>8.2中标结果请登陆发布本招标公告的媒介查看中标结果公示栏，中标结果不再另行通知。</w:t>
      </w:r>
    </w:p>
    <w:p>
      <w:pPr>
        <w:keepNext w:val="0"/>
        <w:keepLines w:val="0"/>
        <w:pageBreakBefore w:val="0"/>
        <w:widowControl w:val="0"/>
        <w:topLinePunct w:val="0"/>
        <w:autoSpaceDE/>
        <w:autoSpaceDN/>
        <w:bidi w:val="0"/>
        <w:adjustRightInd w:val="0"/>
        <w:snapToGrid w:val="0"/>
        <w:spacing w:line="440" w:lineRule="exact"/>
        <w:jc w:val="left"/>
        <w:textAlignment w:val="auto"/>
        <w:rPr>
          <w:rFonts w:ascii="宋体" w:hAnsi="宋体" w:cs="宋体"/>
          <w:b/>
          <w:sz w:val="24"/>
          <w:szCs w:val="24"/>
        </w:rPr>
      </w:pPr>
      <w:r>
        <w:rPr>
          <w:rFonts w:hint="eastAsia" w:ascii="宋体" w:hAnsi="宋体" w:cs="宋体"/>
          <w:b/>
          <w:sz w:val="24"/>
          <w:szCs w:val="24"/>
        </w:rPr>
        <w:t>9．发布公告的媒介</w:t>
      </w:r>
    </w:p>
    <w:p>
      <w:pPr>
        <w:keepNext w:val="0"/>
        <w:keepLines w:val="0"/>
        <w:pageBreakBefore w:val="0"/>
        <w:widowControl w:val="0"/>
        <w:topLinePunct w:val="0"/>
        <w:autoSpaceDE/>
        <w:autoSpaceDN/>
        <w:bidi w:val="0"/>
        <w:adjustRightInd w:val="0"/>
        <w:snapToGrid w:val="0"/>
        <w:spacing w:line="440" w:lineRule="exact"/>
        <w:ind w:firstLine="422"/>
        <w:jc w:val="left"/>
        <w:textAlignment w:val="auto"/>
        <w:rPr>
          <w:rFonts w:ascii="宋体" w:hAnsi="宋体" w:cs="宋体"/>
          <w:bCs/>
          <w:sz w:val="24"/>
          <w:szCs w:val="24"/>
        </w:rPr>
      </w:pPr>
      <w:r>
        <w:rPr>
          <w:rFonts w:hint="eastAsia" w:ascii="宋体" w:hAnsi="宋体" w:cs="宋体"/>
          <w:bCs/>
          <w:sz w:val="24"/>
          <w:szCs w:val="24"/>
        </w:rPr>
        <w:t>本招标公告同时在《焦作市公共资源交易中心》《中国招标投标公共服务平台》</w:t>
      </w:r>
      <w:r>
        <w:rPr>
          <w:rFonts w:hint="eastAsia" w:ascii="宋体" w:hAnsi="宋体" w:cs="宋体"/>
          <w:bCs/>
          <w:sz w:val="24"/>
          <w:szCs w:val="24"/>
          <w:lang w:eastAsia="zh-CN"/>
        </w:rPr>
        <w:t>《中国采购与招标网》</w:t>
      </w:r>
      <w:r>
        <w:rPr>
          <w:rFonts w:hint="eastAsia" w:ascii="宋体" w:hAnsi="宋体" w:cs="宋体"/>
          <w:bCs/>
          <w:sz w:val="24"/>
          <w:szCs w:val="24"/>
        </w:rPr>
        <w:t>上发布。</w:t>
      </w:r>
    </w:p>
    <w:p>
      <w:pPr>
        <w:keepNext w:val="0"/>
        <w:keepLines w:val="0"/>
        <w:pageBreakBefore w:val="0"/>
        <w:widowControl w:val="0"/>
        <w:topLinePunct w:val="0"/>
        <w:autoSpaceDE/>
        <w:autoSpaceDN/>
        <w:bidi w:val="0"/>
        <w:adjustRightInd w:val="0"/>
        <w:snapToGrid w:val="0"/>
        <w:spacing w:line="440" w:lineRule="exact"/>
        <w:ind w:firstLine="422"/>
        <w:jc w:val="left"/>
        <w:textAlignment w:val="auto"/>
        <w:rPr>
          <w:rFonts w:ascii="宋体" w:hAnsi="宋体" w:cs="宋体"/>
          <w:bCs/>
          <w:sz w:val="24"/>
          <w:szCs w:val="24"/>
        </w:rPr>
      </w:pPr>
      <w:r>
        <w:rPr>
          <w:rFonts w:hint="eastAsia" w:ascii="宋体" w:hAnsi="宋体" w:cs="宋体"/>
          <w:bCs/>
          <w:sz w:val="24"/>
          <w:szCs w:val="24"/>
        </w:rPr>
        <w:t>（注：本项目所有变更、补充通知、答疑等均在以上网站发布，不再另行通知）</w:t>
      </w:r>
    </w:p>
    <w:p>
      <w:pPr>
        <w:keepNext w:val="0"/>
        <w:keepLines w:val="0"/>
        <w:pageBreakBefore w:val="0"/>
        <w:widowControl w:val="0"/>
        <w:topLinePunct w:val="0"/>
        <w:autoSpaceDE/>
        <w:autoSpaceDN/>
        <w:bidi w:val="0"/>
        <w:adjustRightInd w:val="0"/>
        <w:snapToGrid w:val="0"/>
        <w:spacing w:line="440" w:lineRule="exact"/>
        <w:jc w:val="left"/>
        <w:textAlignment w:val="auto"/>
        <w:rPr>
          <w:rFonts w:ascii="宋体" w:hAnsi="宋体" w:cs="宋体"/>
          <w:b/>
          <w:sz w:val="24"/>
          <w:szCs w:val="24"/>
        </w:rPr>
      </w:pPr>
      <w:r>
        <w:rPr>
          <w:rFonts w:hint="eastAsia" w:ascii="宋体" w:hAnsi="宋体" w:cs="宋体"/>
          <w:b/>
          <w:sz w:val="24"/>
          <w:szCs w:val="24"/>
        </w:rPr>
        <w:t>10. 联系方式</w:t>
      </w:r>
    </w:p>
    <w:p>
      <w:pPr>
        <w:keepNext w:val="0"/>
        <w:keepLines w:val="0"/>
        <w:pageBreakBefore w:val="0"/>
        <w:widowControl w:val="0"/>
        <w:topLinePunct w:val="0"/>
        <w:autoSpaceDE/>
        <w:autoSpaceDN/>
        <w:bidi w:val="0"/>
        <w:adjustRightInd w:val="0"/>
        <w:snapToGrid w:val="0"/>
        <w:spacing w:line="440" w:lineRule="exact"/>
        <w:ind w:firstLine="240" w:firstLineChars="100"/>
        <w:jc w:val="left"/>
        <w:textAlignment w:val="auto"/>
        <w:rPr>
          <w:rFonts w:hint="eastAsia" w:ascii="宋体" w:hAnsi="宋体" w:eastAsia="宋体" w:cs="宋体"/>
          <w:bCs/>
          <w:sz w:val="24"/>
          <w:szCs w:val="24"/>
          <w:lang w:eastAsia="zh-CN"/>
        </w:rPr>
      </w:pPr>
      <w:r>
        <w:rPr>
          <w:rFonts w:hint="eastAsia" w:ascii="宋体" w:hAnsi="宋体" w:cs="宋体"/>
          <w:bCs/>
          <w:sz w:val="24"/>
          <w:szCs w:val="24"/>
        </w:rPr>
        <w:t>招标人：</w:t>
      </w:r>
      <w:r>
        <w:rPr>
          <w:rFonts w:hint="eastAsia" w:ascii="宋体" w:hAnsi="宋体" w:cs="宋体"/>
          <w:sz w:val="24"/>
          <w:szCs w:val="24"/>
          <w:lang w:eastAsia="zh-CN"/>
        </w:rPr>
        <w:t>河南国创城市发展有限公司</w:t>
      </w:r>
    </w:p>
    <w:p>
      <w:pPr>
        <w:keepNext w:val="0"/>
        <w:keepLines w:val="0"/>
        <w:pageBreakBefore w:val="0"/>
        <w:widowControl w:val="0"/>
        <w:topLinePunct w:val="0"/>
        <w:autoSpaceDE/>
        <w:autoSpaceDN/>
        <w:bidi w:val="0"/>
        <w:adjustRightInd w:val="0"/>
        <w:snapToGrid w:val="0"/>
        <w:spacing w:line="440" w:lineRule="exact"/>
        <w:ind w:firstLine="240" w:firstLineChars="100"/>
        <w:jc w:val="left"/>
        <w:textAlignment w:val="auto"/>
        <w:rPr>
          <w:rFonts w:hint="eastAsia" w:ascii="宋体" w:hAnsi="宋体" w:eastAsia="宋体" w:cs="宋体"/>
          <w:bCs/>
          <w:sz w:val="24"/>
          <w:szCs w:val="24"/>
          <w:lang w:eastAsia="zh-CN"/>
        </w:rPr>
      </w:pPr>
      <w:r>
        <w:rPr>
          <w:rFonts w:hint="eastAsia" w:ascii="宋体" w:hAnsi="宋体" w:cs="宋体"/>
          <w:bCs/>
          <w:sz w:val="24"/>
          <w:szCs w:val="24"/>
        </w:rPr>
        <w:t>联系人：</w:t>
      </w:r>
      <w:r>
        <w:rPr>
          <w:rFonts w:hint="eastAsia" w:ascii="宋体" w:hAnsi="宋体" w:cs="宋体"/>
          <w:bCs/>
          <w:sz w:val="24"/>
          <w:szCs w:val="24"/>
          <w:lang w:eastAsia="zh-CN"/>
        </w:rPr>
        <w:t>赵珂</w:t>
      </w:r>
    </w:p>
    <w:p>
      <w:pPr>
        <w:keepNext w:val="0"/>
        <w:keepLines w:val="0"/>
        <w:pageBreakBefore w:val="0"/>
        <w:widowControl w:val="0"/>
        <w:topLinePunct w:val="0"/>
        <w:autoSpaceDE/>
        <w:autoSpaceDN/>
        <w:bidi w:val="0"/>
        <w:adjustRightInd w:val="0"/>
        <w:snapToGrid w:val="0"/>
        <w:spacing w:line="440" w:lineRule="exact"/>
        <w:ind w:firstLine="240" w:firstLineChars="100"/>
        <w:jc w:val="left"/>
        <w:textAlignment w:val="auto"/>
        <w:rPr>
          <w:rFonts w:hint="eastAsia" w:ascii="宋体" w:hAnsi="宋体" w:eastAsia="宋体" w:cs="宋体"/>
          <w:bCs/>
          <w:sz w:val="24"/>
          <w:szCs w:val="24"/>
          <w:lang w:eastAsia="zh-CN"/>
        </w:rPr>
      </w:pPr>
      <w:r>
        <w:rPr>
          <w:rFonts w:hint="eastAsia" w:ascii="宋体" w:hAnsi="宋体" w:cs="宋体"/>
          <w:bCs/>
          <w:sz w:val="24"/>
          <w:szCs w:val="24"/>
        </w:rPr>
        <w:t>电 话：</w:t>
      </w:r>
      <w:r>
        <w:rPr>
          <w:rFonts w:hint="eastAsia" w:ascii="宋体" w:hAnsi="宋体" w:cs="宋体"/>
          <w:bCs/>
          <w:sz w:val="24"/>
          <w:szCs w:val="24"/>
          <w:lang w:eastAsia="zh-CN"/>
        </w:rPr>
        <w:t xml:space="preserve">13673669100 </w:t>
      </w:r>
    </w:p>
    <w:p>
      <w:pPr>
        <w:keepNext w:val="0"/>
        <w:keepLines w:val="0"/>
        <w:pageBreakBefore w:val="0"/>
        <w:widowControl w:val="0"/>
        <w:topLinePunct w:val="0"/>
        <w:autoSpaceDE/>
        <w:autoSpaceDN/>
        <w:bidi w:val="0"/>
        <w:adjustRightInd w:val="0"/>
        <w:snapToGrid w:val="0"/>
        <w:spacing w:line="440" w:lineRule="exact"/>
        <w:ind w:firstLine="240" w:firstLineChars="100"/>
        <w:jc w:val="left"/>
        <w:textAlignment w:val="auto"/>
        <w:rPr>
          <w:rFonts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地址：焦作市马村区人民路3888号鸿运国际商城H1区</w:t>
      </w:r>
    </w:p>
    <w:p>
      <w:pPr>
        <w:keepNext w:val="0"/>
        <w:keepLines w:val="0"/>
        <w:pageBreakBefore w:val="0"/>
        <w:widowControl w:val="0"/>
        <w:topLinePunct w:val="0"/>
        <w:autoSpaceDE/>
        <w:autoSpaceDN/>
        <w:bidi w:val="0"/>
        <w:adjustRightInd w:val="0"/>
        <w:snapToGrid w:val="0"/>
        <w:spacing w:line="440" w:lineRule="exact"/>
        <w:ind w:firstLine="240" w:firstLineChars="100"/>
        <w:jc w:val="left"/>
        <w:textAlignment w:val="auto"/>
        <w:rPr>
          <w:rFonts w:hint="eastAsia" w:ascii="宋体" w:hAnsi="宋体" w:eastAsia="宋体" w:cs="宋体"/>
          <w:sz w:val="24"/>
          <w:szCs w:val="24"/>
          <w:lang w:eastAsia="zh-CN"/>
        </w:rPr>
      </w:pPr>
      <w:r>
        <w:rPr>
          <w:rFonts w:hint="eastAsia" w:ascii="宋体" w:hAnsi="宋体" w:cs="宋体"/>
          <w:bCs/>
          <w:color w:val="000000" w:themeColor="text1"/>
          <w:sz w:val="24"/>
          <w:szCs w:val="24"/>
          <w14:textFill>
            <w14:solidFill>
              <w14:schemeClr w14:val="tx1"/>
            </w14:solidFill>
          </w14:textFill>
        </w:rPr>
        <w:t>招标代理机构：</w:t>
      </w:r>
      <w:r>
        <w:rPr>
          <w:rFonts w:hint="eastAsia" w:ascii="宋体" w:hAnsi="宋体" w:cs="宋体"/>
          <w:bCs/>
          <w:color w:val="000000" w:themeColor="text1"/>
          <w:sz w:val="24"/>
          <w:szCs w:val="24"/>
          <w:lang w:eastAsia="zh-CN"/>
          <w14:textFill>
            <w14:solidFill>
              <w14:schemeClr w14:val="tx1"/>
            </w14:solidFill>
          </w14:textFill>
        </w:rPr>
        <w:t>鹏新工程管理有限公司</w:t>
      </w:r>
    </w:p>
    <w:p>
      <w:pPr>
        <w:keepNext w:val="0"/>
        <w:keepLines w:val="0"/>
        <w:pageBreakBefore w:val="0"/>
        <w:widowControl w:val="0"/>
        <w:topLinePunct w:val="0"/>
        <w:autoSpaceDE/>
        <w:autoSpaceDN/>
        <w:bidi w:val="0"/>
        <w:adjustRightInd w:val="0"/>
        <w:snapToGrid w:val="0"/>
        <w:spacing w:line="440" w:lineRule="exact"/>
        <w:ind w:firstLine="240" w:firstLineChars="100"/>
        <w:jc w:val="left"/>
        <w:textAlignment w:val="auto"/>
        <w:rPr>
          <w:rFonts w:hint="eastAsia" w:ascii="宋体" w:hAnsi="宋体" w:eastAsia="宋体" w:cs="宋体"/>
          <w:sz w:val="24"/>
          <w:szCs w:val="24"/>
          <w:lang w:eastAsia="zh-CN"/>
        </w:rPr>
      </w:pPr>
      <w:r>
        <w:rPr>
          <w:rFonts w:hint="eastAsia" w:ascii="宋体" w:hAnsi="宋体" w:cs="宋体"/>
          <w:bCs/>
          <w:color w:val="000000" w:themeColor="text1"/>
          <w:sz w:val="24"/>
          <w:szCs w:val="24"/>
          <w14:textFill>
            <w14:solidFill>
              <w14:schemeClr w14:val="tx1"/>
            </w14:solidFill>
          </w14:textFill>
        </w:rPr>
        <w:t>联系人：</w:t>
      </w:r>
      <w:r>
        <w:rPr>
          <w:rFonts w:hint="eastAsia" w:ascii="宋体" w:hAnsi="宋体" w:cs="宋体"/>
          <w:bCs/>
          <w:color w:val="000000" w:themeColor="text1"/>
          <w:sz w:val="24"/>
          <w:szCs w:val="24"/>
          <w:lang w:eastAsia="zh-CN"/>
          <w14:textFill>
            <w14:solidFill>
              <w14:schemeClr w14:val="tx1"/>
            </w14:solidFill>
          </w14:textFill>
        </w:rPr>
        <w:t>梁博</w:t>
      </w:r>
    </w:p>
    <w:p>
      <w:pPr>
        <w:keepNext w:val="0"/>
        <w:keepLines w:val="0"/>
        <w:pageBreakBefore w:val="0"/>
        <w:widowControl w:val="0"/>
        <w:topLinePunct w:val="0"/>
        <w:autoSpaceDE/>
        <w:autoSpaceDN/>
        <w:bidi w:val="0"/>
        <w:adjustRightInd w:val="0"/>
        <w:snapToGrid w:val="0"/>
        <w:spacing w:line="440" w:lineRule="exact"/>
        <w:ind w:firstLine="240" w:firstLineChars="100"/>
        <w:jc w:val="left"/>
        <w:textAlignment w:val="auto"/>
        <w:rPr>
          <w:rFonts w:hint="eastAsia" w:ascii="宋体" w:hAnsi="宋体" w:eastAsia="宋体" w:cs="宋体"/>
          <w:bCs/>
          <w:color w:val="000000" w:themeColor="text1"/>
          <w:sz w:val="24"/>
          <w:szCs w:val="24"/>
          <w:lang w:eastAsia="zh-CN"/>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联系电话：</w:t>
      </w:r>
      <w:r>
        <w:rPr>
          <w:rFonts w:hint="eastAsia" w:ascii="宋体" w:hAnsi="宋体" w:cs="宋体"/>
          <w:bCs/>
          <w:color w:val="000000" w:themeColor="text1"/>
          <w:sz w:val="24"/>
          <w:szCs w:val="24"/>
          <w:lang w:eastAsia="zh-CN"/>
          <w14:textFill>
            <w14:solidFill>
              <w14:schemeClr w14:val="tx1"/>
            </w14:solidFill>
          </w14:textFill>
        </w:rPr>
        <w:t xml:space="preserve">18639981210 </w:t>
      </w:r>
    </w:p>
    <w:p>
      <w:pPr>
        <w:keepNext w:val="0"/>
        <w:keepLines w:val="0"/>
        <w:pageBreakBefore w:val="0"/>
        <w:widowControl w:val="0"/>
        <w:topLinePunct w:val="0"/>
        <w:autoSpaceDE/>
        <w:autoSpaceDN/>
        <w:bidi w:val="0"/>
        <w:adjustRightInd w:val="0"/>
        <w:snapToGrid w:val="0"/>
        <w:spacing w:line="440" w:lineRule="exact"/>
        <w:ind w:firstLine="240" w:firstLineChars="100"/>
        <w:jc w:val="left"/>
        <w:textAlignment w:val="auto"/>
        <w:rPr>
          <w:rFonts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地 址：漯河市嵩山东支路建业智慧港</w:t>
      </w:r>
      <w:r>
        <w:rPr>
          <w:rFonts w:hint="eastAsia" w:ascii="宋体" w:hAnsi="宋体" w:cs="宋体"/>
          <w:bCs/>
          <w:color w:val="000000" w:themeColor="text1"/>
          <w:sz w:val="24"/>
          <w:szCs w:val="24"/>
          <w:lang w:val="en-US" w:eastAsia="zh-CN"/>
          <w14:textFill>
            <w14:solidFill>
              <w14:schemeClr w14:val="tx1"/>
            </w14:solidFill>
          </w14:textFill>
        </w:rPr>
        <w:t>B座21楼</w:t>
      </w:r>
    </w:p>
    <w:p>
      <w:pPr>
        <w:keepNext w:val="0"/>
        <w:keepLines w:val="0"/>
        <w:pageBreakBefore w:val="0"/>
        <w:widowControl w:val="0"/>
        <w:topLinePunct w:val="0"/>
        <w:autoSpaceDE/>
        <w:autoSpaceDN/>
        <w:bidi w:val="0"/>
        <w:adjustRightInd w:val="0"/>
        <w:snapToGrid w:val="0"/>
        <w:spacing w:line="440" w:lineRule="exact"/>
        <w:jc w:val="left"/>
        <w:textAlignment w:val="auto"/>
        <w:rPr>
          <w:rFonts w:ascii="宋体" w:hAnsi="宋体" w:cs="宋体"/>
          <w:b/>
          <w:sz w:val="24"/>
          <w:szCs w:val="24"/>
        </w:rPr>
      </w:pPr>
      <w:r>
        <w:rPr>
          <w:rFonts w:hint="eastAsia" w:ascii="宋体" w:hAnsi="宋体" w:cs="宋体"/>
          <w:b/>
          <w:sz w:val="24"/>
          <w:szCs w:val="24"/>
        </w:rPr>
        <w:t>11.监督部门</w:t>
      </w:r>
    </w:p>
    <w:p>
      <w:pPr>
        <w:keepNext w:val="0"/>
        <w:keepLines w:val="0"/>
        <w:pageBreakBefore w:val="0"/>
        <w:widowControl w:val="0"/>
        <w:wordWrap w:val="0"/>
        <w:topLinePunct w:val="0"/>
        <w:autoSpaceDE/>
        <w:autoSpaceDN/>
        <w:bidi w:val="0"/>
        <w:adjustRightInd w:val="0"/>
        <w:snapToGrid w:val="0"/>
        <w:spacing w:line="440" w:lineRule="exact"/>
        <w:ind w:firstLine="420" w:firstLineChars="200"/>
        <w:textAlignment w:val="auto"/>
        <w:rPr>
          <w:rFonts w:ascii="宋体" w:hAnsi="宋体" w:cs="宋体"/>
          <w:sz w:val="21"/>
          <w:szCs w:val="21"/>
        </w:rPr>
      </w:pPr>
      <w:r>
        <w:rPr>
          <w:rFonts w:hint="eastAsia" w:ascii="宋体" w:hAnsi="宋体" w:cs="宋体"/>
          <w:sz w:val="21"/>
          <w:szCs w:val="21"/>
        </w:rPr>
        <w:t xml:space="preserve">焦作市建设工程招标投标管理办公室     </w:t>
      </w:r>
      <w:r>
        <w:rPr>
          <w:rFonts w:hint="eastAsia" w:ascii="宋体" w:hAnsi="宋体" w:cs="宋体"/>
          <w:sz w:val="21"/>
          <w:szCs w:val="21"/>
          <w:lang w:val="en-US" w:eastAsia="zh-CN"/>
        </w:rPr>
        <w:t xml:space="preserve">      </w:t>
      </w:r>
      <w:r>
        <w:rPr>
          <w:rFonts w:hint="eastAsia" w:ascii="宋体" w:hAnsi="宋体" w:cs="宋体"/>
          <w:sz w:val="21"/>
          <w:szCs w:val="21"/>
        </w:rPr>
        <w:t xml:space="preserve">   电话：0391-3557108</w:t>
      </w:r>
    </w:p>
    <w:p>
      <w:pPr>
        <w:keepNext w:val="0"/>
        <w:keepLines w:val="0"/>
        <w:pageBreakBefore w:val="0"/>
        <w:widowControl w:val="0"/>
        <w:wordWrap w:val="0"/>
        <w:topLinePunct w:val="0"/>
        <w:autoSpaceDE/>
        <w:autoSpaceDN/>
        <w:bidi w:val="0"/>
        <w:adjustRightInd w:val="0"/>
        <w:snapToGrid w:val="0"/>
        <w:spacing w:line="440" w:lineRule="exact"/>
        <w:ind w:firstLine="420" w:firstLineChars="200"/>
        <w:textAlignment w:val="auto"/>
        <w:rPr>
          <w:rFonts w:ascii="宋体" w:hAnsi="宋体" w:cs="宋体"/>
          <w:sz w:val="21"/>
          <w:szCs w:val="21"/>
        </w:rPr>
      </w:pPr>
      <w:r>
        <w:rPr>
          <w:rFonts w:hint="eastAsia" w:ascii="宋体" w:hAnsi="宋体" w:cs="宋体"/>
          <w:sz w:val="21"/>
          <w:szCs w:val="21"/>
        </w:rPr>
        <w:t>焦作市建设工程招投标领域涉黑涉恶违法线索举报  电话：焦作市住房和城乡建设局0391-3557200</w:t>
      </w:r>
    </w:p>
    <w:p>
      <w:pPr>
        <w:keepNext w:val="0"/>
        <w:keepLines w:val="0"/>
        <w:pageBreakBefore w:val="0"/>
        <w:widowControl w:val="0"/>
        <w:topLinePunct w:val="0"/>
        <w:autoSpaceDE/>
        <w:autoSpaceDN/>
        <w:bidi w:val="0"/>
        <w:adjustRightInd w:val="0"/>
        <w:snapToGrid w:val="0"/>
        <w:spacing w:line="440" w:lineRule="exact"/>
        <w:ind w:firstLine="240" w:firstLineChars="100"/>
        <w:jc w:val="right"/>
        <w:textAlignment w:val="auto"/>
        <w:rPr>
          <w:rFonts w:hint="eastAsia" w:ascii="宋体" w:hAnsi="宋体" w:cs="宋体"/>
          <w:bCs/>
          <w:sz w:val="24"/>
          <w:szCs w:val="24"/>
        </w:rPr>
      </w:pPr>
    </w:p>
    <w:p>
      <w:pPr>
        <w:keepNext w:val="0"/>
        <w:keepLines w:val="0"/>
        <w:pageBreakBefore w:val="0"/>
        <w:widowControl w:val="0"/>
        <w:topLinePunct w:val="0"/>
        <w:autoSpaceDE/>
        <w:autoSpaceDN/>
        <w:bidi w:val="0"/>
        <w:adjustRightInd w:val="0"/>
        <w:snapToGrid w:val="0"/>
        <w:spacing w:line="440" w:lineRule="exact"/>
        <w:ind w:firstLine="240" w:firstLineChars="100"/>
        <w:jc w:val="right"/>
        <w:textAlignment w:val="auto"/>
        <w:rPr>
          <w:rFonts w:hint="eastAsia" w:ascii="宋体" w:hAnsi="宋体" w:eastAsia="宋体" w:cs="宋体"/>
          <w:bCs/>
          <w:sz w:val="24"/>
          <w:szCs w:val="24"/>
          <w:lang w:eastAsia="zh-CN"/>
        </w:rPr>
      </w:pPr>
      <w:r>
        <w:rPr>
          <w:rFonts w:hint="eastAsia" w:ascii="宋体" w:hAnsi="宋体" w:cs="宋体"/>
          <w:bCs/>
          <w:sz w:val="24"/>
          <w:szCs w:val="24"/>
        </w:rPr>
        <w:t>招标人：</w:t>
      </w:r>
      <w:r>
        <w:rPr>
          <w:rFonts w:hint="eastAsia" w:ascii="宋体" w:hAnsi="宋体" w:cs="宋体"/>
          <w:bCs/>
          <w:sz w:val="24"/>
          <w:szCs w:val="24"/>
          <w:lang w:eastAsia="zh-CN"/>
        </w:rPr>
        <w:t>河南国创城市发展有限公司</w:t>
      </w:r>
    </w:p>
    <w:p>
      <w:pPr>
        <w:keepNext w:val="0"/>
        <w:keepLines w:val="0"/>
        <w:pageBreakBefore w:val="0"/>
        <w:widowControl w:val="0"/>
        <w:topLinePunct w:val="0"/>
        <w:autoSpaceDE/>
        <w:autoSpaceDN/>
        <w:bidi w:val="0"/>
        <w:adjustRightInd w:val="0"/>
        <w:snapToGrid w:val="0"/>
        <w:spacing w:line="440" w:lineRule="exact"/>
        <w:ind w:firstLine="240" w:firstLineChars="100"/>
        <w:jc w:val="right"/>
        <w:textAlignment w:val="auto"/>
        <w:rPr>
          <w:rFonts w:hint="eastAsia" w:ascii="宋体" w:hAnsi="宋体" w:eastAsia="宋体" w:cs="宋体"/>
          <w:bCs/>
          <w:sz w:val="24"/>
          <w:szCs w:val="24"/>
          <w:lang w:eastAsia="zh-CN"/>
        </w:rPr>
      </w:pPr>
      <w:r>
        <w:rPr>
          <w:rFonts w:hint="eastAsia" w:ascii="宋体" w:hAnsi="宋体" w:cs="宋体"/>
          <w:bCs/>
          <w:sz w:val="24"/>
          <w:szCs w:val="24"/>
        </w:rPr>
        <w:t>招标代理机构：</w:t>
      </w:r>
      <w:r>
        <w:rPr>
          <w:rFonts w:hint="eastAsia" w:ascii="宋体" w:hAnsi="宋体" w:cs="宋体"/>
          <w:bCs/>
          <w:sz w:val="24"/>
          <w:szCs w:val="24"/>
          <w:lang w:eastAsia="zh-CN"/>
        </w:rPr>
        <w:t>鹏新工程管理有限公司</w:t>
      </w:r>
    </w:p>
    <w:p>
      <w:pPr>
        <w:keepNext w:val="0"/>
        <w:keepLines w:val="0"/>
        <w:pageBreakBefore w:val="0"/>
        <w:widowControl w:val="0"/>
        <w:topLinePunct w:val="0"/>
        <w:autoSpaceDE/>
        <w:autoSpaceDN/>
        <w:bidi w:val="0"/>
        <w:snapToGrid w:val="0"/>
        <w:spacing w:line="440" w:lineRule="exact"/>
        <w:ind w:firstLine="6098" w:firstLineChars="2541"/>
        <w:jc w:val="right"/>
        <w:textAlignment w:val="auto"/>
        <w:rPr>
          <w:rFonts w:ascii="宋体" w:hAnsi="宋体" w:cs="宋体"/>
          <w:color w:val="auto"/>
          <w:sz w:val="24"/>
          <w:szCs w:val="24"/>
          <w:highlight w:val="none"/>
        </w:rPr>
      </w:pPr>
      <w:r>
        <w:rPr>
          <w:rFonts w:hint="eastAsia" w:ascii="宋体" w:hAnsi="宋体" w:cs="宋体"/>
          <w:color w:val="auto"/>
          <w:sz w:val="24"/>
          <w:szCs w:val="24"/>
          <w:highlight w:val="none"/>
        </w:rPr>
        <w:t>202</w:t>
      </w:r>
      <w:r>
        <w:rPr>
          <w:rFonts w:hint="eastAsia" w:ascii="宋体" w:hAnsi="宋体" w:cs="宋体"/>
          <w:color w:val="auto"/>
          <w:sz w:val="24"/>
          <w:szCs w:val="24"/>
          <w:highlight w:val="none"/>
          <w:lang w:val="en-US" w:eastAsia="zh-CN"/>
        </w:rPr>
        <w:t>4</w:t>
      </w:r>
      <w:r>
        <w:rPr>
          <w:rFonts w:hint="eastAsia" w:ascii="宋体" w:hAnsi="宋体" w:cs="宋体"/>
          <w:color w:val="auto"/>
          <w:sz w:val="24"/>
          <w:szCs w:val="24"/>
          <w:highlight w:val="none"/>
        </w:rPr>
        <w:t>年</w:t>
      </w:r>
      <w:r>
        <w:rPr>
          <w:rFonts w:hint="eastAsia" w:ascii="宋体" w:hAnsi="宋体" w:cs="宋体"/>
          <w:color w:val="auto"/>
          <w:sz w:val="24"/>
          <w:szCs w:val="24"/>
          <w:highlight w:val="none"/>
          <w:lang w:val="en-US" w:eastAsia="zh-CN"/>
        </w:rPr>
        <w:t>3</w:t>
      </w:r>
      <w:r>
        <w:rPr>
          <w:rFonts w:hint="eastAsia" w:ascii="宋体" w:hAnsi="宋体" w:cs="宋体"/>
          <w:color w:val="auto"/>
          <w:sz w:val="24"/>
          <w:szCs w:val="24"/>
          <w:highlight w:val="none"/>
        </w:rPr>
        <w:t>月</w:t>
      </w:r>
      <w:r>
        <w:rPr>
          <w:rFonts w:hint="eastAsia" w:ascii="宋体" w:hAnsi="宋体" w:cs="宋体"/>
          <w:color w:val="auto"/>
          <w:sz w:val="24"/>
          <w:szCs w:val="24"/>
          <w:highlight w:val="none"/>
          <w:lang w:val="en-US" w:eastAsia="zh-CN"/>
        </w:rPr>
        <w:t>15</w:t>
      </w:r>
      <w:r>
        <w:rPr>
          <w:rFonts w:hint="eastAsia" w:ascii="宋体" w:hAnsi="宋体" w:cs="宋体"/>
          <w:color w:val="auto"/>
          <w:sz w:val="24"/>
          <w:szCs w:val="24"/>
          <w:highlight w:val="none"/>
        </w:rPr>
        <w:t>日</w:t>
      </w:r>
    </w:p>
    <w:p>
      <w:pPr>
        <w:pStyle w:val="4"/>
        <w:pageBreakBefore/>
        <w:jc w:val="center"/>
        <w:rPr>
          <w:rFonts w:ascii="宋体" w:hAnsi="宋体" w:cs="宋体"/>
        </w:rPr>
      </w:pPr>
      <w:bookmarkStart w:id="16" w:name="_Toc17314"/>
      <w:bookmarkStart w:id="17" w:name="_Toc4403"/>
      <w:bookmarkStart w:id="18" w:name="_Toc22544"/>
      <w:bookmarkStart w:id="19" w:name="_Toc26911"/>
      <w:bookmarkStart w:id="20" w:name="_Toc11484"/>
      <w:r>
        <w:rPr>
          <w:rFonts w:hint="eastAsia" w:ascii="宋体" w:hAnsi="宋体" w:cs="宋体"/>
        </w:rPr>
        <w:t>第二章 投标人须知</w:t>
      </w:r>
      <w:bookmarkEnd w:id="11"/>
      <w:bookmarkEnd w:id="12"/>
      <w:bookmarkEnd w:id="13"/>
      <w:bookmarkEnd w:id="14"/>
      <w:bookmarkEnd w:id="15"/>
      <w:bookmarkEnd w:id="16"/>
      <w:bookmarkEnd w:id="17"/>
      <w:bookmarkEnd w:id="18"/>
      <w:bookmarkEnd w:id="19"/>
      <w:bookmarkEnd w:id="20"/>
    </w:p>
    <w:p>
      <w:pPr>
        <w:spacing w:line="360" w:lineRule="auto"/>
        <w:jc w:val="center"/>
        <w:rPr>
          <w:rFonts w:ascii="宋体" w:hAnsi="宋体" w:cs="宋体"/>
          <w:b/>
          <w:sz w:val="28"/>
          <w:szCs w:val="28"/>
        </w:rPr>
      </w:pPr>
      <w:bookmarkStart w:id="21" w:name="_Toc247513951"/>
      <w:bookmarkStart w:id="22" w:name="_Toc152042304"/>
      <w:bookmarkStart w:id="23" w:name="_Toc144974496"/>
      <w:bookmarkStart w:id="24" w:name="_Toc247527552"/>
      <w:bookmarkStart w:id="25" w:name="_Toc152045528"/>
      <w:r>
        <w:rPr>
          <w:rFonts w:hint="eastAsia" w:ascii="宋体" w:hAnsi="宋体" w:cs="宋体"/>
          <w:b/>
          <w:sz w:val="28"/>
          <w:szCs w:val="28"/>
        </w:rPr>
        <w:t>投标人须知前附表</w:t>
      </w:r>
      <w:bookmarkEnd w:id="21"/>
      <w:bookmarkEnd w:id="22"/>
      <w:bookmarkEnd w:id="23"/>
      <w:bookmarkEnd w:id="24"/>
      <w:bookmarkEnd w:id="25"/>
    </w:p>
    <w:tbl>
      <w:tblPr>
        <w:tblStyle w:val="26"/>
        <w:tblW w:w="9260" w:type="dxa"/>
        <w:jc w:val="center"/>
        <w:tblLayout w:type="fixed"/>
        <w:tblCellMar>
          <w:top w:w="0" w:type="dxa"/>
          <w:left w:w="108" w:type="dxa"/>
          <w:bottom w:w="0" w:type="dxa"/>
          <w:right w:w="108" w:type="dxa"/>
        </w:tblCellMar>
      </w:tblPr>
      <w:tblGrid>
        <w:gridCol w:w="1073"/>
        <w:gridCol w:w="1937"/>
        <w:gridCol w:w="6250"/>
      </w:tblGrid>
      <w:tr>
        <w:tblPrEx>
          <w:tblCellMar>
            <w:top w:w="0" w:type="dxa"/>
            <w:left w:w="108" w:type="dxa"/>
            <w:bottom w:w="0" w:type="dxa"/>
            <w:right w:w="108" w:type="dxa"/>
          </w:tblCellMar>
        </w:tblPrEx>
        <w:trPr>
          <w:trHeight w:val="567" w:hRule="atLeast"/>
          <w:jc w:val="center"/>
        </w:trPr>
        <w:tc>
          <w:tcPr>
            <w:tcW w:w="107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b/>
                <w:szCs w:val="21"/>
              </w:rPr>
            </w:pPr>
            <w:r>
              <w:rPr>
                <w:rFonts w:hint="eastAsia" w:ascii="宋体" w:hAnsi="宋体" w:cs="宋体"/>
                <w:b/>
                <w:szCs w:val="21"/>
              </w:rPr>
              <w:t>条款号</w:t>
            </w:r>
          </w:p>
        </w:tc>
        <w:tc>
          <w:tcPr>
            <w:tcW w:w="1937"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b/>
                <w:szCs w:val="21"/>
              </w:rPr>
            </w:pPr>
            <w:r>
              <w:rPr>
                <w:rFonts w:hint="eastAsia" w:ascii="宋体" w:hAnsi="宋体" w:cs="宋体"/>
                <w:b/>
                <w:szCs w:val="21"/>
              </w:rPr>
              <w:t>条  款  名  称</w:t>
            </w:r>
          </w:p>
        </w:tc>
        <w:tc>
          <w:tcPr>
            <w:tcW w:w="6250"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b/>
                <w:szCs w:val="21"/>
              </w:rPr>
            </w:pPr>
            <w:r>
              <w:rPr>
                <w:rFonts w:hint="eastAsia" w:ascii="宋体" w:hAnsi="宋体" w:cs="宋体"/>
                <w:b/>
                <w:szCs w:val="21"/>
              </w:rPr>
              <w:t>编  列  内  容</w:t>
            </w:r>
          </w:p>
        </w:tc>
      </w:tr>
      <w:tr>
        <w:tblPrEx>
          <w:tblCellMar>
            <w:top w:w="0" w:type="dxa"/>
            <w:left w:w="108" w:type="dxa"/>
            <w:bottom w:w="0" w:type="dxa"/>
            <w:right w:w="108" w:type="dxa"/>
          </w:tblCellMar>
        </w:tblPrEx>
        <w:trPr>
          <w:trHeight w:val="1067" w:hRule="atLeast"/>
          <w:jc w:val="center"/>
        </w:trPr>
        <w:tc>
          <w:tcPr>
            <w:tcW w:w="1073" w:type="dxa"/>
            <w:tcBorders>
              <w:top w:val="single" w:color="auto" w:sz="4" w:space="0"/>
              <w:left w:val="single" w:color="auto" w:sz="4" w:space="0"/>
              <w:bottom w:val="single" w:color="auto" w:sz="4" w:space="0"/>
              <w:right w:val="single" w:color="auto" w:sz="4" w:space="0"/>
            </w:tcBorders>
            <w:vAlign w:val="center"/>
          </w:tcPr>
          <w:p>
            <w:pPr>
              <w:snapToGrid w:val="0"/>
              <w:jc w:val="center"/>
              <w:textAlignment w:val="baseline"/>
              <w:rPr>
                <w:rFonts w:ascii="宋体" w:hAnsi="宋体" w:cs="宋体"/>
                <w:szCs w:val="21"/>
              </w:rPr>
            </w:pPr>
            <w:r>
              <w:rPr>
                <w:rFonts w:hint="eastAsia" w:ascii="宋体" w:hAnsi="宋体" w:cs="宋体"/>
                <w:szCs w:val="21"/>
              </w:rPr>
              <w:t>1.1.2</w:t>
            </w:r>
          </w:p>
        </w:tc>
        <w:tc>
          <w:tcPr>
            <w:tcW w:w="1937" w:type="dxa"/>
            <w:tcBorders>
              <w:top w:val="single" w:color="auto" w:sz="4" w:space="0"/>
              <w:left w:val="single" w:color="auto" w:sz="4" w:space="0"/>
              <w:bottom w:val="single" w:color="auto" w:sz="4" w:space="0"/>
              <w:right w:val="single" w:color="auto" w:sz="4" w:space="0"/>
            </w:tcBorders>
            <w:vAlign w:val="center"/>
          </w:tcPr>
          <w:p>
            <w:pPr>
              <w:snapToGrid w:val="0"/>
              <w:jc w:val="center"/>
              <w:textAlignment w:val="baseline"/>
              <w:rPr>
                <w:rFonts w:ascii="宋体" w:hAnsi="宋体" w:cs="宋体"/>
                <w:szCs w:val="21"/>
              </w:rPr>
            </w:pPr>
            <w:r>
              <w:rPr>
                <w:rFonts w:hint="eastAsia" w:ascii="宋体" w:hAnsi="宋体" w:cs="宋体"/>
                <w:szCs w:val="21"/>
              </w:rPr>
              <w:t>招标人</w:t>
            </w:r>
          </w:p>
        </w:tc>
        <w:tc>
          <w:tcPr>
            <w:tcW w:w="6250" w:type="dxa"/>
            <w:tcBorders>
              <w:top w:val="single" w:color="auto" w:sz="4" w:space="0"/>
              <w:left w:val="single" w:color="auto" w:sz="4" w:space="0"/>
              <w:bottom w:val="single" w:color="auto" w:sz="4" w:space="0"/>
              <w:right w:val="single" w:color="auto" w:sz="4" w:space="0"/>
            </w:tcBorders>
            <w:vAlign w:val="center"/>
          </w:tcPr>
          <w:p>
            <w:pPr>
              <w:snapToGrid w:val="0"/>
              <w:textAlignment w:val="baseline"/>
              <w:rPr>
                <w:rFonts w:hint="eastAsia" w:ascii="宋体" w:hAnsi="宋体" w:eastAsia="宋体" w:cs="宋体"/>
                <w:szCs w:val="21"/>
                <w:lang w:eastAsia="zh-CN"/>
              </w:rPr>
            </w:pPr>
            <w:r>
              <w:rPr>
                <w:rFonts w:hint="eastAsia" w:ascii="宋体" w:hAnsi="宋体" w:cs="宋体"/>
                <w:szCs w:val="21"/>
              </w:rPr>
              <w:t>名称：</w:t>
            </w:r>
            <w:r>
              <w:rPr>
                <w:rFonts w:hint="eastAsia" w:ascii="宋体" w:hAnsi="宋体" w:cs="宋体"/>
                <w:szCs w:val="21"/>
                <w:lang w:eastAsia="zh-CN"/>
              </w:rPr>
              <w:t>河南国创城市发展有限公司</w:t>
            </w:r>
          </w:p>
          <w:p>
            <w:pPr>
              <w:adjustRightInd w:val="0"/>
              <w:snapToGrid w:val="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地址：焦作市马村区人民路3888号鸿运国际商城H1区</w:t>
            </w:r>
          </w:p>
          <w:p>
            <w:pPr>
              <w:adjustRightInd w:val="0"/>
              <w:snapToGrid w:val="0"/>
              <w:rPr>
                <w:rFonts w:hint="eastAsia" w:ascii="宋体" w:hAnsi="宋体" w:eastAsia="宋体"/>
                <w:color w:val="000000" w:themeColor="text1"/>
                <w:szCs w:val="21"/>
                <w:lang w:eastAsia="zh-CN"/>
                <w14:textFill>
                  <w14:solidFill>
                    <w14:schemeClr w14:val="tx1"/>
                  </w14:solidFill>
                </w14:textFill>
              </w:rPr>
            </w:pPr>
            <w:r>
              <w:rPr>
                <w:rFonts w:hint="eastAsia" w:ascii="宋体" w:hAnsi="宋体"/>
                <w:color w:val="000000" w:themeColor="text1"/>
                <w:szCs w:val="21"/>
                <w14:textFill>
                  <w14:solidFill>
                    <w14:schemeClr w14:val="tx1"/>
                  </w14:solidFill>
                </w14:textFill>
              </w:rPr>
              <w:t>联系人：</w:t>
            </w:r>
            <w:r>
              <w:rPr>
                <w:rFonts w:hint="eastAsia" w:ascii="宋体" w:hAnsi="宋体"/>
                <w:color w:val="000000" w:themeColor="text1"/>
                <w:szCs w:val="21"/>
                <w:lang w:eastAsia="zh-CN"/>
                <w14:textFill>
                  <w14:solidFill>
                    <w14:schemeClr w14:val="tx1"/>
                  </w14:solidFill>
                </w14:textFill>
              </w:rPr>
              <w:t>赵珂</w:t>
            </w:r>
          </w:p>
          <w:p>
            <w:pPr>
              <w:snapToGrid w:val="0"/>
              <w:textAlignment w:val="baseline"/>
              <w:rPr>
                <w:rFonts w:hint="eastAsia" w:ascii="宋体" w:hAnsi="宋体" w:eastAsia="宋体" w:cs="宋体"/>
                <w:szCs w:val="21"/>
                <w:lang w:eastAsia="zh-CN"/>
              </w:rPr>
            </w:pPr>
            <w:r>
              <w:rPr>
                <w:rFonts w:hint="eastAsia" w:ascii="宋体" w:hAnsi="宋体" w:cs="宋体"/>
                <w:szCs w:val="21"/>
              </w:rPr>
              <w:t>联系电话</w:t>
            </w:r>
            <w:r>
              <w:rPr>
                <w:rFonts w:hint="eastAsia" w:ascii="宋体" w:hAnsi="宋体"/>
                <w:color w:val="000000" w:themeColor="text1"/>
                <w:szCs w:val="21"/>
                <w14:textFill>
                  <w14:solidFill>
                    <w14:schemeClr w14:val="tx1"/>
                  </w14:solidFill>
                </w14:textFill>
              </w:rPr>
              <w:t>：</w:t>
            </w:r>
            <w:r>
              <w:rPr>
                <w:rFonts w:hint="eastAsia" w:ascii="宋体" w:hAnsi="宋体"/>
                <w:color w:val="000000" w:themeColor="text1"/>
                <w:szCs w:val="21"/>
                <w:lang w:eastAsia="zh-CN"/>
                <w14:textFill>
                  <w14:solidFill>
                    <w14:schemeClr w14:val="tx1"/>
                  </w14:solidFill>
                </w14:textFill>
              </w:rPr>
              <w:t xml:space="preserve">13673669100 </w:t>
            </w:r>
          </w:p>
        </w:tc>
      </w:tr>
      <w:tr>
        <w:tblPrEx>
          <w:tblCellMar>
            <w:top w:w="0" w:type="dxa"/>
            <w:left w:w="108" w:type="dxa"/>
            <w:bottom w:w="0" w:type="dxa"/>
            <w:right w:w="108" w:type="dxa"/>
          </w:tblCellMar>
        </w:tblPrEx>
        <w:trPr>
          <w:trHeight w:val="1132" w:hRule="atLeast"/>
          <w:jc w:val="center"/>
        </w:trPr>
        <w:tc>
          <w:tcPr>
            <w:tcW w:w="1073" w:type="dxa"/>
            <w:tcBorders>
              <w:top w:val="single" w:color="auto" w:sz="4" w:space="0"/>
              <w:left w:val="single" w:color="auto" w:sz="4" w:space="0"/>
              <w:bottom w:val="single" w:color="auto" w:sz="4" w:space="0"/>
              <w:right w:val="single" w:color="auto" w:sz="4" w:space="0"/>
            </w:tcBorders>
            <w:vAlign w:val="center"/>
          </w:tcPr>
          <w:p>
            <w:pPr>
              <w:snapToGrid w:val="0"/>
              <w:jc w:val="center"/>
              <w:textAlignment w:val="baseline"/>
              <w:rPr>
                <w:rFonts w:ascii="宋体" w:hAnsi="宋体" w:cs="宋体"/>
                <w:szCs w:val="21"/>
              </w:rPr>
            </w:pPr>
            <w:r>
              <w:rPr>
                <w:rFonts w:hint="eastAsia" w:ascii="宋体" w:hAnsi="宋体" w:cs="宋体"/>
                <w:szCs w:val="21"/>
              </w:rPr>
              <w:t>1.1.3</w:t>
            </w:r>
          </w:p>
        </w:tc>
        <w:tc>
          <w:tcPr>
            <w:tcW w:w="1937" w:type="dxa"/>
            <w:tcBorders>
              <w:top w:val="single" w:color="auto" w:sz="4" w:space="0"/>
              <w:left w:val="single" w:color="auto" w:sz="4" w:space="0"/>
              <w:bottom w:val="single" w:color="auto" w:sz="4" w:space="0"/>
              <w:right w:val="single" w:color="auto" w:sz="4" w:space="0"/>
            </w:tcBorders>
            <w:vAlign w:val="center"/>
          </w:tcPr>
          <w:p>
            <w:pPr>
              <w:snapToGrid w:val="0"/>
              <w:jc w:val="center"/>
              <w:textAlignment w:val="baseline"/>
              <w:rPr>
                <w:rFonts w:ascii="宋体" w:hAnsi="宋体" w:cs="宋体"/>
                <w:szCs w:val="21"/>
              </w:rPr>
            </w:pPr>
            <w:r>
              <w:rPr>
                <w:rFonts w:hint="eastAsia" w:ascii="宋体" w:hAnsi="宋体" w:cs="宋体"/>
                <w:szCs w:val="21"/>
              </w:rPr>
              <w:t>招标代理机构</w:t>
            </w:r>
          </w:p>
        </w:tc>
        <w:tc>
          <w:tcPr>
            <w:tcW w:w="6250"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hint="eastAsia" w:ascii="宋体" w:hAnsi="宋体" w:eastAsia="宋体"/>
                <w:color w:val="000000" w:themeColor="text1"/>
                <w:szCs w:val="21"/>
                <w:lang w:eastAsia="zh-CN"/>
                <w14:textFill>
                  <w14:solidFill>
                    <w14:schemeClr w14:val="tx1"/>
                  </w14:solidFill>
                </w14:textFill>
              </w:rPr>
            </w:pPr>
            <w:r>
              <w:rPr>
                <w:rFonts w:hint="eastAsia" w:ascii="宋体" w:hAnsi="宋体"/>
                <w:color w:val="000000" w:themeColor="text1"/>
                <w:szCs w:val="21"/>
                <w14:textFill>
                  <w14:solidFill>
                    <w14:schemeClr w14:val="tx1"/>
                  </w14:solidFill>
                </w14:textFill>
              </w:rPr>
              <w:t>招标代理机构：</w:t>
            </w:r>
            <w:r>
              <w:rPr>
                <w:rFonts w:hint="eastAsia" w:ascii="宋体" w:hAnsi="宋体"/>
                <w:bCs/>
                <w:color w:val="000000" w:themeColor="text1"/>
                <w:szCs w:val="21"/>
                <w:lang w:eastAsia="zh-CN"/>
                <w14:textFill>
                  <w14:solidFill>
                    <w14:schemeClr w14:val="tx1"/>
                  </w14:solidFill>
                </w14:textFill>
              </w:rPr>
              <w:t>鹏新工程管理有限公司</w:t>
            </w:r>
          </w:p>
          <w:p>
            <w:pPr>
              <w:snapToGrid w:val="0"/>
              <w:textAlignment w:val="baseline"/>
              <w:rPr>
                <w:rFonts w:hint="eastAsia" w:ascii="宋体" w:hAnsi="宋体" w:cs="宋体"/>
                <w:szCs w:val="21"/>
                <w:lang w:val="en-US" w:eastAsia="zh-CN"/>
              </w:rPr>
            </w:pPr>
            <w:r>
              <w:rPr>
                <w:rFonts w:hint="eastAsia" w:ascii="宋体" w:hAnsi="宋体" w:cs="宋体"/>
                <w:szCs w:val="21"/>
              </w:rPr>
              <w:t>地址：漯河市嵩山东支路建业智慧港</w:t>
            </w:r>
            <w:r>
              <w:rPr>
                <w:rFonts w:hint="eastAsia" w:ascii="宋体" w:hAnsi="宋体" w:cs="宋体"/>
                <w:szCs w:val="21"/>
                <w:lang w:val="en-US" w:eastAsia="zh-CN"/>
              </w:rPr>
              <w:t>B座21楼</w:t>
            </w:r>
          </w:p>
          <w:p>
            <w:pPr>
              <w:snapToGrid w:val="0"/>
              <w:textAlignment w:val="baseline"/>
              <w:rPr>
                <w:rFonts w:hint="eastAsia" w:ascii="宋体" w:hAnsi="宋体" w:eastAsia="宋体" w:cs="宋体"/>
                <w:szCs w:val="21"/>
                <w:lang w:eastAsia="zh-CN"/>
              </w:rPr>
            </w:pPr>
            <w:r>
              <w:rPr>
                <w:rFonts w:hint="eastAsia" w:ascii="宋体" w:hAnsi="宋体" w:cs="宋体"/>
                <w:szCs w:val="21"/>
              </w:rPr>
              <w:t>联系人：</w:t>
            </w:r>
            <w:r>
              <w:rPr>
                <w:rFonts w:hint="eastAsia" w:ascii="宋体" w:hAnsi="宋体" w:cs="宋体"/>
                <w:szCs w:val="21"/>
                <w:lang w:eastAsia="zh-CN"/>
              </w:rPr>
              <w:t>梁博</w:t>
            </w:r>
          </w:p>
          <w:p>
            <w:pPr>
              <w:snapToGrid w:val="0"/>
              <w:textAlignment w:val="baseline"/>
              <w:rPr>
                <w:rFonts w:hint="eastAsia" w:ascii="宋体" w:hAnsi="宋体" w:eastAsia="宋体" w:cs="宋体"/>
                <w:szCs w:val="21"/>
                <w:lang w:eastAsia="zh-CN"/>
              </w:rPr>
            </w:pPr>
            <w:r>
              <w:rPr>
                <w:rFonts w:hint="eastAsia" w:ascii="宋体" w:hAnsi="宋体" w:cs="宋体"/>
                <w:szCs w:val="21"/>
              </w:rPr>
              <w:t>联系电话：</w:t>
            </w:r>
            <w:r>
              <w:rPr>
                <w:rFonts w:hint="eastAsia" w:ascii="宋体" w:hAnsi="宋体" w:cs="宋体"/>
                <w:szCs w:val="21"/>
                <w:lang w:eastAsia="zh-CN"/>
              </w:rPr>
              <w:t xml:space="preserve">18639981210 </w:t>
            </w:r>
          </w:p>
        </w:tc>
      </w:tr>
      <w:tr>
        <w:tblPrEx>
          <w:tblCellMar>
            <w:top w:w="0" w:type="dxa"/>
            <w:left w:w="108" w:type="dxa"/>
            <w:bottom w:w="0" w:type="dxa"/>
            <w:right w:w="108" w:type="dxa"/>
          </w:tblCellMar>
        </w:tblPrEx>
        <w:trPr>
          <w:trHeight w:val="567" w:hRule="atLeast"/>
          <w:jc w:val="center"/>
        </w:trPr>
        <w:tc>
          <w:tcPr>
            <w:tcW w:w="1073" w:type="dxa"/>
            <w:tcBorders>
              <w:top w:val="single" w:color="auto" w:sz="4" w:space="0"/>
              <w:left w:val="single" w:color="auto" w:sz="4" w:space="0"/>
              <w:bottom w:val="single" w:color="auto" w:sz="4" w:space="0"/>
              <w:right w:val="single" w:color="auto" w:sz="4" w:space="0"/>
            </w:tcBorders>
            <w:vAlign w:val="center"/>
          </w:tcPr>
          <w:p>
            <w:pPr>
              <w:snapToGrid w:val="0"/>
              <w:jc w:val="center"/>
              <w:textAlignment w:val="baseline"/>
              <w:rPr>
                <w:rFonts w:ascii="宋体" w:hAnsi="宋体" w:cs="宋体"/>
                <w:szCs w:val="21"/>
              </w:rPr>
            </w:pPr>
            <w:r>
              <w:rPr>
                <w:rFonts w:hint="eastAsia" w:ascii="宋体" w:hAnsi="宋体" w:cs="宋体"/>
                <w:szCs w:val="21"/>
              </w:rPr>
              <w:t>1.1.4</w:t>
            </w:r>
          </w:p>
        </w:tc>
        <w:tc>
          <w:tcPr>
            <w:tcW w:w="1937" w:type="dxa"/>
            <w:tcBorders>
              <w:top w:val="single" w:color="auto" w:sz="4" w:space="0"/>
              <w:left w:val="single" w:color="auto" w:sz="4" w:space="0"/>
              <w:bottom w:val="single" w:color="auto" w:sz="4" w:space="0"/>
              <w:right w:val="single" w:color="auto" w:sz="4" w:space="0"/>
            </w:tcBorders>
            <w:vAlign w:val="center"/>
          </w:tcPr>
          <w:p>
            <w:pPr>
              <w:snapToGrid w:val="0"/>
              <w:jc w:val="center"/>
              <w:textAlignment w:val="baseline"/>
              <w:rPr>
                <w:rFonts w:ascii="宋体" w:hAnsi="宋体" w:cs="宋体"/>
                <w:szCs w:val="21"/>
              </w:rPr>
            </w:pPr>
            <w:r>
              <w:rPr>
                <w:rFonts w:hint="eastAsia" w:ascii="宋体" w:hAnsi="宋体" w:cs="宋体"/>
                <w:szCs w:val="21"/>
              </w:rPr>
              <w:t>项目名称</w:t>
            </w:r>
          </w:p>
        </w:tc>
        <w:tc>
          <w:tcPr>
            <w:tcW w:w="6250" w:type="dxa"/>
            <w:tcBorders>
              <w:top w:val="single" w:color="auto" w:sz="4" w:space="0"/>
              <w:left w:val="single" w:color="auto" w:sz="4" w:space="0"/>
              <w:bottom w:val="single" w:color="auto" w:sz="4" w:space="0"/>
              <w:right w:val="single" w:color="auto" w:sz="4" w:space="0"/>
            </w:tcBorders>
            <w:vAlign w:val="center"/>
          </w:tcPr>
          <w:p>
            <w:pPr>
              <w:snapToGrid w:val="0"/>
              <w:textAlignment w:val="baseline"/>
              <w:rPr>
                <w:rFonts w:hint="eastAsia" w:ascii="宋体" w:hAnsi="宋体" w:eastAsia="宋体" w:cs="宋体"/>
                <w:szCs w:val="21"/>
                <w:lang w:eastAsia="zh-CN"/>
              </w:rPr>
            </w:pPr>
            <w:r>
              <w:rPr>
                <w:rFonts w:hint="eastAsia" w:ascii="宋体" w:hAnsi="宋体" w:cs="宋体"/>
                <w:szCs w:val="21"/>
                <w:lang w:eastAsia="zh-CN"/>
              </w:rPr>
              <w:t>国创•上风上水项目施工总承包监理</w:t>
            </w:r>
          </w:p>
        </w:tc>
      </w:tr>
      <w:tr>
        <w:tblPrEx>
          <w:tblCellMar>
            <w:top w:w="0" w:type="dxa"/>
            <w:left w:w="108" w:type="dxa"/>
            <w:bottom w:w="0" w:type="dxa"/>
            <w:right w:w="108" w:type="dxa"/>
          </w:tblCellMar>
        </w:tblPrEx>
        <w:trPr>
          <w:trHeight w:val="567" w:hRule="atLeast"/>
          <w:jc w:val="center"/>
        </w:trPr>
        <w:tc>
          <w:tcPr>
            <w:tcW w:w="1073" w:type="dxa"/>
            <w:tcBorders>
              <w:top w:val="single" w:color="auto" w:sz="4" w:space="0"/>
              <w:left w:val="single" w:color="auto" w:sz="4" w:space="0"/>
              <w:bottom w:val="single" w:color="auto" w:sz="4" w:space="0"/>
              <w:right w:val="single" w:color="auto" w:sz="4" w:space="0"/>
            </w:tcBorders>
            <w:vAlign w:val="center"/>
          </w:tcPr>
          <w:p>
            <w:pPr>
              <w:snapToGrid w:val="0"/>
              <w:jc w:val="center"/>
              <w:textAlignment w:val="baseline"/>
              <w:rPr>
                <w:rFonts w:ascii="宋体" w:hAnsi="宋体" w:cs="宋体"/>
                <w:szCs w:val="21"/>
              </w:rPr>
            </w:pPr>
            <w:r>
              <w:rPr>
                <w:rFonts w:hint="eastAsia" w:ascii="宋体" w:hAnsi="宋体" w:cs="宋体"/>
                <w:szCs w:val="21"/>
              </w:rPr>
              <w:t>1.1.5</w:t>
            </w:r>
          </w:p>
        </w:tc>
        <w:tc>
          <w:tcPr>
            <w:tcW w:w="1937" w:type="dxa"/>
            <w:tcBorders>
              <w:top w:val="single" w:color="auto" w:sz="4" w:space="0"/>
              <w:left w:val="single" w:color="auto" w:sz="4" w:space="0"/>
              <w:bottom w:val="single" w:color="auto" w:sz="4" w:space="0"/>
              <w:right w:val="single" w:color="auto" w:sz="4" w:space="0"/>
            </w:tcBorders>
            <w:vAlign w:val="center"/>
          </w:tcPr>
          <w:p>
            <w:pPr>
              <w:snapToGrid w:val="0"/>
              <w:jc w:val="center"/>
              <w:textAlignment w:val="baseline"/>
              <w:rPr>
                <w:rFonts w:ascii="宋体" w:hAnsi="宋体" w:cs="宋体"/>
                <w:szCs w:val="21"/>
              </w:rPr>
            </w:pPr>
            <w:r>
              <w:rPr>
                <w:rFonts w:hint="eastAsia" w:ascii="宋体" w:hAnsi="宋体" w:cs="宋体"/>
                <w:szCs w:val="21"/>
              </w:rPr>
              <w:t>建设地点</w:t>
            </w:r>
          </w:p>
        </w:tc>
        <w:tc>
          <w:tcPr>
            <w:tcW w:w="6250" w:type="dxa"/>
            <w:tcBorders>
              <w:top w:val="single" w:color="auto" w:sz="4" w:space="0"/>
              <w:left w:val="single" w:color="auto" w:sz="4" w:space="0"/>
              <w:bottom w:val="single" w:color="auto" w:sz="4" w:space="0"/>
              <w:right w:val="single" w:color="auto" w:sz="4" w:space="0"/>
            </w:tcBorders>
            <w:vAlign w:val="center"/>
          </w:tcPr>
          <w:p>
            <w:pPr>
              <w:snapToGrid w:val="0"/>
              <w:textAlignment w:val="baseline"/>
              <w:rPr>
                <w:rFonts w:hint="eastAsia" w:ascii="宋体" w:hAnsi="宋体" w:eastAsia="宋体" w:cs="宋体"/>
                <w:szCs w:val="21"/>
                <w:lang w:eastAsia="zh-CN"/>
              </w:rPr>
            </w:pPr>
            <w:r>
              <w:rPr>
                <w:rFonts w:hint="eastAsia" w:ascii="宋体" w:hAnsi="宋体" w:eastAsia="宋体" w:cs="宋体"/>
                <w:szCs w:val="21"/>
                <w:lang w:val="en-US" w:eastAsia="zh-CN"/>
              </w:rPr>
              <w:t>焦作市马村区</w:t>
            </w:r>
          </w:p>
        </w:tc>
      </w:tr>
      <w:tr>
        <w:tblPrEx>
          <w:tblCellMar>
            <w:top w:w="0" w:type="dxa"/>
            <w:left w:w="108" w:type="dxa"/>
            <w:bottom w:w="0" w:type="dxa"/>
            <w:right w:w="108" w:type="dxa"/>
          </w:tblCellMar>
        </w:tblPrEx>
        <w:trPr>
          <w:trHeight w:val="567" w:hRule="atLeast"/>
          <w:jc w:val="center"/>
        </w:trPr>
        <w:tc>
          <w:tcPr>
            <w:tcW w:w="1073" w:type="dxa"/>
            <w:tcBorders>
              <w:top w:val="single" w:color="auto" w:sz="4" w:space="0"/>
              <w:left w:val="single" w:color="auto" w:sz="4" w:space="0"/>
              <w:bottom w:val="single" w:color="auto" w:sz="4" w:space="0"/>
              <w:right w:val="single" w:color="auto" w:sz="4" w:space="0"/>
            </w:tcBorders>
            <w:vAlign w:val="center"/>
          </w:tcPr>
          <w:p>
            <w:pPr>
              <w:snapToGrid w:val="0"/>
              <w:jc w:val="center"/>
              <w:textAlignment w:val="baseline"/>
              <w:rPr>
                <w:rFonts w:ascii="宋体" w:hAnsi="宋体" w:cs="宋体"/>
                <w:szCs w:val="21"/>
              </w:rPr>
            </w:pPr>
            <w:r>
              <w:rPr>
                <w:rFonts w:hint="eastAsia" w:ascii="宋体" w:hAnsi="宋体" w:cs="宋体"/>
                <w:szCs w:val="21"/>
              </w:rPr>
              <w:t>1.2.1</w:t>
            </w:r>
          </w:p>
        </w:tc>
        <w:tc>
          <w:tcPr>
            <w:tcW w:w="1937" w:type="dxa"/>
            <w:tcBorders>
              <w:top w:val="single" w:color="auto" w:sz="4" w:space="0"/>
              <w:left w:val="single" w:color="auto" w:sz="4" w:space="0"/>
              <w:bottom w:val="single" w:color="auto" w:sz="4" w:space="0"/>
              <w:right w:val="single" w:color="auto" w:sz="4" w:space="0"/>
            </w:tcBorders>
            <w:vAlign w:val="center"/>
          </w:tcPr>
          <w:p>
            <w:pPr>
              <w:snapToGrid w:val="0"/>
              <w:jc w:val="center"/>
              <w:textAlignment w:val="baseline"/>
              <w:rPr>
                <w:rFonts w:ascii="宋体" w:hAnsi="宋体" w:cs="宋体"/>
                <w:szCs w:val="21"/>
              </w:rPr>
            </w:pPr>
            <w:r>
              <w:rPr>
                <w:rFonts w:hint="eastAsia" w:ascii="宋体" w:hAnsi="宋体" w:cs="宋体"/>
                <w:szCs w:val="21"/>
              </w:rPr>
              <w:t>资金来源及比例</w:t>
            </w:r>
          </w:p>
        </w:tc>
        <w:tc>
          <w:tcPr>
            <w:tcW w:w="6250" w:type="dxa"/>
            <w:tcBorders>
              <w:top w:val="single" w:color="auto" w:sz="4" w:space="0"/>
              <w:left w:val="single" w:color="auto" w:sz="4" w:space="0"/>
              <w:bottom w:val="single" w:color="auto" w:sz="4" w:space="0"/>
              <w:right w:val="single" w:color="auto" w:sz="4" w:space="0"/>
            </w:tcBorders>
            <w:vAlign w:val="center"/>
          </w:tcPr>
          <w:p>
            <w:pPr>
              <w:snapToGrid w:val="0"/>
              <w:textAlignment w:val="baseline"/>
              <w:rPr>
                <w:rFonts w:ascii="宋体" w:hAnsi="宋体" w:cs="宋体"/>
                <w:szCs w:val="21"/>
              </w:rPr>
            </w:pPr>
            <w:r>
              <w:rPr>
                <w:rFonts w:hint="eastAsia" w:ascii="宋体" w:hAnsi="宋体" w:cs="宋体"/>
                <w:szCs w:val="21"/>
              </w:rPr>
              <w:t>企业自筹、100%</w:t>
            </w:r>
          </w:p>
        </w:tc>
      </w:tr>
      <w:tr>
        <w:tblPrEx>
          <w:tblCellMar>
            <w:top w:w="0" w:type="dxa"/>
            <w:left w:w="108" w:type="dxa"/>
            <w:bottom w:w="0" w:type="dxa"/>
            <w:right w:w="108" w:type="dxa"/>
          </w:tblCellMar>
        </w:tblPrEx>
        <w:trPr>
          <w:trHeight w:val="567" w:hRule="atLeast"/>
          <w:jc w:val="center"/>
        </w:trPr>
        <w:tc>
          <w:tcPr>
            <w:tcW w:w="1073" w:type="dxa"/>
            <w:tcBorders>
              <w:top w:val="single" w:color="auto" w:sz="4" w:space="0"/>
              <w:left w:val="single" w:color="auto" w:sz="4" w:space="0"/>
              <w:bottom w:val="single" w:color="auto" w:sz="4" w:space="0"/>
              <w:right w:val="single" w:color="auto" w:sz="4" w:space="0"/>
            </w:tcBorders>
            <w:vAlign w:val="center"/>
          </w:tcPr>
          <w:p>
            <w:pPr>
              <w:snapToGrid w:val="0"/>
              <w:jc w:val="center"/>
              <w:textAlignment w:val="baseline"/>
              <w:rPr>
                <w:rFonts w:ascii="宋体" w:hAnsi="宋体" w:cs="宋体"/>
                <w:szCs w:val="21"/>
              </w:rPr>
            </w:pPr>
            <w:r>
              <w:rPr>
                <w:rFonts w:hint="eastAsia" w:ascii="宋体" w:hAnsi="宋体" w:cs="宋体"/>
                <w:szCs w:val="21"/>
              </w:rPr>
              <w:t>1.2.2</w:t>
            </w:r>
          </w:p>
        </w:tc>
        <w:tc>
          <w:tcPr>
            <w:tcW w:w="1937" w:type="dxa"/>
            <w:tcBorders>
              <w:top w:val="single" w:color="auto" w:sz="4" w:space="0"/>
              <w:left w:val="single" w:color="auto" w:sz="4" w:space="0"/>
              <w:bottom w:val="single" w:color="auto" w:sz="4" w:space="0"/>
              <w:right w:val="single" w:color="auto" w:sz="4" w:space="0"/>
            </w:tcBorders>
            <w:vAlign w:val="center"/>
          </w:tcPr>
          <w:p>
            <w:pPr>
              <w:snapToGrid w:val="0"/>
              <w:jc w:val="center"/>
              <w:textAlignment w:val="baseline"/>
              <w:rPr>
                <w:rFonts w:ascii="宋体" w:hAnsi="宋体" w:cs="宋体"/>
                <w:szCs w:val="21"/>
              </w:rPr>
            </w:pPr>
            <w:r>
              <w:rPr>
                <w:rFonts w:hint="eastAsia" w:ascii="宋体" w:hAnsi="宋体" w:cs="宋体"/>
                <w:szCs w:val="21"/>
              </w:rPr>
              <w:t>资金落实情况</w:t>
            </w:r>
          </w:p>
        </w:tc>
        <w:tc>
          <w:tcPr>
            <w:tcW w:w="6250" w:type="dxa"/>
            <w:tcBorders>
              <w:top w:val="single" w:color="auto" w:sz="4" w:space="0"/>
              <w:left w:val="single" w:color="auto" w:sz="4" w:space="0"/>
              <w:bottom w:val="single" w:color="auto" w:sz="4" w:space="0"/>
              <w:right w:val="single" w:color="auto" w:sz="4" w:space="0"/>
            </w:tcBorders>
            <w:vAlign w:val="center"/>
          </w:tcPr>
          <w:p>
            <w:pPr>
              <w:snapToGrid w:val="0"/>
              <w:textAlignment w:val="baseline"/>
              <w:rPr>
                <w:rFonts w:ascii="宋体" w:hAnsi="宋体" w:cs="宋体"/>
                <w:szCs w:val="21"/>
              </w:rPr>
            </w:pPr>
            <w:r>
              <w:rPr>
                <w:rFonts w:hint="eastAsia" w:ascii="宋体" w:hAnsi="宋体" w:cs="宋体"/>
                <w:szCs w:val="21"/>
              </w:rPr>
              <w:t>已落实</w:t>
            </w:r>
          </w:p>
        </w:tc>
      </w:tr>
      <w:tr>
        <w:tblPrEx>
          <w:tblCellMar>
            <w:top w:w="0" w:type="dxa"/>
            <w:left w:w="108" w:type="dxa"/>
            <w:bottom w:w="0" w:type="dxa"/>
            <w:right w:w="108" w:type="dxa"/>
          </w:tblCellMar>
        </w:tblPrEx>
        <w:trPr>
          <w:trHeight w:val="567" w:hRule="atLeast"/>
          <w:jc w:val="center"/>
        </w:trPr>
        <w:tc>
          <w:tcPr>
            <w:tcW w:w="1073" w:type="dxa"/>
            <w:tcBorders>
              <w:top w:val="single" w:color="auto" w:sz="4" w:space="0"/>
              <w:left w:val="single" w:color="auto" w:sz="4" w:space="0"/>
              <w:bottom w:val="single" w:color="auto" w:sz="4" w:space="0"/>
              <w:right w:val="single" w:color="auto" w:sz="4" w:space="0"/>
            </w:tcBorders>
            <w:vAlign w:val="center"/>
          </w:tcPr>
          <w:p>
            <w:pPr>
              <w:snapToGrid w:val="0"/>
              <w:jc w:val="center"/>
              <w:textAlignment w:val="baseline"/>
              <w:rPr>
                <w:rFonts w:ascii="宋体" w:hAnsi="宋体" w:cs="宋体"/>
                <w:szCs w:val="21"/>
              </w:rPr>
            </w:pPr>
            <w:r>
              <w:rPr>
                <w:rFonts w:hint="eastAsia" w:ascii="宋体" w:hAnsi="宋体" w:cs="宋体"/>
                <w:szCs w:val="21"/>
              </w:rPr>
              <w:t>1.3.1</w:t>
            </w:r>
          </w:p>
        </w:tc>
        <w:tc>
          <w:tcPr>
            <w:tcW w:w="1937" w:type="dxa"/>
            <w:tcBorders>
              <w:top w:val="single" w:color="auto" w:sz="4" w:space="0"/>
              <w:left w:val="single" w:color="auto" w:sz="4" w:space="0"/>
              <w:bottom w:val="single" w:color="auto" w:sz="4" w:space="0"/>
              <w:right w:val="single" w:color="auto" w:sz="4" w:space="0"/>
            </w:tcBorders>
            <w:vAlign w:val="center"/>
          </w:tcPr>
          <w:p>
            <w:pPr>
              <w:snapToGrid w:val="0"/>
              <w:jc w:val="center"/>
              <w:textAlignment w:val="baseline"/>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招标范围</w:t>
            </w:r>
          </w:p>
        </w:tc>
        <w:tc>
          <w:tcPr>
            <w:tcW w:w="6250" w:type="dxa"/>
            <w:tcBorders>
              <w:top w:val="single" w:color="auto" w:sz="4" w:space="0"/>
              <w:left w:val="single" w:color="auto" w:sz="4" w:space="0"/>
              <w:bottom w:val="single" w:color="auto" w:sz="4" w:space="0"/>
              <w:right w:val="single" w:color="auto" w:sz="4" w:space="0"/>
            </w:tcBorders>
            <w:vAlign w:val="center"/>
          </w:tcPr>
          <w:p>
            <w:pPr>
              <w:snapToGrid w:val="0"/>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施工及缺陷责任期阶段的全过程监理工作</w:t>
            </w:r>
          </w:p>
        </w:tc>
      </w:tr>
      <w:tr>
        <w:tblPrEx>
          <w:tblCellMar>
            <w:top w:w="0" w:type="dxa"/>
            <w:left w:w="108" w:type="dxa"/>
            <w:bottom w:w="0" w:type="dxa"/>
            <w:right w:w="108" w:type="dxa"/>
          </w:tblCellMar>
        </w:tblPrEx>
        <w:trPr>
          <w:trHeight w:val="567" w:hRule="atLeast"/>
          <w:jc w:val="center"/>
        </w:trPr>
        <w:tc>
          <w:tcPr>
            <w:tcW w:w="1073" w:type="dxa"/>
            <w:tcBorders>
              <w:top w:val="single" w:color="auto" w:sz="4" w:space="0"/>
              <w:left w:val="single" w:color="auto" w:sz="4" w:space="0"/>
              <w:bottom w:val="single" w:color="auto" w:sz="4" w:space="0"/>
              <w:right w:val="single" w:color="auto" w:sz="4" w:space="0"/>
            </w:tcBorders>
            <w:vAlign w:val="center"/>
          </w:tcPr>
          <w:p>
            <w:pPr>
              <w:snapToGrid w:val="0"/>
              <w:jc w:val="center"/>
              <w:textAlignment w:val="baseline"/>
              <w:rPr>
                <w:rFonts w:ascii="宋体" w:hAnsi="宋体" w:cs="宋体"/>
                <w:szCs w:val="21"/>
              </w:rPr>
            </w:pPr>
            <w:r>
              <w:rPr>
                <w:rFonts w:hint="eastAsia" w:ascii="宋体" w:hAnsi="宋体" w:cs="宋体"/>
                <w:szCs w:val="21"/>
              </w:rPr>
              <w:t>1.3.2</w:t>
            </w:r>
          </w:p>
        </w:tc>
        <w:tc>
          <w:tcPr>
            <w:tcW w:w="1937" w:type="dxa"/>
            <w:tcBorders>
              <w:top w:val="single" w:color="auto" w:sz="4" w:space="0"/>
              <w:left w:val="single" w:color="auto" w:sz="4" w:space="0"/>
              <w:bottom w:val="single" w:color="auto" w:sz="4" w:space="0"/>
              <w:right w:val="single" w:color="auto" w:sz="4" w:space="0"/>
            </w:tcBorders>
            <w:vAlign w:val="center"/>
          </w:tcPr>
          <w:p>
            <w:pPr>
              <w:snapToGrid w:val="0"/>
              <w:jc w:val="center"/>
              <w:textAlignment w:val="baseline"/>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监理服务期限</w:t>
            </w:r>
          </w:p>
        </w:tc>
        <w:tc>
          <w:tcPr>
            <w:tcW w:w="6250" w:type="dxa"/>
            <w:tcBorders>
              <w:top w:val="single" w:color="auto" w:sz="4" w:space="0"/>
              <w:left w:val="single" w:color="auto" w:sz="4" w:space="0"/>
              <w:bottom w:val="single" w:color="auto" w:sz="4" w:space="0"/>
              <w:right w:val="single" w:color="auto" w:sz="4" w:space="0"/>
            </w:tcBorders>
            <w:vAlign w:val="center"/>
          </w:tcPr>
          <w:p>
            <w:pPr>
              <w:snapToGrid w:val="0"/>
              <w:textAlignment w:val="baseline"/>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本项目施工期及缺陷责任期</w:t>
            </w:r>
          </w:p>
        </w:tc>
      </w:tr>
      <w:tr>
        <w:tblPrEx>
          <w:tblCellMar>
            <w:top w:w="0" w:type="dxa"/>
            <w:left w:w="108" w:type="dxa"/>
            <w:bottom w:w="0" w:type="dxa"/>
            <w:right w:w="108" w:type="dxa"/>
          </w:tblCellMar>
        </w:tblPrEx>
        <w:trPr>
          <w:trHeight w:val="567" w:hRule="atLeast"/>
          <w:jc w:val="center"/>
        </w:trPr>
        <w:tc>
          <w:tcPr>
            <w:tcW w:w="1073" w:type="dxa"/>
            <w:tcBorders>
              <w:top w:val="single" w:color="auto" w:sz="4" w:space="0"/>
              <w:left w:val="single" w:color="auto" w:sz="4" w:space="0"/>
              <w:bottom w:val="single" w:color="auto" w:sz="4" w:space="0"/>
              <w:right w:val="single" w:color="auto" w:sz="4" w:space="0"/>
            </w:tcBorders>
            <w:vAlign w:val="center"/>
          </w:tcPr>
          <w:p>
            <w:pPr>
              <w:snapToGrid w:val="0"/>
              <w:jc w:val="center"/>
              <w:textAlignment w:val="baseline"/>
              <w:rPr>
                <w:rFonts w:ascii="宋体" w:hAnsi="宋体" w:cs="宋体"/>
                <w:szCs w:val="21"/>
              </w:rPr>
            </w:pPr>
            <w:r>
              <w:rPr>
                <w:rFonts w:hint="eastAsia" w:ascii="宋体" w:hAnsi="宋体" w:cs="宋体"/>
                <w:szCs w:val="21"/>
              </w:rPr>
              <w:t>1.3.3</w:t>
            </w:r>
          </w:p>
        </w:tc>
        <w:tc>
          <w:tcPr>
            <w:tcW w:w="1937" w:type="dxa"/>
            <w:tcBorders>
              <w:top w:val="single" w:color="auto" w:sz="4" w:space="0"/>
              <w:left w:val="single" w:color="auto" w:sz="4" w:space="0"/>
              <w:bottom w:val="single" w:color="auto" w:sz="4" w:space="0"/>
              <w:right w:val="single" w:color="auto" w:sz="4" w:space="0"/>
            </w:tcBorders>
            <w:vAlign w:val="center"/>
          </w:tcPr>
          <w:p>
            <w:pPr>
              <w:snapToGrid w:val="0"/>
              <w:jc w:val="center"/>
              <w:textAlignment w:val="baseline"/>
              <w:rPr>
                <w:rFonts w:ascii="宋体" w:hAnsi="宋体" w:cs="宋体"/>
                <w:szCs w:val="21"/>
              </w:rPr>
            </w:pPr>
            <w:r>
              <w:rPr>
                <w:rFonts w:hint="eastAsia" w:ascii="宋体" w:hAnsi="宋体" w:cs="宋体"/>
                <w:szCs w:val="21"/>
              </w:rPr>
              <w:t>质量要求</w:t>
            </w:r>
          </w:p>
        </w:tc>
        <w:tc>
          <w:tcPr>
            <w:tcW w:w="6250" w:type="dxa"/>
            <w:tcBorders>
              <w:top w:val="single" w:color="auto" w:sz="4" w:space="0"/>
              <w:left w:val="single" w:color="auto" w:sz="4" w:space="0"/>
              <w:bottom w:val="single" w:color="auto" w:sz="4" w:space="0"/>
              <w:right w:val="single" w:color="auto" w:sz="4" w:space="0"/>
            </w:tcBorders>
            <w:vAlign w:val="center"/>
          </w:tcPr>
          <w:p>
            <w:pPr>
              <w:snapToGrid w:val="0"/>
              <w:textAlignment w:val="baseline"/>
              <w:rPr>
                <w:rFonts w:ascii="宋体" w:hAnsi="宋体" w:cs="宋体"/>
                <w:szCs w:val="21"/>
              </w:rPr>
            </w:pPr>
            <w:r>
              <w:rPr>
                <w:rFonts w:hint="eastAsia" w:ascii="宋体" w:hAnsi="宋体" w:cs="宋体"/>
                <w:szCs w:val="21"/>
              </w:rPr>
              <w:t>合格，达到国家现行有关施工质量验收规范标准</w:t>
            </w:r>
          </w:p>
        </w:tc>
      </w:tr>
      <w:tr>
        <w:tblPrEx>
          <w:tblCellMar>
            <w:top w:w="0" w:type="dxa"/>
            <w:left w:w="108" w:type="dxa"/>
            <w:bottom w:w="0" w:type="dxa"/>
            <w:right w:w="108" w:type="dxa"/>
          </w:tblCellMar>
        </w:tblPrEx>
        <w:trPr>
          <w:trHeight w:val="567" w:hRule="atLeast"/>
          <w:jc w:val="center"/>
        </w:trPr>
        <w:tc>
          <w:tcPr>
            <w:tcW w:w="107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cs="宋体"/>
                <w:szCs w:val="21"/>
              </w:rPr>
            </w:pPr>
            <w:r>
              <w:rPr>
                <w:rFonts w:hint="eastAsia" w:ascii="宋体" w:hAnsi="宋体" w:cs="宋体"/>
                <w:szCs w:val="21"/>
              </w:rPr>
              <w:t>1.3.4</w:t>
            </w:r>
          </w:p>
        </w:tc>
        <w:tc>
          <w:tcPr>
            <w:tcW w:w="193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cs="宋体"/>
                <w:szCs w:val="21"/>
              </w:rPr>
            </w:pPr>
            <w:r>
              <w:rPr>
                <w:rFonts w:hint="eastAsia" w:ascii="宋体" w:hAnsi="宋体" w:cs="宋体"/>
                <w:szCs w:val="21"/>
              </w:rPr>
              <w:t>资格审查方式</w:t>
            </w:r>
          </w:p>
        </w:tc>
        <w:tc>
          <w:tcPr>
            <w:tcW w:w="6250"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宋体" w:hAnsi="宋体" w:cs="宋体"/>
                <w:szCs w:val="21"/>
              </w:rPr>
            </w:pPr>
            <w:r>
              <w:rPr>
                <w:rFonts w:hint="eastAsia" w:ascii="宋体" w:hAnsi="宋体" w:cs="宋体"/>
                <w:szCs w:val="21"/>
              </w:rPr>
              <w:t xml:space="preserve">□资格预审                </w:t>
            </w:r>
            <w:r>
              <w:rPr>
                <w:rFonts w:hint="eastAsia" w:ascii="宋体" w:hAnsi="宋体" w:cs="宋体"/>
                <w:szCs w:val="21"/>
              </w:rPr>
              <w:sym w:font="Wingdings" w:char="F0FE"/>
            </w:r>
            <w:r>
              <w:rPr>
                <w:rFonts w:hint="eastAsia" w:ascii="宋体" w:hAnsi="宋体" w:cs="宋体"/>
                <w:szCs w:val="21"/>
              </w:rPr>
              <w:t>资格后审</w:t>
            </w:r>
          </w:p>
        </w:tc>
      </w:tr>
      <w:tr>
        <w:tblPrEx>
          <w:tblCellMar>
            <w:top w:w="0" w:type="dxa"/>
            <w:left w:w="108" w:type="dxa"/>
            <w:bottom w:w="0" w:type="dxa"/>
            <w:right w:w="108" w:type="dxa"/>
          </w:tblCellMar>
        </w:tblPrEx>
        <w:trPr>
          <w:trHeight w:val="567" w:hRule="atLeast"/>
          <w:jc w:val="center"/>
        </w:trPr>
        <w:tc>
          <w:tcPr>
            <w:tcW w:w="1073" w:type="dxa"/>
            <w:tcBorders>
              <w:top w:val="single" w:color="auto" w:sz="4" w:space="0"/>
              <w:left w:val="single" w:color="auto" w:sz="4" w:space="0"/>
              <w:bottom w:val="single" w:color="auto" w:sz="4" w:space="0"/>
              <w:right w:val="single" w:color="auto" w:sz="4" w:space="0"/>
            </w:tcBorders>
            <w:vAlign w:val="center"/>
          </w:tcPr>
          <w:p>
            <w:pPr>
              <w:snapToGrid w:val="0"/>
              <w:jc w:val="center"/>
              <w:textAlignment w:val="baseline"/>
              <w:rPr>
                <w:rFonts w:ascii="宋体" w:hAnsi="宋体" w:cs="宋体"/>
                <w:szCs w:val="21"/>
                <w:highlight w:val="none"/>
              </w:rPr>
            </w:pPr>
            <w:r>
              <w:rPr>
                <w:rFonts w:hint="eastAsia" w:ascii="宋体" w:hAnsi="宋体" w:cs="宋体"/>
                <w:szCs w:val="21"/>
                <w:highlight w:val="none"/>
              </w:rPr>
              <w:t>1.4.1</w:t>
            </w:r>
          </w:p>
        </w:tc>
        <w:tc>
          <w:tcPr>
            <w:tcW w:w="1937" w:type="dxa"/>
            <w:tcBorders>
              <w:top w:val="single" w:color="auto" w:sz="4" w:space="0"/>
              <w:left w:val="single" w:color="auto" w:sz="4" w:space="0"/>
              <w:bottom w:val="single" w:color="auto" w:sz="4" w:space="0"/>
              <w:right w:val="single" w:color="auto" w:sz="4" w:space="0"/>
            </w:tcBorders>
            <w:vAlign w:val="center"/>
          </w:tcPr>
          <w:p>
            <w:pPr>
              <w:snapToGrid w:val="0"/>
              <w:jc w:val="center"/>
              <w:textAlignment w:val="baseline"/>
              <w:rPr>
                <w:rFonts w:ascii="宋体" w:hAnsi="宋体" w:cs="宋体"/>
                <w:szCs w:val="21"/>
                <w:highlight w:val="none"/>
              </w:rPr>
            </w:pPr>
            <w:r>
              <w:rPr>
                <w:rFonts w:hint="eastAsia" w:ascii="宋体" w:hAnsi="宋体" w:cs="宋体"/>
                <w:szCs w:val="21"/>
                <w:highlight w:val="none"/>
              </w:rPr>
              <w:t>投标人资质条件、能力、信誉</w:t>
            </w:r>
          </w:p>
        </w:tc>
        <w:tc>
          <w:tcPr>
            <w:tcW w:w="625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宋体" w:hAnsi="宋体" w:cs="宋体"/>
                <w:szCs w:val="21"/>
                <w:highlight w:val="none"/>
              </w:rPr>
            </w:pPr>
            <w:r>
              <w:rPr>
                <w:spacing w:val="8"/>
                <w14:textOutline w14:w="3795" w14:cap="sq" w14:cmpd="sng">
                  <w14:solidFill>
                    <w14:srgbClr w14:val="000000"/>
                  </w14:solidFill>
                  <w14:prstDash w14:val="solid"/>
                  <w14:bevel/>
                </w14:textOutline>
              </w:rPr>
              <w:t>详见招标公告</w:t>
            </w:r>
            <w:r>
              <w:rPr>
                <w:spacing w:val="-27"/>
              </w:rPr>
              <w:t xml:space="preserve"> </w:t>
            </w:r>
            <w:r>
              <w:rPr>
                <w:spacing w:val="8"/>
                <w14:textOutline w14:w="3795" w14:cap="sq" w14:cmpd="sng">
                  <w14:solidFill>
                    <w14:srgbClr w14:val="000000"/>
                  </w14:solidFill>
                  <w14:prstDash w14:val="solid"/>
                  <w14:bevel/>
                </w14:textOutline>
              </w:rPr>
              <w:t>3.投标人资格要求</w:t>
            </w:r>
          </w:p>
        </w:tc>
      </w:tr>
      <w:tr>
        <w:tblPrEx>
          <w:tblCellMar>
            <w:top w:w="0" w:type="dxa"/>
            <w:left w:w="108" w:type="dxa"/>
            <w:bottom w:w="0" w:type="dxa"/>
            <w:right w:w="108" w:type="dxa"/>
          </w:tblCellMar>
        </w:tblPrEx>
        <w:trPr>
          <w:trHeight w:val="567" w:hRule="atLeast"/>
          <w:jc w:val="center"/>
        </w:trPr>
        <w:tc>
          <w:tcPr>
            <w:tcW w:w="1073" w:type="dxa"/>
            <w:tcBorders>
              <w:top w:val="single" w:color="auto" w:sz="4" w:space="0"/>
              <w:left w:val="single" w:color="auto" w:sz="4" w:space="0"/>
              <w:bottom w:val="single" w:color="auto" w:sz="4" w:space="0"/>
              <w:right w:val="single" w:color="auto" w:sz="4" w:space="0"/>
            </w:tcBorders>
            <w:vAlign w:val="center"/>
          </w:tcPr>
          <w:p>
            <w:pPr>
              <w:snapToGrid w:val="0"/>
              <w:jc w:val="center"/>
              <w:textAlignment w:val="baseline"/>
              <w:rPr>
                <w:rFonts w:ascii="宋体" w:hAnsi="宋体" w:cs="宋体"/>
                <w:szCs w:val="21"/>
              </w:rPr>
            </w:pPr>
            <w:r>
              <w:rPr>
                <w:rFonts w:hint="eastAsia" w:ascii="宋体" w:hAnsi="宋体" w:cs="宋体"/>
                <w:szCs w:val="21"/>
              </w:rPr>
              <w:t>1.4.2</w:t>
            </w:r>
          </w:p>
        </w:tc>
        <w:tc>
          <w:tcPr>
            <w:tcW w:w="1937" w:type="dxa"/>
            <w:tcBorders>
              <w:top w:val="single" w:color="auto" w:sz="4" w:space="0"/>
              <w:left w:val="single" w:color="auto" w:sz="4" w:space="0"/>
              <w:bottom w:val="single" w:color="auto" w:sz="4" w:space="0"/>
              <w:right w:val="single" w:color="auto" w:sz="4" w:space="0"/>
            </w:tcBorders>
            <w:vAlign w:val="center"/>
          </w:tcPr>
          <w:p>
            <w:pPr>
              <w:snapToGrid w:val="0"/>
              <w:jc w:val="center"/>
              <w:textAlignment w:val="baseline"/>
              <w:rPr>
                <w:rFonts w:ascii="宋体" w:hAnsi="宋体" w:cs="宋体"/>
                <w:szCs w:val="21"/>
              </w:rPr>
            </w:pPr>
            <w:r>
              <w:rPr>
                <w:rFonts w:hint="eastAsia" w:ascii="宋体" w:hAnsi="宋体" w:cs="宋体"/>
                <w:szCs w:val="21"/>
              </w:rPr>
              <w:t>是否接受联合体投标</w:t>
            </w:r>
          </w:p>
        </w:tc>
        <w:tc>
          <w:tcPr>
            <w:tcW w:w="6250" w:type="dxa"/>
            <w:tcBorders>
              <w:top w:val="single" w:color="auto" w:sz="4" w:space="0"/>
              <w:left w:val="single" w:color="auto" w:sz="4" w:space="0"/>
              <w:bottom w:val="single" w:color="auto" w:sz="4" w:space="0"/>
              <w:right w:val="single" w:color="auto" w:sz="4" w:space="0"/>
            </w:tcBorders>
            <w:vAlign w:val="center"/>
          </w:tcPr>
          <w:p>
            <w:pPr>
              <w:pStyle w:val="65"/>
              <w:wordWrap w:val="0"/>
              <w:snapToGrid w:val="0"/>
              <w:jc w:val="left"/>
              <w:rPr>
                <w:szCs w:val="21"/>
                <w:lang w:val="en-US"/>
              </w:rPr>
            </w:pPr>
            <w:r>
              <w:rPr>
                <w:rFonts w:hint="eastAsia"/>
                <w:szCs w:val="21"/>
                <w:lang w:val="en-US"/>
              </w:rPr>
              <w:sym w:font="Wingdings" w:char="00FE"/>
            </w:r>
            <w:r>
              <w:rPr>
                <w:rFonts w:hint="eastAsia"/>
                <w:szCs w:val="21"/>
                <w:lang w:val="en-US"/>
              </w:rPr>
              <w:t>不接受</w:t>
            </w:r>
          </w:p>
          <w:p>
            <w:pPr>
              <w:wordWrap w:val="0"/>
              <w:snapToGrid w:val="0"/>
              <w:jc w:val="left"/>
              <w:rPr>
                <w:rFonts w:ascii="宋体" w:hAnsi="宋体" w:cs="宋体"/>
                <w:szCs w:val="21"/>
              </w:rPr>
            </w:pPr>
            <w:r>
              <w:rPr>
                <w:rFonts w:hint="eastAsia" w:ascii="宋体" w:hAnsi="宋体" w:cs="宋体"/>
                <w:szCs w:val="21"/>
              </w:rPr>
              <w:sym w:font="Wingdings" w:char="00A8"/>
            </w:r>
            <w:r>
              <w:rPr>
                <w:rFonts w:hint="eastAsia" w:ascii="宋体" w:hAnsi="宋体" w:cs="宋体"/>
                <w:szCs w:val="21"/>
              </w:rPr>
              <w:t>接受，联合体投标的，应满足下列要求：</w:t>
            </w:r>
          </w:p>
        </w:tc>
      </w:tr>
      <w:tr>
        <w:tblPrEx>
          <w:tblCellMar>
            <w:top w:w="0" w:type="dxa"/>
            <w:left w:w="108" w:type="dxa"/>
            <w:bottom w:w="0" w:type="dxa"/>
            <w:right w:w="108" w:type="dxa"/>
          </w:tblCellMar>
        </w:tblPrEx>
        <w:trPr>
          <w:trHeight w:val="567" w:hRule="atLeast"/>
          <w:jc w:val="center"/>
        </w:trPr>
        <w:tc>
          <w:tcPr>
            <w:tcW w:w="1073" w:type="dxa"/>
            <w:tcBorders>
              <w:top w:val="single" w:color="auto" w:sz="4" w:space="0"/>
              <w:left w:val="single" w:color="auto" w:sz="4" w:space="0"/>
              <w:bottom w:val="single" w:color="auto" w:sz="4" w:space="0"/>
              <w:right w:val="single" w:color="auto" w:sz="4" w:space="0"/>
            </w:tcBorders>
            <w:vAlign w:val="center"/>
          </w:tcPr>
          <w:p>
            <w:pPr>
              <w:snapToGrid w:val="0"/>
              <w:jc w:val="center"/>
              <w:textAlignment w:val="baseline"/>
              <w:rPr>
                <w:rFonts w:ascii="宋体" w:hAnsi="宋体" w:cs="宋体"/>
                <w:szCs w:val="21"/>
              </w:rPr>
            </w:pPr>
            <w:r>
              <w:rPr>
                <w:rFonts w:hint="eastAsia" w:ascii="宋体" w:hAnsi="宋体" w:cs="宋体"/>
                <w:szCs w:val="21"/>
              </w:rPr>
              <w:t>1.9.1</w:t>
            </w:r>
          </w:p>
        </w:tc>
        <w:tc>
          <w:tcPr>
            <w:tcW w:w="1937" w:type="dxa"/>
            <w:tcBorders>
              <w:top w:val="single" w:color="auto" w:sz="4" w:space="0"/>
              <w:left w:val="single" w:color="auto" w:sz="4" w:space="0"/>
              <w:bottom w:val="single" w:color="auto" w:sz="4" w:space="0"/>
              <w:right w:val="single" w:color="auto" w:sz="4" w:space="0"/>
            </w:tcBorders>
            <w:vAlign w:val="center"/>
          </w:tcPr>
          <w:p>
            <w:pPr>
              <w:snapToGrid w:val="0"/>
              <w:jc w:val="center"/>
              <w:textAlignment w:val="baseline"/>
              <w:rPr>
                <w:rFonts w:ascii="宋体" w:hAnsi="宋体" w:cs="宋体"/>
                <w:szCs w:val="21"/>
              </w:rPr>
            </w:pPr>
            <w:r>
              <w:rPr>
                <w:rFonts w:hint="eastAsia" w:ascii="宋体" w:hAnsi="宋体" w:cs="宋体"/>
                <w:szCs w:val="21"/>
              </w:rPr>
              <w:t>踏勘</w:t>
            </w:r>
          </w:p>
        </w:tc>
        <w:tc>
          <w:tcPr>
            <w:tcW w:w="6250" w:type="dxa"/>
            <w:tcBorders>
              <w:top w:val="single" w:color="auto" w:sz="4" w:space="0"/>
              <w:left w:val="single" w:color="auto" w:sz="4" w:space="0"/>
              <w:bottom w:val="single" w:color="auto" w:sz="4" w:space="0"/>
              <w:right w:val="single" w:color="auto" w:sz="4" w:space="0"/>
            </w:tcBorders>
            <w:vAlign w:val="center"/>
          </w:tcPr>
          <w:p>
            <w:pPr>
              <w:snapToGrid w:val="0"/>
              <w:jc w:val="left"/>
              <w:textAlignment w:val="baseline"/>
              <w:rPr>
                <w:rFonts w:ascii="宋体" w:hAnsi="宋体" w:cs="宋体"/>
                <w:szCs w:val="21"/>
              </w:rPr>
            </w:pPr>
            <w:r>
              <w:rPr>
                <w:rFonts w:hint="eastAsia" w:ascii="宋体" w:hAnsi="宋体" w:cs="宋体"/>
                <w:szCs w:val="21"/>
              </w:rPr>
              <w:t>☑不组织</w:t>
            </w:r>
          </w:p>
          <w:p>
            <w:pPr>
              <w:snapToGrid w:val="0"/>
              <w:jc w:val="left"/>
              <w:textAlignment w:val="baseline"/>
              <w:rPr>
                <w:rFonts w:ascii="宋体" w:hAnsi="宋体" w:cs="宋体"/>
                <w:szCs w:val="21"/>
              </w:rPr>
            </w:pPr>
            <w:r>
              <w:rPr>
                <w:rFonts w:hint="eastAsia" w:ascii="宋体" w:hAnsi="宋体" w:cs="宋体"/>
                <w:szCs w:val="21"/>
              </w:rPr>
              <w:t>□组织,踏勘时间：</w:t>
            </w:r>
          </w:p>
          <w:p>
            <w:pPr>
              <w:snapToGrid w:val="0"/>
              <w:jc w:val="left"/>
              <w:textAlignment w:val="baseline"/>
              <w:rPr>
                <w:rFonts w:ascii="宋体" w:hAnsi="宋体" w:cs="宋体"/>
                <w:szCs w:val="21"/>
              </w:rPr>
            </w:pPr>
            <w:r>
              <w:rPr>
                <w:rFonts w:hint="eastAsia" w:ascii="宋体" w:hAnsi="宋体" w:cs="宋体"/>
                <w:szCs w:val="21"/>
              </w:rPr>
              <w:t>踏勘集中地点：</w:t>
            </w:r>
          </w:p>
        </w:tc>
      </w:tr>
      <w:tr>
        <w:tblPrEx>
          <w:tblCellMar>
            <w:top w:w="0" w:type="dxa"/>
            <w:left w:w="108" w:type="dxa"/>
            <w:bottom w:w="0" w:type="dxa"/>
            <w:right w:w="108" w:type="dxa"/>
          </w:tblCellMar>
        </w:tblPrEx>
        <w:trPr>
          <w:trHeight w:val="567" w:hRule="atLeast"/>
          <w:jc w:val="center"/>
        </w:trPr>
        <w:tc>
          <w:tcPr>
            <w:tcW w:w="1073" w:type="dxa"/>
            <w:tcBorders>
              <w:top w:val="single" w:color="auto" w:sz="4" w:space="0"/>
              <w:left w:val="single" w:color="auto" w:sz="4" w:space="0"/>
              <w:bottom w:val="single" w:color="auto" w:sz="4" w:space="0"/>
              <w:right w:val="single" w:color="auto" w:sz="4" w:space="0"/>
            </w:tcBorders>
            <w:vAlign w:val="center"/>
          </w:tcPr>
          <w:p>
            <w:pPr>
              <w:snapToGrid w:val="0"/>
              <w:jc w:val="center"/>
              <w:textAlignment w:val="baseline"/>
              <w:rPr>
                <w:rFonts w:ascii="宋体" w:hAnsi="宋体" w:cs="宋体"/>
                <w:szCs w:val="21"/>
              </w:rPr>
            </w:pPr>
            <w:r>
              <w:rPr>
                <w:rFonts w:hint="eastAsia" w:ascii="宋体" w:hAnsi="宋体" w:cs="宋体"/>
                <w:szCs w:val="21"/>
              </w:rPr>
              <w:t>1.10.1</w:t>
            </w:r>
          </w:p>
        </w:tc>
        <w:tc>
          <w:tcPr>
            <w:tcW w:w="1937" w:type="dxa"/>
            <w:tcBorders>
              <w:top w:val="single" w:color="auto" w:sz="4" w:space="0"/>
              <w:left w:val="single" w:color="auto" w:sz="4" w:space="0"/>
              <w:bottom w:val="single" w:color="auto" w:sz="4" w:space="0"/>
              <w:right w:val="single" w:color="auto" w:sz="4" w:space="0"/>
            </w:tcBorders>
            <w:vAlign w:val="center"/>
          </w:tcPr>
          <w:p>
            <w:pPr>
              <w:snapToGrid w:val="0"/>
              <w:jc w:val="center"/>
              <w:textAlignment w:val="baseline"/>
              <w:rPr>
                <w:rFonts w:ascii="宋体" w:hAnsi="宋体" w:cs="宋体"/>
                <w:szCs w:val="21"/>
              </w:rPr>
            </w:pPr>
            <w:r>
              <w:rPr>
                <w:rFonts w:hint="eastAsia" w:ascii="宋体" w:hAnsi="宋体" w:cs="宋体"/>
                <w:szCs w:val="21"/>
              </w:rPr>
              <w:t>投标预备会</w:t>
            </w:r>
          </w:p>
        </w:tc>
        <w:tc>
          <w:tcPr>
            <w:tcW w:w="6250" w:type="dxa"/>
            <w:tcBorders>
              <w:top w:val="single" w:color="auto" w:sz="4" w:space="0"/>
              <w:left w:val="single" w:color="auto" w:sz="4" w:space="0"/>
              <w:bottom w:val="single" w:color="auto" w:sz="4" w:space="0"/>
              <w:right w:val="single" w:color="auto" w:sz="4" w:space="0"/>
            </w:tcBorders>
            <w:vAlign w:val="center"/>
          </w:tcPr>
          <w:p>
            <w:pPr>
              <w:snapToGrid w:val="0"/>
              <w:jc w:val="left"/>
              <w:textAlignment w:val="baseline"/>
              <w:rPr>
                <w:rFonts w:ascii="宋体" w:hAnsi="宋体" w:cs="宋体"/>
                <w:szCs w:val="21"/>
              </w:rPr>
            </w:pPr>
            <w:r>
              <w:rPr>
                <w:rFonts w:hint="eastAsia" w:ascii="宋体" w:hAnsi="宋体" w:cs="宋体"/>
                <w:szCs w:val="21"/>
              </w:rPr>
              <w:t>☑不召开</w:t>
            </w:r>
          </w:p>
        </w:tc>
      </w:tr>
      <w:tr>
        <w:tblPrEx>
          <w:tblCellMar>
            <w:top w:w="0" w:type="dxa"/>
            <w:left w:w="108" w:type="dxa"/>
            <w:bottom w:w="0" w:type="dxa"/>
            <w:right w:w="108" w:type="dxa"/>
          </w:tblCellMar>
        </w:tblPrEx>
        <w:trPr>
          <w:trHeight w:val="567" w:hRule="atLeast"/>
          <w:jc w:val="center"/>
        </w:trPr>
        <w:tc>
          <w:tcPr>
            <w:tcW w:w="1073" w:type="dxa"/>
            <w:tcBorders>
              <w:top w:val="single" w:color="auto" w:sz="4" w:space="0"/>
              <w:left w:val="single" w:color="auto" w:sz="4" w:space="0"/>
              <w:bottom w:val="single" w:color="auto" w:sz="4" w:space="0"/>
              <w:right w:val="single" w:color="auto" w:sz="4" w:space="0"/>
            </w:tcBorders>
            <w:vAlign w:val="center"/>
          </w:tcPr>
          <w:p>
            <w:pPr>
              <w:snapToGrid w:val="0"/>
              <w:jc w:val="center"/>
              <w:textAlignment w:val="baseline"/>
              <w:rPr>
                <w:rFonts w:ascii="宋体" w:hAnsi="宋体" w:cs="宋体"/>
                <w:szCs w:val="21"/>
              </w:rPr>
            </w:pPr>
            <w:r>
              <w:rPr>
                <w:rFonts w:hint="eastAsia" w:ascii="宋体" w:hAnsi="宋体" w:cs="宋体"/>
                <w:szCs w:val="21"/>
              </w:rPr>
              <w:t>1.10.2</w:t>
            </w:r>
          </w:p>
        </w:tc>
        <w:tc>
          <w:tcPr>
            <w:tcW w:w="1937" w:type="dxa"/>
            <w:tcBorders>
              <w:top w:val="single" w:color="auto" w:sz="4" w:space="0"/>
              <w:left w:val="single" w:color="auto" w:sz="4" w:space="0"/>
              <w:bottom w:val="single" w:color="auto" w:sz="4" w:space="0"/>
              <w:right w:val="single" w:color="auto" w:sz="4" w:space="0"/>
            </w:tcBorders>
            <w:vAlign w:val="center"/>
          </w:tcPr>
          <w:p>
            <w:pPr>
              <w:snapToGrid w:val="0"/>
              <w:jc w:val="center"/>
              <w:textAlignment w:val="baseline"/>
              <w:rPr>
                <w:rFonts w:ascii="宋体" w:hAnsi="宋体" w:cs="宋体"/>
                <w:szCs w:val="21"/>
              </w:rPr>
            </w:pPr>
            <w:r>
              <w:rPr>
                <w:rFonts w:hint="eastAsia" w:ascii="宋体" w:hAnsi="宋体" w:cs="宋体"/>
                <w:szCs w:val="21"/>
              </w:rPr>
              <w:t>投标人提出问题的</w:t>
            </w:r>
          </w:p>
          <w:p>
            <w:pPr>
              <w:snapToGrid w:val="0"/>
              <w:jc w:val="center"/>
              <w:textAlignment w:val="baseline"/>
              <w:rPr>
                <w:rFonts w:ascii="宋体" w:hAnsi="宋体" w:cs="宋体"/>
                <w:szCs w:val="21"/>
              </w:rPr>
            </w:pPr>
            <w:r>
              <w:rPr>
                <w:rFonts w:hint="eastAsia" w:ascii="宋体" w:hAnsi="宋体" w:cs="宋体"/>
                <w:szCs w:val="21"/>
              </w:rPr>
              <w:t>截止时间</w:t>
            </w:r>
          </w:p>
        </w:tc>
        <w:tc>
          <w:tcPr>
            <w:tcW w:w="6250" w:type="dxa"/>
            <w:tcBorders>
              <w:top w:val="single" w:color="auto" w:sz="4" w:space="0"/>
              <w:left w:val="single" w:color="auto" w:sz="4" w:space="0"/>
              <w:bottom w:val="single" w:color="auto" w:sz="4" w:space="0"/>
              <w:right w:val="single" w:color="auto" w:sz="4" w:space="0"/>
            </w:tcBorders>
            <w:vAlign w:val="center"/>
          </w:tcPr>
          <w:p>
            <w:pPr>
              <w:pStyle w:val="65"/>
              <w:wordWrap w:val="0"/>
              <w:snapToGrid w:val="0"/>
              <w:jc w:val="left"/>
              <w:rPr>
                <w:szCs w:val="21"/>
                <w:lang w:val="en-US"/>
              </w:rPr>
            </w:pPr>
            <w:r>
              <w:rPr>
                <w:rFonts w:hint="eastAsia"/>
                <w:szCs w:val="21"/>
                <w:lang w:val="en-US"/>
              </w:rPr>
              <w:t>时间：递交投标文件截止之日10日前</w:t>
            </w:r>
          </w:p>
          <w:p>
            <w:pPr>
              <w:wordWrap w:val="0"/>
              <w:snapToGrid w:val="0"/>
              <w:jc w:val="left"/>
              <w:rPr>
                <w:rFonts w:ascii="宋体" w:hAnsi="宋体" w:cs="宋体"/>
                <w:szCs w:val="21"/>
              </w:rPr>
            </w:pPr>
            <w:r>
              <w:rPr>
                <w:rFonts w:hint="eastAsia" w:ascii="宋体" w:hAnsi="宋体" w:cs="宋体"/>
                <w:szCs w:val="21"/>
              </w:rPr>
              <w:t>形式：登录交易平台提出</w:t>
            </w:r>
          </w:p>
        </w:tc>
      </w:tr>
      <w:tr>
        <w:tblPrEx>
          <w:tblCellMar>
            <w:top w:w="0" w:type="dxa"/>
            <w:left w:w="108" w:type="dxa"/>
            <w:bottom w:w="0" w:type="dxa"/>
            <w:right w:w="108" w:type="dxa"/>
          </w:tblCellMar>
        </w:tblPrEx>
        <w:trPr>
          <w:trHeight w:val="567" w:hRule="atLeast"/>
          <w:jc w:val="center"/>
        </w:trPr>
        <w:tc>
          <w:tcPr>
            <w:tcW w:w="1073" w:type="dxa"/>
            <w:tcBorders>
              <w:top w:val="single" w:color="auto" w:sz="4" w:space="0"/>
              <w:left w:val="single" w:color="auto" w:sz="4" w:space="0"/>
              <w:bottom w:val="single" w:color="auto" w:sz="4" w:space="0"/>
              <w:right w:val="single" w:color="auto" w:sz="4" w:space="0"/>
            </w:tcBorders>
            <w:vAlign w:val="center"/>
          </w:tcPr>
          <w:p>
            <w:pPr>
              <w:snapToGrid w:val="0"/>
              <w:jc w:val="center"/>
              <w:textAlignment w:val="baseline"/>
              <w:rPr>
                <w:rFonts w:ascii="宋体" w:hAnsi="宋体" w:cs="宋体"/>
                <w:szCs w:val="21"/>
              </w:rPr>
            </w:pPr>
            <w:r>
              <w:rPr>
                <w:rFonts w:hint="eastAsia" w:ascii="宋体" w:hAnsi="宋体" w:cs="宋体"/>
                <w:szCs w:val="21"/>
              </w:rPr>
              <w:t>1.10.3</w:t>
            </w:r>
          </w:p>
        </w:tc>
        <w:tc>
          <w:tcPr>
            <w:tcW w:w="1937" w:type="dxa"/>
            <w:tcBorders>
              <w:top w:val="single" w:color="auto" w:sz="4" w:space="0"/>
              <w:left w:val="single" w:color="auto" w:sz="4" w:space="0"/>
              <w:bottom w:val="single" w:color="auto" w:sz="4" w:space="0"/>
              <w:right w:val="single" w:color="auto" w:sz="4" w:space="0"/>
            </w:tcBorders>
            <w:vAlign w:val="center"/>
          </w:tcPr>
          <w:p>
            <w:pPr>
              <w:snapToGrid w:val="0"/>
              <w:jc w:val="center"/>
              <w:textAlignment w:val="baseline"/>
              <w:rPr>
                <w:rFonts w:ascii="宋体" w:hAnsi="宋体" w:cs="宋体"/>
                <w:szCs w:val="21"/>
              </w:rPr>
            </w:pPr>
            <w:r>
              <w:rPr>
                <w:rFonts w:hint="eastAsia" w:ascii="宋体" w:hAnsi="宋体" w:cs="宋体"/>
                <w:szCs w:val="21"/>
              </w:rPr>
              <w:t>招标人书面澄清的</w:t>
            </w:r>
          </w:p>
          <w:p>
            <w:pPr>
              <w:snapToGrid w:val="0"/>
              <w:jc w:val="center"/>
              <w:textAlignment w:val="baseline"/>
              <w:rPr>
                <w:rFonts w:ascii="宋体" w:hAnsi="宋体" w:cs="宋体"/>
                <w:szCs w:val="21"/>
              </w:rPr>
            </w:pPr>
            <w:r>
              <w:rPr>
                <w:rFonts w:hint="eastAsia" w:ascii="宋体" w:hAnsi="宋体" w:cs="宋体"/>
                <w:szCs w:val="21"/>
              </w:rPr>
              <w:t>时间</w:t>
            </w:r>
          </w:p>
        </w:tc>
        <w:tc>
          <w:tcPr>
            <w:tcW w:w="6250" w:type="dxa"/>
            <w:tcBorders>
              <w:top w:val="single" w:color="auto" w:sz="4" w:space="0"/>
              <w:left w:val="single" w:color="auto" w:sz="4" w:space="0"/>
              <w:bottom w:val="single" w:color="auto" w:sz="4" w:space="0"/>
              <w:right w:val="single" w:color="auto" w:sz="4" w:space="0"/>
            </w:tcBorders>
            <w:vAlign w:val="center"/>
          </w:tcPr>
          <w:p>
            <w:pPr>
              <w:snapToGrid w:val="0"/>
              <w:jc w:val="left"/>
              <w:textAlignment w:val="baseline"/>
              <w:rPr>
                <w:rFonts w:ascii="宋体" w:hAnsi="宋体" w:cs="宋体"/>
                <w:szCs w:val="21"/>
              </w:rPr>
            </w:pPr>
            <w:r>
              <w:rPr>
                <w:rFonts w:hint="eastAsia" w:ascii="宋体" w:hAnsi="宋体" w:cs="宋体"/>
                <w:szCs w:val="21"/>
              </w:rPr>
              <w:t>时间：递交投标文件截止之日15日前</w:t>
            </w:r>
          </w:p>
          <w:p>
            <w:pPr>
              <w:snapToGrid w:val="0"/>
              <w:jc w:val="left"/>
              <w:textAlignment w:val="baseline"/>
              <w:rPr>
                <w:rFonts w:ascii="宋体" w:hAnsi="宋体" w:cs="宋体"/>
                <w:szCs w:val="21"/>
              </w:rPr>
            </w:pPr>
            <w:r>
              <w:rPr>
                <w:rFonts w:hint="eastAsia" w:ascii="宋体" w:hAnsi="宋体" w:cs="宋体"/>
                <w:szCs w:val="21"/>
              </w:rPr>
              <w:t>形式：交易平台书面澄清</w:t>
            </w:r>
          </w:p>
        </w:tc>
      </w:tr>
      <w:tr>
        <w:tblPrEx>
          <w:tblCellMar>
            <w:top w:w="0" w:type="dxa"/>
            <w:left w:w="108" w:type="dxa"/>
            <w:bottom w:w="0" w:type="dxa"/>
            <w:right w:w="108" w:type="dxa"/>
          </w:tblCellMar>
        </w:tblPrEx>
        <w:trPr>
          <w:trHeight w:val="567" w:hRule="atLeast"/>
          <w:jc w:val="center"/>
        </w:trPr>
        <w:tc>
          <w:tcPr>
            <w:tcW w:w="1073" w:type="dxa"/>
            <w:tcBorders>
              <w:top w:val="single" w:color="auto" w:sz="4" w:space="0"/>
              <w:left w:val="single" w:color="auto" w:sz="4" w:space="0"/>
              <w:bottom w:val="single" w:color="auto" w:sz="4" w:space="0"/>
              <w:right w:val="single" w:color="auto" w:sz="4" w:space="0"/>
            </w:tcBorders>
            <w:vAlign w:val="center"/>
          </w:tcPr>
          <w:p>
            <w:pPr>
              <w:snapToGrid w:val="0"/>
              <w:jc w:val="center"/>
              <w:textAlignment w:val="baseline"/>
              <w:rPr>
                <w:rFonts w:ascii="宋体" w:hAnsi="宋体" w:cs="宋体"/>
                <w:szCs w:val="21"/>
              </w:rPr>
            </w:pPr>
            <w:r>
              <w:rPr>
                <w:rFonts w:hint="eastAsia" w:ascii="宋体" w:hAnsi="宋体" w:cs="宋体"/>
                <w:szCs w:val="21"/>
              </w:rPr>
              <w:t>1.11</w:t>
            </w:r>
          </w:p>
        </w:tc>
        <w:tc>
          <w:tcPr>
            <w:tcW w:w="193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rFonts w:ascii="宋体" w:hAnsi="宋体" w:cs="宋体"/>
                <w:szCs w:val="21"/>
              </w:rPr>
            </w:pPr>
            <w:r>
              <w:rPr>
                <w:rFonts w:hint="eastAsia" w:ascii="宋体" w:hAnsi="宋体" w:cs="宋体"/>
                <w:szCs w:val="21"/>
              </w:rPr>
              <w:t>分包</w:t>
            </w:r>
          </w:p>
        </w:tc>
        <w:tc>
          <w:tcPr>
            <w:tcW w:w="6250" w:type="dxa"/>
            <w:tcBorders>
              <w:top w:val="single" w:color="auto" w:sz="4" w:space="0"/>
              <w:left w:val="single" w:color="auto" w:sz="4" w:space="0"/>
              <w:bottom w:val="single" w:color="auto" w:sz="4" w:space="0"/>
              <w:right w:val="single" w:color="auto" w:sz="4" w:space="0"/>
            </w:tcBorders>
            <w:vAlign w:val="center"/>
          </w:tcPr>
          <w:p>
            <w:pPr>
              <w:pStyle w:val="65"/>
              <w:wordWrap w:val="0"/>
              <w:rPr>
                <w:szCs w:val="21"/>
              </w:rPr>
            </w:pPr>
            <w:r>
              <w:rPr>
                <w:rFonts w:hint="eastAsia"/>
                <w:szCs w:val="21"/>
              </w:rPr>
              <w:sym w:font="Wingdings" w:char="00FE"/>
            </w:r>
            <w:r>
              <w:rPr>
                <w:rFonts w:hint="eastAsia"/>
                <w:szCs w:val="21"/>
              </w:rPr>
              <w:t>不允许</w:t>
            </w:r>
          </w:p>
          <w:p>
            <w:pPr>
              <w:wordWrap w:val="0"/>
              <w:rPr>
                <w:rFonts w:ascii="宋体" w:hAnsi="宋体" w:cs="宋体"/>
                <w:szCs w:val="21"/>
              </w:rPr>
            </w:pPr>
            <w:r>
              <w:rPr>
                <w:rFonts w:hint="eastAsia" w:ascii="宋体" w:hAnsi="宋体" w:cs="宋体"/>
                <w:szCs w:val="21"/>
              </w:rPr>
              <w:sym w:font="Wingdings" w:char="00A8"/>
            </w:r>
            <w:r>
              <w:rPr>
                <w:rFonts w:hint="eastAsia" w:ascii="宋体" w:hAnsi="宋体" w:cs="宋体"/>
                <w:szCs w:val="21"/>
              </w:rPr>
              <w:t>允许</w:t>
            </w:r>
          </w:p>
        </w:tc>
      </w:tr>
      <w:tr>
        <w:tblPrEx>
          <w:tblCellMar>
            <w:top w:w="0" w:type="dxa"/>
            <w:left w:w="108" w:type="dxa"/>
            <w:bottom w:w="0" w:type="dxa"/>
            <w:right w:w="108" w:type="dxa"/>
          </w:tblCellMar>
        </w:tblPrEx>
        <w:trPr>
          <w:trHeight w:val="567" w:hRule="atLeast"/>
          <w:jc w:val="center"/>
        </w:trPr>
        <w:tc>
          <w:tcPr>
            <w:tcW w:w="1073" w:type="dxa"/>
            <w:tcBorders>
              <w:top w:val="single" w:color="auto" w:sz="4" w:space="0"/>
              <w:left w:val="single" w:color="auto" w:sz="4" w:space="0"/>
              <w:bottom w:val="single" w:color="auto" w:sz="4" w:space="0"/>
              <w:right w:val="single" w:color="auto" w:sz="4" w:space="0"/>
            </w:tcBorders>
            <w:vAlign w:val="center"/>
          </w:tcPr>
          <w:p>
            <w:pPr>
              <w:snapToGrid w:val="0"/>
              <w:jc w:val="center"/>
              <w:textAlignment w:val="baseline"/>
              <w:rPr>
                <w:rFonts w:ascii="宋体" w:hAnsi="宋体" w:cs="宋体"/>
                <w:szCs w:val="21"/>
              </w:rPr>
            </w:pPr>
            <w:r>
              <w:rPr>
                <w:rFonts w:hint="eastAsia" w:ascii="宋体" w:hAnsi="宋体" w:cs="宋体"/>
                <w:szCs w:val="21"/>
              </w:rPr>
              <w:t>1.12</w:t>
            </w:r>
          </w:p>
        </w:tc>
        <w:tc>
          <w:tcPr>
            <w:tcW w:w="1937" w:type="dxa"/>
            <w:tcBorders>
              <w:top w:val="single" w:color="auto" w:sz="4" w:space="0"/>
              <w:left w:val="single" w:color="auto" w:sz="4" w:space="0"/>
              <w:bottom w:val="single" w:color="auto" w:sz="4" w:space="0"/>
              <w:right w:val="single" w:color="auto" w:sz="4" w:space="0"/>
            </w:tcBorders>
            <w:vAlign w:val="center"/>
          </w:tcPr>
          <w:p>
            <w:pPr>
              <w:snapToGrid w:val="0"/>
              <w:jc w:val="center"/>
              <w:textAlignment w:val="baseline"/>
              <w:rPr>
                <w:rFonts w:ascii="宋体" w:hAnsi="宋体" w:cs="宋体"/>
                <w:szCs w:val="21"/>
              </w:rPr>
            </w:pPr>
            <w:r>
              <w:rPr>
                <w:rFonts w:hint="eastAsia" w:ascii="宋体" w:hAnsi="宋体" w:cs="宋体"/>
                <w:szCs w:val="21"/>
              </w:rPr>
              <w:t>偏离</w:t>
            </w:r>
          </w:p>
        </w:tc>
        <w:tc>
          <w:tcPr>
            <w:tcW w:w="6250" w:type="dxa"/>
            <w:tcBorders>
              <w:top w:val="single" w:color="auto" w:sz="4" w:space="0"/>
              <w:left w:val="single" w:color="auto" w:sz="4" w:space="0"/>
              <w:bottom w:val="single" w:color="auto" w:sz="4" w:space="0"/>
              <w:right w:val="single" w:color="auto" w:sz="4" w:space="0"/>
            </w:tcBorders>
            <w:vAlign w:val="center"/>
          </w:tcPr>
          <w:p>
            <w:pPr>
              <w:pStyle w:val="65"/>
              <w:wordWrap w:val="0"/>
              <w:rPr>
                <w:szCs w:val="21"/>
              </w:rPr>
            </w:pPr>
            <w:r>
              <w:rPr>
                <w:rFonts w:hint="eastAsia"/>
                <w:szCs w:val="21"/>
              </w:rPr>
              <w:sym w:font="Wingdings" w:char="00FE"/>
            </w:r>
            <w:r>
              <w:rPr>
                <w:rFonts w:hint="eastAsia"/>
                <w:szCs w:val="21"/>
              </w:rPr>
              <w:t>不允许</w:t>
            </w:r>
          </w:p>
          <w:p>
            <w:pPr>
              <w:wordWrap w:val="0"/>
              <w:rPr>
                <w:rFonts w:ascii="宋体" w:hAnsi="宋体" w:cs="宋体"/>
                <w:szCs w:val="21"/>
              </w:rPr>
            </w:pPr>
            <w:r>
              <w:rPr>
                <w:rFonts w:hint="eastAsia" w:ascii="宋体" w:hAnsi="宋体" w:cs="宋体"/>
                <w:szCs w:val="21"/>
              </w:rPr>
              <w:t>出现下列重大偏离的按废标处理：</w:t>
            </w:r>
          </w:p>
          <w:p>
            <w:pPr>
              <w:wordWrap w:val="0"/>
              <w:rPr>
                <w:rFonts w:ascii="宋体" w:hAnsi="宋体" w:cs="宋体"/>
                <w:szCs w:val="21"/>
              </w:rPr>
            </w:pPr>
            <w:r>
              <w:rPr>
                <w:rFonts w:hint="eastAsia" w:ascii="宋体" w:hAnsi="宋体" w:cs="宋体"/>
                <w:szCs w:val="21"/>
              </w:rPr>
              <w:t>1、未能通过投标人须知前附表1.4.1款资格审查的；</w:t>
            </w:r>
          </w:p>
          <w:p>
            <w:pPr>
              <w:wordWrap w:val="0"/>
              <w:rPr>
                <w:rFonts w:ascii="宋体" w:hAnsi="宋体" w:cs="宋体"/>
                <w:szCs w:val="21"/>
              </w:rPr>
            </w:pPr>
            <w:r>
              <w:rPr>
                <w:rFonts w:hint="eastAsia" w:ascii="宋体" w:hAnsi="宋体" w:cs="宋体"/>
                <w:szCs w:val="21"/>
              </w:rPr>
              <w:t>2、投标人存在第二章投标须知正文中第1.4.3项情形之一的；</w:t>
            </w:r>
          </w:p>
          <w:p>
            <w:pPr>
              <w:wordWrap w:val="0"/>
              <w:rPr>
                <w:rFonts w:ascii="宋体" w:hAnsi="宋体" w:cs="宋体"/>
                <w:szCs w:val="21"/>
              </w:rPr>
            </w:pPr>
            <w:r>
              <w:rPr>
                <w:rFonts w:hint="eastAsia" w:ascii="宋体" w:hAnsi="宋体" w:cs="宋体"/>
                <w:szCs w:val="21"/>
              </w:rPr>
              <w:t>3、投标人未按本章投标须知正文中第3.4.1项要求提交投标保证金的；</w:t>
            </w:r>
          </w:p>
          <w:p>
            <w:pPr>
              <w:wordWrap w:val="0"/>
              <w:rPr>
                <w:rFonts w:ascii="宋体" w:hAnsi="宋体" w:cs="宋体"/>
                <w:szCs w:val="21"/>
              </w:rPr>
            </w:pPr>
            <w:r>
              <w:rPr>
                <w:rFonts w:hint="eastAsia" w:ascii="宋体" w:hAnsi="宋体" w:cs="宋体"/>
                <w:szCs w:val="21"/>
              </w:rPr>
              <w:t>4、投标人存在第二章投标须知正文中第3.4.3项情形之一的投标保证金将不予退还；</w:t>
            </w:r>
          </w:p>
          <w:p>
            <w:pPr>
              <w:wordWrap w:val="0"/>
              <w:rPr>
                <w:rFonts w:ascii="宋体" w:hAnsi="宋体" w:cs="宋体"/>
                <w:szCs w:val="21"/>
              </w:rPr>
            </w:pPr>
            <w:r>
              <w:rPr>
                <w:rFonts w:hint="eastAsia" w:ascii="宋体" w:hAnsi="宋体" w:cs="宋体"/>
                <w:szCs w:val="21"/>
              </w:rPr>
              <w:t>5、投标人未按第二章第4.1.1、4.1.2项要求上传的投标文件，招标人不予受理；</w:t>
            </w:r>
          </w:p>
          <w:p>
            <w:pPr>
              <w:wordWrap w:val="0"/>
              <w:rPr>
                <w:rFonts w:ascii="宋体" w:hAnsi="宋体" w:cs="宋体"/>
                <w:szCs w:val="21"/>
              </w:rPr>
            </w:pPr>
            <w:r>
              <w:rPr>
                <w:rFonts w:hint="eastAsia" w:ascii="宋体" w:hAnsi="宋体" w:cs="宋体"/>
                <w:szCs w:val="21"/>
              </w:rPr>
              <w:t>6、投标人存在逾期上传或者未按要求解密投标文件的，招标人不予受理；</w:t>
            </w:r>
          </w:p>
          <w:p>
            <w:pPr>
              <w:wordWrap w:val="0"/>
              <w:rPr>
                <w:rFonts w:ascii="宋体" w:hAnsi="宋体" w:cs="宋体"/>
                <w:szCs w:val="21"/>
              </w:rPr>
            </w:pPr>
            <w:r>
              <w:rPr>
                <w:rFonts w:hint="eastAsia" w:ascii="宋体" w:hAnsi="宋体" w:cs="宋体"/>
                <w:szCs w:val="21"/>
              </w:rPr>
              <w:t>7、投标人提供虚假资料的将取消其投标资格或中标资格；</w:t>
            </w:r>
          </w:p>
          <w:p>
            <w:pPr>
              <w:wordWrap w:val="0"/>
              <w:rPr>
                <w:rFonts w:ascii="宋体" w:hAnsi="宋体" w:cs="宋体"/>
                <w:szCs w:val="21"/>
              </w:rPr>
            </w:pPr>
            <w:r>
              <w:rPr>
                <w:rFonts w:hint="eastAsia" w:ascii="宋体" w:hAnsi="宋体" w:cs="宋体"/>
                <w:szCs w:val="21"/>
              </w:rPr>
              <w:t>8、投标文件没有投标人法定代表人或其委托代理人签字或加盖公章的；</w:t>
            </w:r>
          </w:p>
          <w:p>
            <w:pPr>
              <w:wordWrap w:val="0"/>
              <w:rPr>
                <w:rFonts w:ascii="宋体" w:hAnsi="宋体" w:cs="宋体"/>
                <w:szCs w:val="21"/>
              </w:rPr>
            </w:pPr>
            <w:r>
              <w:rPr>
                <w:rFonts w:hint="eastAsia" w:ascii="宋体" w:hAnsi="宋体" w:cs="宋体"/>
                <w:szCs w:val="21"/>
              </w:rPr>
              <w:t>9、以他人名义投标或采取不正当手段谋取中标的；</w:t>
            </w:r>
          </w:p>
          <w:p>
            <w:pPr>
              <w:wordWrap w:val="0"/>
              <w:rPr>
                <w:rFonts w:ascii="宋体" w:hAnsi="宋体" w:cs="宋体"/>
                <w:szCs w:val="21"/>
              </w:rPr>
            </w:pPr>
            <w:r>
              <w:rPr>
                <w:rFonts w:hint="eastAsia" w:ascii="宋体" w:hAnsi="宋体" w:cs="宋体"/>
                <w:szCs w:val="21"/>
              </w:rPr>
              <w:t>10、未按规定格式填写投标文件、内容不全或关键字迹模糊、无法判别的；</w:t>
            </w:r>
          </w:p>
          <w:p>
            <w:pPr>
              <w:wordWrap w:val="0"/>
              <w:rPr>
                <w:rFonts w:ascii="宋体" w:hAnsi="宋体" w:cs="宋体"/>
                <w:szCs w:val="21"/>
              </w:rPr>
            </w:pPr>
            <w:r>
              <w:rPr>
                <w:rFonts w:hint="eastAsia" w:ascii="宋体" w:hAnsi="宋体" w:cs="宋体"/>
                <w:szCs w:val="21"/>
              </w:rPr>
              <w:t>11、投标人递交两份或多份内容不同的投标文件，或在一份投标文件中对同一招标项目报有两个或多个报价、且未声明哪个有效的；</w:t>
            </w:r>
          </w:p>
          <w:p>
            <w:pPr>
              <w:wordWrap w:val="0"/>
              <w:rPr>
                <w:rFonts w:ascii="宋体" w:hAnsi="宋体" w:cs="宋体"/>
                <w:szCs w:val="21"/>
              </w:rPr>
            </w:pPr>
            <w:r>
              <w:rPr>
                <w:rFonts w:hint="eastAsia" w:ascii="宋体" w:hAnsi="宋体" w:cs="宋体"/>
                <w:szCs w:val="21"/>
              </w:rPr>
              <w:t>12、因加密电子投标文件未能成功上传或误传等自身原因而导致的解密失败,投标将被拒绝；</w:t>
            </w:r>
          </w:p>
          <w:p>
            <w:pPr>
              <w:wordWrap w:val="0"/>
              <w:rPr>
                <w:rFonts w:ascii="宋体" w:hAnsi="宋体" w:cs="宋体"/>
                <w:szCs w:val="21"/>
              </w:rPr>
            </w:pPr>
            <w:r>
              <w:rPr>
                <w:rFonts w:hint="eastAsia" w:ascii="宋体" w:hAnsi="宋体" w:cs="宋体"/>
                <w:szCs w:val="21"/>
              </w:rPr>
              <w:t>13、评标过程中，如有投标人存在“投标文件制作机器码一致”，则视其投标无效。</w:t>
            </w:r>
          </w:p>
          <w:p>
            <w:pPr>
              <w:wordWrap w:val="0"/>
              <w:rPr>
                <w:rFonts w:ascii="宋体" w:hAnsi="宋体" w:cs="宋体"/>
                <w:szCs w:val="21"/>
              </w:rPr>
            </w:pPr>
            <w:r>
              <w:rPr>
                <w:rFonts w:hint="eastAsia" w:ascii="宋体" w:hAnsi="宋体" w:cs="宋体"/>
                <w:b/>
                <w:bCs/>
                <w:szCs w:val="21"/>
              </w:rPr>
              <w:t xml:space="preserve">备注：凡出现上述规定情形之一的视为重大偏差作废标处理，其他偏差均视为细微偏差不作废标处理。  </w:t>
            </w:r>
            <w:r>
              <w:rPr>
                <w:rFonts w:hint="eastAsia" w:ascii="宋体" w:hAnsi="宋体" w:cs="宋体"/>
                <w:szCs w:val="21"/>
              </w:rPr>
              <w:t xml:space="preserve">         </w:t>
            </w:r>
            <w:r>
              <w:rPr>
                <w:rFonts w:hint="eastAsia" w:ascii="宋体" w:hAnsi="宋体" w:cs="宋体"/>
                <w:szCs w:val="21"/>
              </w:rPr>
              <w:tab/>
            </w:r>
          </w:p>
        </w:tc>
      </w:tr>
      <w:tr>
        <w:tblPrEx>
          <w:tblCellMar>
            <w:top w:w="0" w:type="dxa"/>
            <w:left w:w="108" w:type="dxa"/>
            <w:bottom w:w="0" w:type="dxa"/>
            <w:right w:w="108" w:type="dxa"/>
          </w:tblCellMar>
        </w:tblPrEx>
        <w:trPr>
          <w:trHeight w:val="1579" w:hRule="atLeast"/>
          <w:jc w:val="center"/>
        </w:trPr>
        <w:tc>
          <w:tcPr>
            <w:tcW w:w="1073" w:type="dxa"/>
            <w:tcBorders>
              <w:top w:val="single" w:color="auto" w:sz="4" w:space="0"/>
              <w:left w:val="single" w:color="auto" w:sz="4" w:space="0"/>
              <w:bottom w:val="single" w:color="auto" w:sz="4" w:space="0"/>
              <w:right w:val="single" w:color="auto" w:sz="4" w:space="0"/>
            </w:tcBorders>
            <w:vAlign w:val="center"/>
          </w:tcPr>
          <w:p>
            <w:pPr>
              <w:snapToGrid w:val="0"/>
              <w:jc w:val="center"/>
              <w:textAlignment w:val="baseline"/>
              <w:rPr>
                <w:rFonts w:ascii="宋体" w:hAnsi="宋体" w:cs="宋体"/>
                <w:szCs w:val="21"/>
              </w:rPr>
            </w:pPr>
            <w:r>
              <w:rPr>
                <w:rFonts w:hint="eastAsia" w:ascii="宋体" w:hAnsi="宋体" w:cs="宋体"/>
                <w:szCs w:val="21"/>
              </w:rPr>
              <w:t>2.1</w:t>
            </w:r>
          </w:p>
        </w:tc>
        <w:tc>
          <w:tcPr>
            <w:tcW w:w="1937" w:type="dxa"/>
            <w:tcBorders>
              <w:top w:val="single" w:color="auto" w:sz="4" w:space="0"/>
              <w:left w:val="single" w:color="auto" w:sz="4" w:space="0"/>
              <w:bottom w:val="single" w:color="auto" w:sz="4" w:space="0"/>
              <w:right w:val="single" w:color="auto" w:sz="4" w:space="0"/>
            </w:tcBorders>
            <w:vAlign w:val="center"/>
          </w:tcPr>
          <w:p>
            <w:pPr>
              <w:snapToGrid w:val="0"/>
              <w:jc w:val="center"/>
              <w:textAlignment w:val="baseline"/>
              <w:rPr>
                <w:rFonts w:ascii="宋体" w:hAnsi="宋体" w:cs="宋体"/>
                <w:szCs w:val="21"/>
              </w:rPr>
            </w:pPr>
            <w:r>
              <w:rPr>
                <w:rFonts w:hint="eastAsia" w:ascii="宋体" w:hAnsi="宋体" w:cs="宋体"/>
                <w:szCs w:val="21"/>
              </w:rPr>
              <w:t>构成招标文件的其他资料</w:t>
            </w:r>
          </w:p>
        </w:tc>
        <w:tc>
          <w:tcPr>
            <w:tcW w:w="6250" w:type="dxa"/>
            <w:tcBorders>
              <w:top w:val="single" w:color="auto" w:sz="4" w:space="0"/>
              <w:left w:val="single" w:color="auto" w:sz="4" w:space="0"/>
              <w:bottom w:val="single" w:color="auto" w:sz="4" w:space="0"/>
              <w:right w:val="single" w:color="auto" w:sz="4" w:space="0"/>
            </w:tcBorders>
            <w:vAlign w:val="center"/>
          </w:tcPr>
          <w:p>
            <w:pPr>
              <w:wordWrap w:val="0"/>
              <w:rPr>
                <w:rFonts w:ascii="宋体" w:hAnsi="宋体" w:cs="宋体"/>
                <w:szCs w:val="21"/>
              </w:rPr>
            </w:pPr>
            <w:r>
              <w:rPr>
                <w:rFonts w:hint="eastAsia" w:ascii="宋体" w:hAnsi="宋体" w:cs="宋体"/>
                <w:szCs w:val="21"/>
              </w:rPr>
              <w:t>招标人在招标期间发出的招标文件补充文件、澄清、修改、答疑和其他有效正式函件，招标文件的澄清、修改、答疑或补充文件的内容均以网站发布的内容为准。招标文件的澄清、修改、答疑或补充文件在解释顺序方面优于该类文件之前的文件。当招标文件及其澄清、修改、答疑或补充文件对同一内容表述不一致时，以最后发出的网站内容为准。</w:t>
            </w:r>
          </w:p>
        </w:tc>
      </w:tr>
      <w:tr>
        <w:tblPrEx>
          <w:tblCellMar>
            <w:top w:w="0" w:type="dxa"/>
            <w:left w:w="108" w:type="dxa"/>
            <w:bottom w:w="0" w:type="dxa"/>
            <w:right w:w="108" w:type="dxa"/>
          </w:tblCellMar>
        </w:tblPrEx>
        <w:trPr>
          <w:trHeight w:val="567" w:hRule="atLeast"/>
          <w:jc w:val="center"/>
        </w:trPr>
        <w:tc>
          <w:tcPr>
            <w:tcW w:w="1073" w:type="dxa"/>
            <w:tcBorders>
              <w:top w:val="single" w:color="auto" w:sz="4" w:space="0"/>
              <w:left w:val="single" w:color="auto" w:sz="4" w:space="0"/>
              <w:bottom w:val="single" w:color="auto" w:sz="4" w:space="0"/>
              <w:right w:val="single" w:color="auto" w:sz="4" w:space="0"/>
            </w:tcBorders>
            <w:vAlign w:val="center"/>
          </w:tcPr>
          <w:p>
            <w:pPr>
              <w:snapToGrid w:val="0"/>
              <w:jc w:val="center"/>
              <w:textAlignment w:val="baseline"/>
              <w:rPr>
                <w:rFonts w:ascii="宋体" w:hAnsi="宋体" w:cs="宋体"/>
                <w:szCs w:val="21"/>
              </w:rPr>
            </w:pPr>
            <w:r>
              <w:rPr>
                <w:rFonts w:hint="eastAsia" w:ascii="宋体" w:hAnsi="宋体" w:cs="宋体"/>
                <w:szCs w:val="21"/>
              </w:rPr>
              <w:t>2.2.1</w:t>
            </w:r>
          </w:p>
        </w:tc>
        <w:tc>
          <w:tcPr>
            <w:tcW w:w="1937" w:type="dxa"/>
            <w:tcBorders>
              <w:top w:val="single" w:color="auto" w:sz="4" w:space="0"/>
              <w:left w:val="single" w:color="auto" w:sz="4" w:space="0"/>
              <w:bottom w:val="single" w:color="auto" w:sz="4" w:space="0"/>
              <w:right w:val="single" w:color="auto" w:sz="4" w:space="0"/>
            </w:tcBorders>
            <w:vAlign w:val="center"/>
          </w:tcPr>
          <w:p>
            <w:pPr>
              <w:wordWrap w:val="0"/>
              <w:jc w:val="center"/>
              <w:rPr>
                <w:rFonts w:ascii="宋体" w:hAnsi="宋体" w:cs="宋体"/>
                <w:szCs w:val="21"/>
              </w:rPr>
            </w:pPr>
            <w:r>
              <w:rPr>
                <w:rFonts w:hint="eastAsia" w:ascii="宋体" w:hAnsi="宋体" w:cs="宋体"/>
                <w:szCs w:val="21"/>
              </w:rPr>
              <w:t>投标人要求澄清招标文件的截止时间</w:t>
            </w:r>
          </w:p>
        </w:tc>
        <w:tc>
          <w:tcPr>
            <w:tcW w:w="6250" w:type="dxa"/>
            <w:tcBorders>
              <w:top w:val="single" w:color="auto" w:sz="4" w:space="0"/>
              <w:left w:val="single" w:color="auto" w:sz="4" w:space="0"/>
              <w:bottom w:val="single" w:color="auto" w:sz="4" w:space="0"/>
              <w:right w:val="single" w:color="auto" w:sz="4" w:space="0"/>
            </w:tcBorders>
            <w:vAlign w:val="center"/>
          </w:tcPr>
          <w:p>
            <w:pPr>
              <w:wordWrap w:val="0"/>
              <w:rPr>
                <w:rFonts w:ascii="宋体" w:hAnsi="宋体" w:cs="宋体"/>
                <w:szCs w:val="21"/>
              </w:rPr>
            </w:pPr>
            <w:r>
              <w:rPr>
                <w:rFonts w:hint="eastAsia" w:ascii="宋体" w:hAnsi="宋体" w:cs="宋体"/>
                <w:szCs w:val="21"/>
              </w:rPr>
              <w:t>投标截止时间15天前</w:t>
            </w:r>
          </w:p>
        </w:tc>
      </w:tr>
      <w:tr>
        <w:tblPrEx>
          <w:tblCellMar>
            <w:top w:w="0" w:type="dxa"/>
            <w:left w:w="108" w:type="dxa"/>
            <w:bottom w:w="0" w:type="dxa"/>
            <w:right w:w="108" w:type="dxa"/>
          </w:tblCellMar>
        </w:tblPrEx>
        <w:trPr>
          <w:trHeight w:val="567" w:hRule="atLeast"/>
          <w:jc w:val="center"/>
        </w:trPr>
        <w:tc>
          <w:tcPr>
            <w:tcW w:w="1073" w:type="dxa"/>
            <w:tcBorders>
              <w:top w:val="single" w:color="auto" w:sz="4" w:space="0"/>
              <w:left w:val="single" w:color="auto" w:sz="4" w:space="0"/>
              <w:bottom w:val="single" w:color="auto" w:sz="4" w:space="0"/>
              <w:right w:val="single" w:color="auto" w:sz="4" w:space="0"/>
            </w:tcBorders>
            <w:vAlign w:val="center"/>
          </w:tcPr>
          <w:p>
            <w:pPr>
              <w:snapToGrid w:val="0"/>
              <w:jc w:val="center"/>
              <w:textAlignment w:val="baseline"/>
              <w:rPr>
                <w:rFonts w:ascii="宋体" w:hAnsi="宋体" w:cs="宋体"/>
                <w:szCs w:val="21"/>
              </w:rPr>
            </w:pPr>
            <w:r>
              <w:rPr>
                <w:rFonts w:hint="eastAsia" w:ascii="宋体" w:hAnsi="宋体" w:cs="宋体"/>
                <w:szCs w:val="21"/>
              </w:rPr>
              <w:t>2.2.2</w:t>
            </w:r>
          </w:p>
        </w:tc>
        <w:tc>
          <w:tcPr>
            <w:tcW w:w="1937" w:type="dxa"/>
            <w:tcBorders>
              <w:top w:val="single" w:color="auto" w:sz="4" w:space="0"/>
              <w:left w:val="single" w:color="auto" w:sz="4" w:space="0"/>
              <w:bottom w:val="single" w:color="auto" w:sz="4" w:space="0"/>
              <w:right w:val="single" w:color="auto" w:sz="4" w:space="0"/>
            </w:tcBorders>
            <w:vAlign w:val="center"/>
          </w:tcPr>
          <w:p>
            <w:pPr>
              <w:snapToGrid w:val="0"/>
              <w:jc w:val="center"/>
              <w:textAlignment w:val="baseline"/>
              <w:rPr>
                <w:rFonts w:ascii="宋体" w:hAnsi="宋体" w:cs="宋体"/>
                <w:color w:val="auto"/>
                <w:szCs w:val="21"/>
              </w:rPr>
            </w:pPr>
            <w:r>
              <w:rPr>
                <w:rFonts w:hint="eastAsia" w:ascii="宋体" w:hAnsi="宋体" w:cs="宋体"/>
                <w:color w:val="auto"/>
                <w:szCs w:val="21"/>
              </w:rPr>
              <w:t>投标截止时间</w:t>
            </w:r>
          </w:p>
        </w:tc>
        <w:tc>
          <w:tcPr>
            <w:tcW w:w="6250" w:type="dxa"/>
            <w:tcBorders>
              <w:top w:val="single" w:color="auto" w:sz="4" w:space="0"/>
              <w:left w:val="single" w:color="auto" w:sz="4" w:space="0"/>
              <w:bottom w:val="single" w:color="auto" w:sz="4" w:space="0"/>
              <w:right w:val="single" w:color="auto" w:sz="4" w:space="0"/>
            </w:tcBorders>
            <w:vAlign w:val="center"/>
          </w:tcPr>
          <w:p>
            <w:pPr>
              <w:snapToGrid w:val="0"/>
              <w:textAlignment w:val="baseline"/>
              <w:rPr>
                <w:rFonts w:ascii="宋体" w:hAnsi="宋体" w:cs="宋体"/>
                <w:color w:val="auto"/>
                <w:szCs w:val="21"/>
              </w:rPr>
            </w:pPr>
            <w:r>
              <w:rPr>
                <w:rFonts w:hint="eastAsia" w:ascii="宋体" w:hAnsi="宋体" w:cs="宋体"/>
                <w:color w:val="auto"/>
                <w:szCs w:val="21"/>
                <w:highlight w:val="none"/>
                <w:lang w:eastAsia="zh-CN"/>
              </w:rPr>
              <w:t>2024</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10</w:t>
            </w:r>
            <w:r>
              <w:rPr>
                <w:rFonts w:hint="eastAsia" w:ascii="宋体" w:hAnsi="宋体" w:cs="宋体"/>
                <w:color w:val="auto"/>
                <w:szCs w:val="21"/>
                <w:highlight w:val="none"/>
              </w:rPr>
              <w:t>日9时00分</w:t>
            </w:r>
          </w:p>
        </w:tc>
      </w:tr>
      <w:tr>
        <w:tblPrEx>
          <w:tblCellMar>
            <w:top w:w="0" w:type="dxa"/>
            <w:left w:w="108" w:type="dxa"/>
            <w:bottom w:w="0" w:type="dxa"/>
            <w:right w:w="108" w:type="dxa"/>
          </w:tblCellMar>
        </w:tblPrEx>
        <w:trPr>
          <w:trHeight w:val="567" w:hRule="atLeast"/>
          <w:jc w:val="center"/>
        </w:trPr>
        <w:tc>
          <w:tcPr>
            <w:tcW w:w="1073" w:type="dxa"/>
            <w:tcBorders>
              <w:top w:val="single" w:color="auto" w:sz="4" w:space="0"/>
              <w:left w:val="single" w:color="auto" w:sz="4" w:space="0"/>
              <w:bottom w:val="single" w:color="auto" w:sz="4" w:space="0"/>
              <w:right w:val="single" w:color="auto" w:sz="4" w:space="0"/>
            </w:tcBorders>
            <w:vAlign w:val="center"/>
          </w:tcPr>
          <w:p>
            <w:pPr>
              <w:snapToGrid w:val="0"/>
              <w:jc w:val="center"/>
              <w:textAlignment w:val="baseline"/>
              <w:rPr>
                <w:rFonts w:ascii="宋体" w:hAnsi="宋体" w:cs="宋体"/>
                <w:szCs w:val="21"/>
              </w:rPr>
            </w:pPr>
            <w:r>
              <w:rPr>
                <w:rFonts w:hint="eastAsia" w:ascii="宋体" w:hAnsi="宋体" w:cs="宋体"/>
                <w:szCs w:val="21"/>
              </w:rPr>
              <w:t>2.2.3</w:t>
            </w:r>
          </w:p>
        </w:tc>
        <w:tc>
          <w:tcPr>
            <w:tcW w:w="1937" w:type="dxa"/>
            <w:tcBorders>
              <w:top w:val="single" w:color="auto" w:sz="4" w:space="0"/>
              <w:left w:val="single" w:color="auto" w:sz="4" w:space="0"/>
              <w:bottom w:val="single" w:color="auto" w:sz="4" w:space="0"/>
              <w:right w:val="single" w:color="auto" w:sz="4" w:space="0"/>
            </w:tcBorders>
            <w:vAlign w:val="center"/>
          </w:tcPr>
          <w:p>
            <w:pPr>
              <w:snapToGrid w:val="0"/>
              <w:jc w:val="center"/>
              <w:textAlignment w:val="baseline"/>
              <w:rPr>
                <w:rFonts w:ascii="宋体" w:hAnsi="宋体" w:cs="宋体"/>
                <w:szCs w:val="21"/>
              </w:rPr>
            </w:pPr>
            <w:r>
              <w:rPr>
                <w:rFonts w:hint="eastAsia" w:ascii="宋体" w:hAnsi="宋体" w:cs="宋体"/>
                <w:szCs w:val="21"/>
              </w:rPr>
              <w:t>投标人确认收到招标文件澄清的时间</w:t>
            </w:r>
          </w:p>
        </w:tc>
        <w:tc>
          <w:tcPr>
            <w:tcW w:w="6250" w:type="dxa"/>
            <w:tcBorders>
              <w:top w:val="single" w:color="auto" w:sz="4" w:space="0"/>
              <w:left w:val="single" w:color="auto" w:sz="4" w:space="0"/>
              <w:bottom w:val="single" w:color="auto" w:sz="4" w:space="0"/>
              <w:right w:val="single" w:color="auto" w:sz="4" w:space="0"/>
            </w:tcBorders>
            <w:vAlign w:val="center"/>
          </w:tcPr>
          <w:p>
            <w:pPr>
              <w:snapToGrid w:val="0"/>
              <w:jc w:val="left"/>
              <w:textAlignment w:val="baseline"/>
              <w:rPr>
                <w:rFonts w:ascii="宋体" w:hAnsi="宋体" w:cs="宋体"/>
                <w:szCs w:val="21"/>
              </w:rPr>
            </w:pPr>
            <w:r>
              <w:rPr>
                <w:rFonts w:hint="eastAsia" w:ascii="宋体" w:hAnsi="宋体" w:cs="宋体"/>
                <w:szCs w:val="21"/>
              </w:rPr>
              <w:t>自招标文件澄清在相关网站发布起，即默认为投标人收到</w:t>
            </w:r>
          </w:p>
        </w:tc>
      </w:tr>
      <w:tr>
        <w:tblPrEx>
          <w:tblCellMar>
            <w:top w:w="0" w:type="dxa"/>
            <w:left w:w="108" w:type="dxa"/>
            <w:bottom w:w="0" w:type="dxa"/>
            <w:right w:w="108" w:type="dxa"/>
          </w:tblCellMar>
        </w:tblPrEx>
        <w:trPr>
          <w:trHeight w:val="567" w:hRule="atLeast"/>
          <w:jc w:val="center"/>
        </w:trPr>
        <w:tc>
          <w:tcPr>
            <w:tcW w:w="107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Cs w:val="21"/>
              </w:rPr>
            </w:pPr>
            <w:r>
              <w:rPr>
                <w:rFonts w:hint="eastAsia" w:ascii="宋体" w:hAnsi="宋体" w:cs="宋体"/>
                <w:szCs w:val="21"/>
              </w:rPr>
              <w:t>2.3.2</w:t>
            </w:r>
          </w:p>
        </w:tc>
        <w:tc>
          <w:tcPr>
            <w:tcW w:w="193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cs="宋体"/>
                <w:szCs w:val="21"/>
              </w:rPr>
            </w:pPr>
            <w:r>
              <w:rPr>
                <w:rFonts w:hint="eastAsia" w:ascii="宋体" w:hAnsi="宋体" w:cs="宋体"/>
                <w:szCs w:val="21"/>
              </w:rPr>
              <w:t>投标人确认收到招标文件修改的时间</w:t>
            </w:r>
          </w:p>
        </w:tc>
        <w:tc>
          <w:tcPr>
            <w:tcW w:w="6250" w:type="dxa"/>
            <w:tcBorders>
              <w:top w:val="single" w:color="auto" w:sz="4" w:space="0"/>
              <w:left w:val="single" w:color="auto" w:sz="4" w:space="0"/>
              <w:bottom w:val="single" w:color="auto" w:sz="4" w:space="0"/>
              <w:right w:val="single" w:color="auto" w:sz="4" w:space="0"/>
            </w:tcBorders>
            <w:vAlign w:val="center"/>
          </w:tcPr>
          <w:p>
            <w:pPr>
              <w:snapToGrid w:val="0"/>
              <w:jc w:val="left"/>
              <w:textAlignment w:val="baseline"/>
              <w:rPr>
                <w:rFonts w:ascii="宋体" w:hAnsi="宋体" w:cs="宋体"/>
                <w:szCs w:val="21"/>
              </w:rPr>
            </w:pPr>
            <w:r>
              <w:rPr>
                <w:rFonts w:hint="eastAsia" w:ascii="宋体" w:hAnsi="宋体" w:cs="宋体"/>
                <w:szCs w:val="21"/>
              </w:rPr>
              <w:t>自招标文件修改在相关网站发布起，即默认为投标人收到</w:t>
            </w:r>
          </w:p>
        </w:tc>
      </w:tr>
      <w:tr>
        <w:tblPrEx>
          <w:tblCellMar>
            <w:top w:w="0" w:type="dxa"/>
            <w:left w:w="108" w:type="dxa"/>
            <w:bottom w:w="0" w:type="dxa"/>
            <w:right w:w="108" w:type="dxa"/>
          </w:tblCellMar>
        </w:tblPrEx>
        <w:trPr>
          <w:trHeight w:val="567" w:hRule="atLeast"/>
          <w:jc w:val="center"/>
        </w:trPr>
        <w:tc>
          <w:tcPr>
            <w:tcW w:w="1073"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210" w:firstLineChars="100"/>
              <w:rPr>
                <w:rFonts w:ascii="宋体" w:hAnsi="宋体" w:cs="宋体"/>
                <w:szCs w:val="21"/>
              </w:rPr>
            </w:pPr>
            <w:r>
              <w:rPr>
                <w:rFonts w:hint="eastAsia" w:ascii="宋体" w:hAnsi="宋体" w:cs="宋体"/>
                <w:szCs w:val="21"/>
              </w:rPr>
              <w:t>3.2</w:t>
            </w:r>
          </w:p>
        </w:tc>
        <w:tc>
          <w:tcPr>
            <w:tcW w:w="193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cs="宋体"/>
                <w:szCs w:val="21"/>
              </w:rPr>
            </w:pPr>
            <w:r>
              <w:rPr>
                <w:rFonts w:hint="eastAsia" w:ascii="宋体" w:hAnsi="宋体" w:cs="宋体"/>
                <w:szCs w:val="21"/>
              </w:rPr>
              <w:t>投标报价</w:t>
            </w:r>
          </w:p>
        </w:tc>
        <w:tc>
          <w:tcPr>
            <w:tcW w:w="6250"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投标人应按第六章“投标文件格式”的要求填写价格。</w:t>
            </w:r>
          </w:p>
        </w:tc>
      </w:tr>
      <w:tr>
        <w:tblPrEx>
          <w:tblCellMar>
            <w:top w:w="0" w:type="dxa"/>
            <w:left w:w="108" w:type="dxa"/>
            <w:bottom w:w="0" w:type="dxa"/>
            <w:right w:w="108" w:type="dxa"/>
          </w:tblCellMar>
        </w:tblPrEx>
        <w:trPr>
          <w:trHeight w:val="567" w:hRule="atLeast"/>
          <w:jc w:val="center"/>
        </w:trPr>
        <w:tc>
          <w:tcPr>
            <w:tcW w:w="1073" w:type="dxa"/>
            <w:tcBorders>
              <w:top w:val="single" w:color="auto" w:sz="4" w:space="0"/>
              <w:left w:val="single" w:color="auto" w:sz="4" w:space="0"/>
              <w:bottom w:val="single" w:color="auto" w:sz="4" w:space="0"/>
              <w:right w:val="single" w:color="auto" w:sz="4" w:space="0"/>
            </w:tcBorders>
            <w:vAlign w:val="center"/>
          </w:tcPr>
          <w:p>
            <w:pPr>
              <w:pStyle w:val="65"/>
              <w:kinsoku w:val="0"/>
              <w:overflowPunct w:val="0"/>
              <w:topLinePunct/>
              <w:snapToGrid w:val="0"/>
              <w:jc w:val="center"/>
              <w:rPr>
                <w:szCs w:val="21"/>
              </w:rPr>
            </w:pPr>
            <w:r>
              <w:rPr>
                <w:rFonts w:hint="eastAsia"/>
                <w:szCs w:val="21"/>
              </w:rPr>
              <w:t>3.2.3</w:t>
            </w:r>
          </w:p>
        </w:tc>
        <w:tc>
          <w:tcPr>
            <w:tcW w:w="1937" w:type="dxa"/>
            <w:tcBorders>
              <w:top w:val="single" w:color="auto" w:sz="4" w:space="0"/>
              <w:left w:val="single" w:color="auto" w:sz="4" w:space="0"/>
              <w:bottom w:val="single" w:color="auto" w:sz="4" w:space="0"/>
              <w:right w:val="single" w:color="auto" w:sz="4" w:space="0"/>
            </w:tcBorders>
            <w:vAlign w:val="center"/>
          </w:tcPr>
          <w:p>
            <w:pPr>
              <w:topLinePunct/>
              <w:snapToGrid w:val="0"/>
              <w:jc w:val="center"/>
              <w:rPr>
                <w:rFonts w:ascii="宋体" w:hAnsi="宋体" w:cs="宋体"/>
                <w:szCs w:val="21"/>
              </w:rPr>
            </w:pPr>
            <w:r>
              <w:rPr>
                <w:rFonts w:hint="eastAsia" w:ascii="宋体" w:hAnsi="宋体" w:cs="宋体"/>
                <w:szCs w:val="21"/>
              </w:rPr>
              <w:t>报价方式</w:t>
            </w:r>
          </w:p>
        </w:tc>
        <w:tc>
          <w:tcPr>
            <w:tcW w:w="6250" w:type="dxa"/>
            <w:tcBorders>
              <w:top w:val="single" w:color="auto" w:sz="4" w:space="0"/>
              <w:left w:val="single" w:color="auto" w:sz="4" w:space="0"/>
              <w:bottom w:val="single" w:color="auto" w:sz="4" w:space="0"/>
              <w:right w:val="single" w:color="auto" w:sz="4" w:space="0"/>
            </w:tcBorders>
            <w:vAlign w:val="center"/>
          </w:tcPr>
          <w:p>
            <w:pPr>
              <w:topLinePunct/>
              <w:snapToGrid w:val="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根据有关规定，投标人按规定的范围提供全部建设项目监理服务所需的费用，应根据本工程特点结合市场情况自主报价,但不得高于本项目的最高投标限价（控制价）。</w:t>
            </w:r>
          </w:p>
        </w:tc>
      </w:tr>
      <w:tr>
        <w:tblPrEx>
          <w:tblCellMar>
            <w:top w:w="0" w:type="dxa"/>
            <w:left w:w="108" w:type="dxa"/>
            <w:bottom w:w="0" w:type="dxa"/>
            <w:right w:w="108" w:type="dxa"/>
          </w:tblCellMar>
        </w:tblPrEx>
        <w:trPr>
          <w:trHeight w:val="567" w:hRule="atLeast"/>
          <w:jc w:val="center"/>
        </w:trPr>
        <w:tc>
          <w:tcPr>
            <w:tcW w:w="1073" w:type="dxa"/>
            <w:tcBorders>
              <w:top w:val="single" w:color="auto" w:sz="4" w:space="0"/>
              <w:left w:val="single" w:color="auto" w:sz="4" w:space="0"/>
              <w:bottom w:val="single" w:color="auto" w:sz="4" w:space="0"/>
              <w:right w:val="single" w:color="auto" w:sz="4" w:space="0"/>
            </w:tcBorders>
            <w:vAlign w:val="center"/>
          </w:tcPr>
          <w:p>
            <w:pPr>
              <w:pStyle w:val="65"/>
              <w:kinsoku w:val="0"/>
              <w:overflowPunct w:val="0"/>
              <w:topLinePunct/>
              <w:snapToGrid w:val="0"/>
              <w:jc w:val="center"/>
              <w:rPr>
                <w:szCs w:val="21"/>
                <w:highlight w:val="none"/>
                <w:lang w:val="en-US"/>
              </w:rPr>
            </w:pPr>
            <w:r>
              <w:rPr>
                <w:rFonts w:hint="eastAsia"/>
                <w:szCs w:val="21"/>
                <w:highlight w:val="none"/>
                <w:lang w:val="en-US"/>
              </w:rPr>
              <w:t>3.2.4</w:t>
            </w:r>
          </w:p>
        </w:tc>
        <w:tc>
          <w:tcPr>
            <w:tcW w:w="1937" w:type="dxa"/>
            <w:tcBorders>
              <w:top w:val="single" w:color="auto" w:sz="4" w:space="0"/>
              <w:left w:val="single" w:color="auto" w:sz="4" w:space="0"/>
              <w:bottom w:val="single" w:color="auto" w:sz="4" w:space="0"/>
              <w:right w:val="single" w:color="auto" w:sz="4" w:space="0"/>
            </w:tcBorders>
            <w:vAlign w:val="center"/>
          </w:tcPr>
          <w:p>
            <w:pPr>
              <w:topLinePunct/>
              <w:snapToGrid w:val="0"/>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招标控制价</w:t>
            </w:r>
          </w:p>
        </w:tc>
        <w:tc>
          <w:tcPr>
            <w:tcW w:w="6250" w:type="dxa"/>
            <w:tcBorders>
              <w:top w:val="single" w:color="auto" w:sz="4" w:space="0"/>
              <w:left w:val="single" w:color="auto" w:sz="4" w:space="0"/>
              <w:bottom w:val="single" w:color="auto" w:sz="4" w:space="0"/>
              <w:right w:val="single" w:color="auto" w:sz="4" w:space="0"/>
            </w:tcBorders>
            <w:vAlign w:val="center"/>
          </w:tcPr>
          <w:p>
            <w:pPr>
              <w:topLinePunct/>
              <w:snapToGrid w:val="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eastAsia="zh-CN"/>
                <w14:textFill>
                  <w14:solidFill>
                    <w14:schemeClr w14:val="tx1"/>
                  </w14:solidFill>
                </w14:textFill>
              </w:rPr>
              <w:t>招标控制价：</w:t>
            </w:r>
            <w:r>
              <w:rPr>
                <w:rFonts w:hint="eastAsia" w:ascii="宋体" w:hAnsi="宋体" w:cs="宋体"/>
                <w:color w:val="000000" w:themeColor="text1"/>
                <w:szCs w:val="21"/>
                <w:highlight w:val="none"/>
                <w:lang w:val="en-US" w:eastAsia="zh-CN"/>
                <w14:textFill>
                  <w14:solidFill>
                    <w14:schemeClr w14:val="tx1"/>
                  </w14:solidFill>
                </w14:textFill>
              </w:rPr>
              <w:t>2086456.10元（大写：贰佰零捌万陆仟肆佰伍拾陆元壹角整）</w:t>
            </w:r>
          </w:p>
        </w:tc>
      </w:tr>
      <w:tr>
        <w:tblPrEx>
          <w:tblCellMar>
            <w:top w:w="0" w:type="dxa"/>
            <w:left w:w="108" w:type="dxa"/>
            <w:bottom w:w="0" w:type="dxa"/>
            <w:right w:w="108" w:type="dxa"/>
          </w:tblCellMar>
        </w:tblPrEx>
        <w:trPr>
          <w:trHeight w:val="521" w:hRule="atLeast"/>
          <w:jc w:val="center"/>
        </w:trPr>
        <w:tc>
          <w:tcPr>
            <w:tcW w:w="1073" w:type="dxa"/>
            <w:tcBorders>
              <w:top w:val="single" w:color="auto" w:sz="4" w:space="0"/>
              <w:left w:val="single" w:color="auto" w:sz="4" w:space="0"/>
              <w:bottom w:val="single" w:color="auto" w:sz="4" w:space="0"/>
              <w:right w:val="single" w:color="auto" w:sz="4" w:space="0"/>
            </w:tcBorders>
            <w:vAlign w:val="center"/>
          </w:tcPr>
          <w:p>
            <w:pPr>
              <w:snapToGrid w:val="0"/>
              <w:jc w:val="center"/>
              <w:textAlignment w:val="baseline"/>
              <w:rPr>
                <w:rFonts w:ascii="宋体" w:hAnsi="宋体" w:cs="宋体"/>
                <w:szCs w:val="21"/>
              </w:rPr>
            </w:pPr>
            <w:r>
              <w:rPr>
                <w:rFonts w:hint="eastAsia" w:ascii="宋体" w:hAnsi="宋体" w:cs="宋体"/>
                <w:szCs w:val="21"/>
              </w:rPr>
              <w:t>3.3.1</w:t>
            </w:r>
          </w:p>
        </w:tc>
        <w:tc>
          <w:tcPr>
            <w:tcW w:w="1937" w:type="dxa"/>
            <w:tcBorders>
              <w:top w:val="single" w:color="auto" w:sz="4" w:space="0"/>
              <w:left w:val="single" w:color="auto" w:sz="4" w:space="0"/>
              <w:bottom w:val="single" w:color="auto" w:sz="4" w:space="0"/>
              <w:right w:val="single" w:color="auto" w:sz="4" w:space="0"/>
            </w:tcBorders>
            <w:vAlign w:val="center"/>
          </w:tcPr>
          <w:p>
            <w:pPr>
              <w:snapToGrid w:val="0"/>
              <w:jc w:val="center"/>
              <w:textAlignment w:val="baseline"/>
              <w:rPr>
                <w:rFonts w:ascii="宋体" w:hAnsi="宋体" w:cs="宋体"/>
                <w:szCs w:val="21"/>
              </w:rPr>
            </w:pPr>
            <w:r>
              <w:rPr>
                <w:rFonts w:hint="eastAsia" w:ascii="宋体" w:hAnsi="宋体" w:cs="宋体"/>
                <w:szCs w:val="21"/>
              </w:rPr>
              <w:t>投标有效期</w:t>
            </w:r>
          </w:p>
        </w:tc>
        <w:tc>
          <w:tcPr>
            <w:tcW w:w="6250" w:type="dxa"/>
            <w:tcBorders>
              <w:top w:val="single" w:color="auto" w:sz="4" w:space="0"/>
              <w:left w:val="single" w:color="auto" w:sz="4" w:space="0"/>
              <w:bottom w:val="single" w:color="auto" w:sz="4" w:space="0"/>
              <w:right w:val="single" w:color="auto" w:sz="4" w:space="0"/>
            </w:tcBorders>
            <w:vAlign w:val="center"/>
          </w:tcPr>
          <w:p>
            <w:pPr>
              <w:snapToGrid w:val="0"/>
              <w:textAlignment w:val="baseline"/>
              <w:rPr>
                <w:rFonts w:ascii="宋体" w:hAnsi="宋体" w:cs="宋体"/>
                <w:szCs w:val="21"/>
              </w:rPr>
            </w:pPr>
            <w:r>
              <w:rPr>
                <w:rFonts w:hint="eastAsia" w:ascii="宋体" w:hAnsi="宋体" w:cs="宋体"/>
                <w:szCs w:val="21"/>
              </w:rPr>
              <w:t>从递交投标文件截止日起90</w:t>
            </w:r>
            <w:r>
              <w:rPr>
                <w:rFonts w:hint="eastAsia" w:ascii="宋体" w:hAnsi="宋体" w:cs="宋体"/>
                <w:szCs w:val="21"/>
                <w:lang w:val="en-US" w:eastAsia="zh-CN"/>
              </w:rPr>
              <w:t>日历</w:t>
            </w:r>
            <w:r>
              <w:rPr>
                <w:rFonts w:hint="eastAsia" w:ascii="宋体" w:hAnsi="宋体" w:cs="宋体"/>
                <w:szCs w:val="21"/>
              </w:rPr>
              <w:t>天。</w:t>
            </w:r>
          </w:p>
        </w:tc>
      </w:tr>
      <w:tr>
        <w:tblPrEx>
          <w:tblCellMar>
            <w:top w:w="0" w:type="dxa"/>
            <w:left w:w="108" w:type="dxa"/>
            <w:bottom w:w="0" w:type="dxa"/>
            <w:right w:w="108" w:type="dxa"/>
          </w:tblCellMar>
        </w:tblPrEx>
        <w:trPr>
          <w:trHeight w:val="5354" w:hRule="atLeast"/>
          <w:jc w:val="center"/>
        </w:trPr>
        <w:tc>
          <w:tcPr>
            <w:tcW w:w="1073" w:type="dxa"/>
            <w:tcBorders>
              <w:top w:val="single" w:color="auto" w:sz="4" w:space="0"/>
              <w:left w:val="single" w:color="auto" w:sz="4" w:space="0"/>
              <w:bottom w:val="single" w:color="auto" w:sz="4" w:space="0"/>
              <w:right w:val="single" w:color="auto" w:sz="4" w:space="0"/>
            </w:tcBorders>
            <w:vAlign w:val="center"/>
          </w:tcPr>
          <w:p>
            <w:pPr>
              <w:snapToGrid w:val="0"/>
              <w:jc w:val="center"/>
              <w:textAlignment w:val="baseline"/>
              <w:rPr>
                <w:rFonts w:ascii="宋体" w:hAnsi="宋体" w:cs="宋体"/>
                <w:szCs w:val="21"/>
              </w:rPr>
            </w:pPr>
            <w:r>
              <w:rPr>
                <w:rFonts w:hint="eastAsia" w:ascii="宋体" w:hAnsi="宋体" w:cs="宋体"/>
                <w:szCs w:val="21"/>
              </w:rPr>
              <w:t>3.4.1</w:t>
            </w:r>
          </w:p>
        </w:tc>
        <w:tc>
          <w:tcPr>
            <w:tcW w:w="1937" w:type="dxa"/>
            <w:tcBorders>
              <w:top w:val="single" w:color="auto" w:sz="4" w:space="0"/>
              <w:left w:val="single" w:color="auto" w:sz="4" w:space="0"/>
              <w:bottom w:val="single" w:color="auto" w:sz="4" w:space="0"/>
              <w:right w:val="single" w:color="auto" w:sz="4" w:space="0"/>
            </w:tcBorders>
            <w:vAlign w:val="center"/>
          </w:tcPr>
          <w:p>
            <w:pPr>
              <w:snapToGrid w:val="0"/>
              <w:jc w:val="center"/>
              <w:textAlignment w:val="baseline"/>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投标保证金</w:t>
            </w:r>
          </w:p>
        </w:tc>
        <w:tc>
          <w:tcPr>
            <w:tcW w:w="6250"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hint="eastAsia" w:ascii="宋体"/>
                <w:color w:val="000000" w:themeColor="text1"/>
                <w:szCs w:val="21"/>
                <w14:textFill>
                  <w14:solidFill>
                    <w14:schemeClr w14:val="tx1"/>
                  </w14:solidFill>
                </w14:textFill>
              </w:rPr>
            </w:pPr>
            <w:r>
              <w:rPr>
                <w:rFonts w:hint="eastAsia" w:ascii="宋体"/>
                <w:color w:val="000000" w:themeColor="text1"/>
                <w:szCs w:val="21"/>
                <w14:textFill>
                  <w14:solidFill>
                    <w14:schemeClr w14:val="tx1"/>
                  </w14:solidFill>
                </w14:textFill>
              </w:rPr>
              <w:t>一、投标保证金的提供方式</w:t>
            </w:r>
          </w:p>
          <w:p>
            <w:pPr>
              <w:adjustRightInd w:val="0"/>
              <w:snapToGrid w:val="0"/>
              <w:rPr>
                <w:rFonts w:hint="eastAsia" w:ascii="宋体"/>
                <w:color w:val="auto"/>
                <w:szCs w:val="21"/>
              </w:rPr>
            </w:pPr>
            <w:r>
              <w:rPr>
                <w:rFonts w:hint="eastAsia" w:ascii="宋体"/>
                <w:color w:val="000000" w:themeColor="text1"/>
                <w:szCs w:val="21"/>
                <w14:textFill>
                  <w14:solidFill>
                    <w14:schemeClr w14:val="tx1"/>
                  </w14:solidFill>
                </w14:textFill>
              </w:rPr>
              <w:t>（1）转账、保函、</w:t>
            </w:r>
            <w:r>
              <w:rPr>
                <w:rFonts w:hint="eastAsia" w:ascii="宋体"/>
                <w:color w:val="auto"/>
                <w:szCs w:val="21"/>
              </w:rPr>
              <w:t>电子保函。</w:t>
            </w:r>
          </w:p>
          <w:p>
            <w:pPr>
              <w:adjustRightInd w:val="0"/>
              <w:snapToGrid w:val="0"/>
              <w:rPr>
                <w:rFonts w:hint="eastAsia" w:ascii="宋体"/>
                <w:color w:val="auto"/>
                <w:szCs w:val="21"/>
              </w:rPr>
            </w:pPr>
            <w:r>
              <w:rPr>
                <w:rFonts w:hint="eastAsia" w:ascii="宋体"/>
                <w:color w:val="auto"/>
                <w:szCs w:val="21"/>
              </w:rPr>
              <w:t>（2）投标保证金的金额：</w:t>
            </w:r>
            <w:r>
              <w:rPr>
                <w:rFonts w:hint="eastAsia" w:ascii="宋体"/>
                <w:color w:val="auto"/>
                <w:szCs w:val="21"/>
                <w:lang w:val="en-US" w:eastAsia="zh-CN"/>
              </w:rPr>
              <w:t>40000.00</w:t>
            </w:r>
            <w:r>
              <w:rPr>
                <w:rFonts w:hint="eastAsia" w:ascii="宋体"/>
                <w:color w:val="auto"/>
                <w:szCs w:val="21"/>
              </w:rPr>
              <w:t>（¥：</w:t>
            </w:r>
            <w:r>
              <w:rPr>
                <w:rFonts w:hint="eastAsia" w:ascii="宋体"/>
                <w:color w:val="auto"/>
                <w:szCs w:val="21"/>
                <w:lang w:val="en-US" w:eastAsia="zh-CN"/>
              </w:rPr>
              <w:t>肆万元整</w:t>
            </w:r>
            <w:r>
              <w:rPr>
                <w:rFonts w:hint="eastAsia" w:ascii="宋体"/>
                <w:color w:val="auto"/>
                <w:szCs w:val="21"/>
              </w:rPr>
              <w:t>）</w:t>
            </w:r>
          </w:p>
          <w:p>
            <w:pPr>
              <w:adjustRightInd w:val="0"/>
              <w:snapToGrid w:val="0"/>
              <w:rPr>
                <w:rFonts w:ascii="宋体"/>
                <w:color w:val="auto"/>
                <w:szCs w:val="21"/>
              </w:rPr>
            </w:pPr>
            <w:r>
              <w:rPr>
                <w:rFonts w:hint="eastAsia" w:ascii="宋体"/>
                <w:color w:val="000000" w:themeColor="text1"/>
                <w:szCs w:val="21"/>
                <w14:textFill>
                  <w14:solidFill>
                    <w14:schemeClr w14:val="tx1"/>
                  </w14:solidFill>
                </w14:textFill>
              </w:rPr>
              <w:t>（3）转账必须由投标人基本账户汇至焦作市公共资源交易中心指定账户，不得以现金和其他形式提交。（未从</w:t>
            </w:r>
            <w:r>
              <w:rPr>
                <w:rFonts w:hint="eastAsia" w:ascii="宋体"/>
                <w:color w:val="auto"/>
                <w:szCs w:val="21"/>
              </w:rPr>
              <w:t>基本账户汇出或未按时到账者视为无效）。投标保证金提交截止时间：</w:t>
            </w:r>
            <w:r>
              <w:rPr>
                <w:rFonts w:hint="eastAsia" w:ascii="宋体"/>
                <w:color w:val="auto"/>
                <w:szCs w:val="21"/>
                <w:highlight w:val="none"/>
                <w:lang w:eastAsia="zh-CN"/>
              </w:rPr>
              <w:t>2024</w:t>
            </w:r>
            <w:r>
              <w:rPr>
                <w:rFonts w:hint="eastAsia" w:ascii="宋体"/>
                <w:color w:val="auto"/>
                <w:szCs w:val="21"/>
                <w:highlight w:val="none"/>
              </w:rPr>
              <w:t>年</w:t>
            </w:r>
            <w:r>
              <w:rPr>
                <w:rFonts w:hint="eastAsia" w:ascii="宋体"/>
                <w:color w:val="auto"/>
                <w:szCs w:val="21"/>
                <w:highlight w:val="none"/>
                <w:lang w:val="en-US" w:eastAsia="zh-CN"/>
              </w:rPr>
              <w:t>4</w:t>
            </w:r>
            <w:r>
              <w:rPr>
                <w:rFonts w:hint="eastAsia" w:ascii="宋体"/>
                <w:color w:val="auto"/>
                <w:szCs w:val="21"/>
                <w:highlight w:val="none"/>
              </w:rPr>
              <w:t>月</w:t>
            </w:r>
            <w:r>
              <w:rPr>
                <w:rFonts w:hint="eastAsia" w:ascii="宋体"/>
                <w:color w:val="auto"/>
                <w:szCs w:val="21"/>
                <w:highlight w:val="none"/>
                <w:lang w:val="en-US" w:eastAsia="zh-CN"/>
              </w:rPr>
              <w:t>9</w:t>
            </w:r>
            <w:r>
              <w:rPr>
                <w:rFonts w:hint="eastAsia" w:ascii="宋体"/>
                <w:color w:val="auto"/>
                <w:szCs w:val="21"/>
                <w:highlight w:val="none"/>
              </w:rPr>
              <w:t>日</w:t>
            </w:r>
            <w:r>
              <w:rPr>
                <w:rFonts w:hint="eastAsia" w:ascii="宋体"/>
                <w:color w:val="auto"/>
                <w:szCs w:val="21"/>
              </w:rPr>
              <w:t>下午17时前（含17时）</w:t>
            </w:r>
          </w:p>
          <w:p>
            <w:pPr>
              <w:adjustRightInd w:val="0"/>
              <w:snapToGrid w:val="0"/>
              <w:rPr>
                <w:rFonts w:hint="eastAsia" w:ascii="宋体"/>
                <w:color w:val="auto"/>
                <w:szCs w:val="21"/>
              </w:rPr>
            </w:pPr>
            <w:r>
              <w:rPr>
                <w:rFonts w:hint="eastAsia" w:ascii="宋体"/>
                <w:color w:val="auto"/>
                <w:szCs w:val="21"/>
              </w:rPr>
              <w:t>名称：焦作市公共资源交易中心</w:t>
            </w:r>
          </w:p>
          <w:p>
            <w:pPr>
              <w:adjustRightInd w:val="0"/>
              <w:snapToGrid w:val="0"/>
              <w:rPr>
                <w:rFonts w:hint="eastAsia" w:ascii="宋体"/>
                <w:color w:val="auto"/>
                <w:szCs w:val="21"/>
              </w:rPr>
            </w:pPr>
            <w:r>
              <w:rPr>
                <w:rFonts w:hint="eastAsia" w:ascii="宋体"/>
                <w:color w:val="auto"/>
                <w:szCs w:val="21"/>
              </w:rPr>
              <w:t>开户行1：</w:t>
            </w:r>
            <w:r>
              <w:rPr>
                <w:rFonts w:hint="default" w:ascii="宋体"/>
                <w:color w:val="auto"/>
                <w:szCs w:val="21"/>
              </w:rPr>
              <w:t>中国建设银行股份有限公司焦作焦西支行</w:t>
            </w:r>
          </w:p>
          <w:p>
            <w:pPr>
              <w:adjustRightInd w:val="0"/>
              <w:snapToGrid w:val="0"/>
              <w:rPr>
                <w:rFonts w:hint="eastAsia" w:ascii="宋体"/>
                <w:color w:val="auto"/>
                <w:szCs w:val="21"/>
              </w:rPr>
            </w:pPr>
            <w:r>
              <w:rPr>
                <w:rFonts w:hint="eastAsia" w:ascii="宋体"/>
                <w:color w:val="auto"/>
                <w:szCs w:val="21"/>
              </w:rPr>
              <w:t>账号1：</w:t>
            </w:r>
            <w:r>
              <w:rPr>
                <w:rFonts w:hint="default" w:ascii="宋体"/>
                <w:color w:val="auto"/>
                <w:szCs w:val="21"/>
              </w:rPr>
              <w:t>41001510516050211562-0420</w:t>
            </w:r>
          </w:p>
          <w:p>
            <w:pPr>
              <w:adjustRightInd w:val="0"/>
              <w:snapToGrid w:val="0"/>
              <w:rPr>
                <w:rFonts w:hint="eastAsia" w:ascii="宋体"/>
                <w:color w:val="auto"/>
                <w:szCs w:val="21"/>
              </w:rPr>
            </w:pPr>
            <w:r>
              <w:rPr>
                <w:rFonts w:hint="eastAsia" w:ascii="宋体"/>
                <w:color w:val="auto"/>
                <w:szCs w:val="21"/>
              </w:rPr>
              <w:t>开户行2：</w:t>
            </w:r>
            <w:r>
              <w:rPr>
                <w:rFonts w:hint="default" w:ascii="宋体"/>
                <w:color w:val="auto"/>
                <w:szCs w:val="21"/>
              </w:rPr>
              <w:t>中国工商银行股份有限公司焦作分行</w:t>
            </w:r>
          </w:p>
          <w:p>
            <w:pPr>
              <w:adjustRightInd w:val="0"/>
              <w:snapToGrid w:val="0"/>
              <w:rPr>
                <w:rFonts w:hint="eastAsia" w:ascii="宋体"/>
                <w:color w:val="auto"/>
                <w:szCs w:val="21"/>
              </w:rPr>
            </w:pPr>
            <w:r>
              <w:rPr>
                <w:rFonts w:hint="eastAsia" w:ascii="宋体"/>
                <w:color w:val="auto"/>
                <w:szCs w:val="21"/>
              </w:rPr>
              <w:t>账号2：</w:t>
            </w:r>
            <w:r>
              <w:rPr>
                <w:rFonts w:hint="default" w:ascii="宋体"/>
                <w:color w:val="auto"/>
                <w:szCs w:val="21"/>
              </w:rPr>
              <w:t>1709020338000171166</w:t>
            </w:r>
          </w:p>
          <w:p>
            <w:pPr>
              <w:adjustRightInd w:val="0"/>
              <w:snapToGrid w:val="0"/>
              <w:rPr>
                <w:rFonts w:hint="eastAsia" w:ascii="宋体"/>
                <w:color w:val="auto"/>
                <w:szCs w:val="21"/>
              </w:rPr>
            </w:pPr>
            <w:r>
              <w:rPr>
                <w:rFonts w:hint="eastAsia" w:ascii="宋体"/>
                <w:color w:val="auto"/>
                <w:szCs w:val="21"/>
              </w:rPr>
              <w:t>开户行3：</w:t>
            </w:r>
            <w:r>
              <w:rPr>
                <w:rFonts w:hint="default" w:ascii="宋体"/>
                <w:color w:val="auto"/>
                <w:szCs w:val="21"/>
              </w:rPr>
              <w:t>中国邮政储蓄银行股份有限公司焦作市民主南路支行</w:t>
            </w:r>
          </w:p>
          <w:p>
            <w:pPr>
              <w:adjustRightInd w:val="0"/>
              <w:snapToGrid w:val="0"/>
              <w:rPr>
                <w:rFonts w:hint="default" w:ascii="宋体"/>
                <w:color w:val="auto"/>
                <w:szCs w:val="21"/>
                <w:lang w:val="en-US" w:eastAsia="zh-CN"/>
              </w:rPr>
            </w:pPr>
            <w:r>
              <w:rPr>
                <w:rFonts w:hint="eastAsia" w:ascii="宋体"/>
                <w:color w:val="auto"/>
                <w:szCs w:val="21"/>
              </w:rPr>
              <w:t>账号3：</w:t>
            </w:r>
            <w:r>
              <w:rPr>
                <w:rFonts w:hint="default" w:ascii="宋体"/>
                <w:color w:val="auto"/>
                <w:szCs w:val="21"/>
              </w:rPr>
              <w:t>94100101009895000900171</w:t>
            </w:r>
          </w:p>
          <w:p>
            <w:pPr>
              <w:adjustRightInd w:val="0"/>
              <w:snapToGrid w:val="0"/>
              <w:spacing w:line="276" w:lineRule="auto"/>
              <w:rPr>
                <w:rFonts w:hint="eastAsia" w:ascii="宋体" w:hAnsi="宋体" w:cs="宋体"/>
                <w:bCs/>
                <w:color w:val="auto"/>
                <w:szCs w:val="21"/>
              </w:rPr>
            </w:pPr>
            <w:r>
              <w:rPr>
                <w:rFonts w:hint="eastAsia" w:ascii="宋体" w:hAnsi="宋体" w:cs="宋体"/>
                <w:bCs/>
                <w:color w:val="auto"/>
                <w:szCs w:val="21"/>
              </w:rPr>
              <w:t>备注：以上账户任选其一。</w:t>
            </w:r>
          </w:p>
          <w:p>
            <w:pPr>
              <w:adjustRightInd w:val="0"/>
              <w:snapToGrid w:val="0"/>
              <w:spacing w:line="276" w:lineRule="auto"/>
              <w:rPr>
                <w:rFonts w:hint="eastAsia"/>
                <w:color w:val="auto"/>
              </w:rPr>
            </w:pPr>
            <w:r>
              <w:rPr>
                <w:rFonts w:hint="eastAsia"/>
                <w:color w:val="auto"/>
              </w:rPr>
              <w:t>特别提醒：会员注册请注意，注册诚信信息时基本账户要真实有效，并上传开户许可证或基本户证明。转账时要从基本账户转出，开标时系统会自动对账户进行匹配。已注册会员的如需修改基本信息请修改后再进行报名。</w:t>
            </w:r>
          </w:p>
          <w:p>
            <w:pPr>
              <w:adjustRightInd w:val="0"/>
              <w:snapToGrid w:val="0"/>
              <w:spacing w:line="276" w:lineRule="auto"/>
              <w:rPr>
                <w:rFonts w:hint="eastAsia"/>
                <w:color w:val="auto"/>
              </w:rPr>
            </w:pPr>
            <w:r>
              <w:rPr>
                <w:rFonts w:hint="eastAsia"/>
                <w:color w:val="auto"/>
              </w:rPr>
              <w:t>（4）保函是由银行业金融机构、保险公司或专业担保公司出具。以保函形式提交的，原件扫描件做入投标文件，作为其投标文件的组成部分。</w:t>
            </w:r>
          </w:p>
          <w:p>
            <w:pPr>
              <w:adjustRightInd w:val="0"/>
              <w:snapToGrid w:val="0"/>
              <w:rPr>
                <w:rFonts w:ascii="宋体" w:hAnsi="宋体" w:cs="宋体"/>
                <w:color w:val="000000" w:themeColor="text1"/>
                <w:szCs w:val="21"/>
                <w14:textFill>
                  <w14:solidFill>
                    <w14:schemeClr w14:val="tx1"/>
                  </w14:solidFill>
                </w14:textFill>
              </w:rPr>
            </w:pPr>
            <w:r>
              <w:rPr>
                <w:rFonts w:hint="eastAsia"/>
                <w:color w:val="auto"/>
              </w:rPr>
              <w:t>（5）电子保函是由投标人登录焦作市公共资源交易中心门户网站首页,点击【焦作市公共资源交易金融服务平台】菜单进入电子保函平台，投标人可自行在网上申请开具保函，电子保函做入投标文件，作为其投标文件的组成部分。</w:t>
            </w:r>
          </w:p>
        </w:tc>
      </w:tr>
      <w:tr>
        <w:tblPrEx>
          <w:tblCellMar>
            <w:top w:w="0" w:type="dxa"/>
            <w:left w:w="108" w:type="dxa"/>
            <w:bottom w:w="0" w:type="dxa"/>
            <w:right w:w="108" w:type="dxa"/>
          </w:tblCellMar>
        </w:tblPrEx>
        <w:trPr>
          <w:trHeight w:val="90" w:hRule="atLeast"/>
          <w:jc w:val="center"/>
        </w:trPr>
        <w:tc>
          <w:tcPr>
            <w:tcW w:w="1073"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宋体" w:hAnsi="宋体" w:cs="宋体"/>
                <w:szCs w:val="21"/>
              </w:rPr>
            </w:pPr>
            <w:r>
              <w:rPr>
                <w:rFonts w:hint="eastAsia" w:ascii="宋体" w:hAnsi="宋体" w:cs="宋体"/>
                <w:szCs w:val="21"/>
              </w:rPr>
              <w:t>3.5.2</w:t>
            </w:r>
          </w:p>
        </w:tc>
        <w:tc>
          <w:tcPr>
            <w:tcW w:w="1937"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宋体" w:hAnsi="宋体" w:cs="宋体"/>
                <w:szCs w:val="21"/>
              </w:rPr>
            </w:pPr>
            <w:r>
              <w:rPr>
                <w:rFonts w:hint="eastAsia" w:ascii="宋体" w:hAnsi="宋体" w:cs="宋体"/>
                <w:szCs w:val="21"/>
              </w:rPr>
              <w:t>近年财务状况的年份要求</w:t>
            </w:r>
          </w:p>
        </w:tc>
        <w:tc>
          <w:tcPr>
            <w:tcW w:w="6250"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宋体" w:hAnsi="宋体" w:cs="宋体"/>
                <w:szCs w:val="21"/>
              </w:rPr>
            </w:pPr>
            <w:r>
              <w:rPr>
                <w:rFonts w:hint="eastAsia" w:ascii="宋体" w:hAnsi="宋体" w:cs="宋体"/>
                <w:szCs w:val="21"/>
              </w:rPr>
              <w:t>近</w:t>
            </w:r>
            <w:r>
              <w:rPr>
                <w:rFonts w:hint="eastAsia" w:ascii="宋体" w:hAnsi="宋体" w:cs="宋体"/>
                <w:szCs w:val="21"/>
                <w:u w:val="single"/>
              </w:rPr>
              <w:t xml:space="preserve"> 3 </w:t>
            </w:r>
            <w:r>
              <w:rPr>
                <w:rFonts w:hint="eastAsia" w:ascii="宋体" w:hAnsi="宋体" w:cs="宋体"/>
                <w:szCs w:val="21"/>
              </w:rPr>
              <w:t>年，指</w:t>
            </w:r>
            <w:r>
              <w:rPr>
                <w:rFonts w:hint="eastAsia" w:ascii="宋体" w:hAnsi="宋体" w:cs="宋体"/>
                <w:szCs w:val="21"/>
                <w:u w:val="single"/>
              </w:rPr>
              <w:t xml:space="preserve"> 2020 </w:t>
            </w:r>
            <w:r>
              <w:rPr>
                <w:rFonts w:hint="eastAsia" w:ascii="宋体" w:hAnsi="宋体" w:cs="宋体"/>
                <w:szCs w:val="21"/>
              </w:rPr>
              <w:t>年至</w:t>
            </w:r>
            <w:r>
              <w:rPr>
                <w:rFonts w:hint="eastAsia" w:ascii="宋体" w:hAnsi="宋体" w:cs="宋体"/>
                <w:szCs w:val="21"/>
                <w:u w:val="single"/>
              </w:rPr>
              <w:t xml:space="preserve"> 2022</w:t>
            </w:r>
            <w:r>
              <w:rPr>
                <w:rFonts w:hint="eastAsia" w:ascii="宋体" w:hAnsi="宋体" w:cs="宋体"/>
                <w:szCs w:val="21"/>
              </w:rPr>
              <w:t>年新成立公司以注册时间为准</w:t>
            </w:r>
          </w:p>
        </w:tc>
      </w:tr>
      <w:tr>
        <w:tblPrEx>
          <w:tblCellMar>
            <w:top w:w="0" w:type="dxa"/>
            <w:left w:w="108" w:type="dxa"/>
            <w:bottom w:w="0" w:type="dxa"/>
            <w:right w:w="108" w:type="dxa"/>
          </w:tblCellMar>
        </w:tblPrEx>
        <w:trPr>
          <w:trHeight w:val="380" w:hRule="atLeast"/>
          <w:jc w:val="center"/>
        </w:trPr>
        <w:tc>
          <w:tcPr>
            <w:tcW w:w="1073"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宋体" w:hAnsi="宋体" w:cs="宋体"/>
                <w:szCs w:val="21"/>
              </w:rPr>
            </w:pPr>
            <w:r>
              <w:rPr>
                <w:rFonts w:hint="eastAsia" w:ascii="宋体" w:hAnsi="宋体" w:cs="宋体"/>
                <w:szCs w:val="21"/>
              </w:rPr>
              <w:t>3.5.3</w:t>
            </w:r>
          </w:p>
        </w:tc>
        <w:tc>
          <w:tcPr>
            <w:tcW w:w="1937"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宋体" w:hAnsi="宋体" w:cs="宋体"/>
                <w:szCs w:val="21"/>
              </w:rPr>
            </w:pPr>
            <w:r>
              <w:rPr>
                <w:rFonts w:hint="eastAsia" w:ascii="宋体" w:hAnsi="宋体" w:cs="宋体"/>
                <w:szCs w:val="21"/>
              </w:rPr>
              <w:t>近年完成的类似项目的年份要求</w:t>
            </w:r>
          </w:p>
        </w:tc>
        <w:tc>
          <w:tcPr>
            <w:tcW w:w="6250"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宋体" w:hAnsi="宋体" w:cs="宋体"/>
                <w:color w:val="000000" w:themeColor="text1"/>
                <w:szCs w:val="21"/>
                <w14:textFill>
                  <w14:solidFill>
                    <w14:schemeClr w14:val="tx1"/>
                  </w14:solidFill>
                </w14:textFill>
              </w:rPr>
            </w:pPr>
            <w:r>
              <w:rPr>
                <w:rFonts w:hint="eastAsia" w:ascii="宋体" w:hAnsi="宋体" w:cs="宋体"/>
                <w:szCs w:val="21"/>
              </w:rPr>
              <w:t>近</w:t>
            </w:r>
            <w:r>
              <w:rPr>
                <w:rFonts w:hint="eastAsia" w:ascii="宋体" w:hAnsi="宋体" w:cs="宋体"/>
                <w:szCs w:val="21"/>
                <w:u w:val="single"/>
              </w:rPr>
              <w:t xml:space="preserve"> 3</w:t>
            </w:r>
            <w:r>
              <w:rPr>
                <w:rFonts w:hint="eastAsia" w:ascii="宋体" w:hAnsi="宋体" w:cs="宋体"/>
                <w:szCs w:val="21"/>
              </w:rPr>
              <w:t>年</w:t>
            </w:r>
            <w:r>
              <w:rPr>
                <w:rFonts w:hint="eastAsia" w:ascii="宋体" w:hAnsi="宋体" w:cs="宋体"/>
                <w:color w:val="000000" w:themeColor="text1"/>
                <w:szCs w:val="21"/>
                <w14:textFill>
                  <w14:solidFill>
                    <w14:schemeClr w14:val="tx1"/>
                  </w14:solidFill>
                </w14:textFill>
              </w:rPr>
              <w:t>，指</w:t>
            </w:r>
            <w:r>
              <w:rPr>
                <w:rFonts w:hint="eastAsia" w:ascii="宋体" w:hAnsi="宋体" w:cs="宋体"/>
                <w:color w:val="000000" w:themeColor="text1"/>
                <w:szCs w:val="21"/>
                <w:u w:val="single"/>
                <w14:textFill>
                  <w14:solidFill>
                    <w14:schemeClr w14:val="tx1"/>
                  </w14:solidFill>
                </w14:textFill>
              </w:rPr>
              <w:t xml:space="preserve"> 202</w:t>
            </w:r>
            <w:r>
              <w:rPr>
                <w:rFonts w:hint="eastAsia" w:ascii="宋体" w:hAnsi="宋体" w:cs="宋体"/>
                <w:color w:val="000000" w:themeColor="text1"/>
                <w:szCs w:val="21"/>
                <w:u w:val="single"/>
                <w:lang w:val="en-US" w:eastAsia="zh-CN"/>
                <w14:textFill>
                  <w14:solidFill>
                    <w14:schemeClr w14:val="tx1"/>
                  </w14:solidFill>
                </w14:textFill>
              </w:rPr>
              <w:t>1</w:t>
            </w:r>
            <w:r>
              <w:rPr>
                <w:rFonts w:hint="eastAsia" w:ascii="宋体" w:hAnsi="宋体" w:cs="宋体"/>
                <w:color w:val="000000" w:themeColor="text1"/>
                <w:szCs w:val="21"/>
                <w14:textFill>
                  <w14:solidFill>
                    <w14:schemeClr w14:val="tx1"/>
                  </w14:solidFill>
                </w14:textFill>
              </w:rPr>
              <w:t>年</w:t>
            </w:r>
            <w:r>
              <w:rPr>
                <w:rFonts w:hint="eastAsia" w:ascii="宋体" w:hAnsi="宋体" w:cs="宋体"/>
                <w:color w:val="000000" w:themeColor="text1"/>
                <w:szCs w:val="21"/>
                <w:u w:val="single"/>
                <w14:textFill>
                  <w14:solidFill>
                    <w14:schemeClr w14:val="tx1"/>
                  </w14:solidFill>
                </w14:textFill>
              </w:rPr>
              <w:t xml:space="preserve"> 1 </w:t>
            </w:r>
            <w:r>
              <w:rPr>
                <w:rFonts w:hint="eastAsia" w:ascii="宋体" w:hAnsi="宋体" w:cs="宋体"/>
                <w:color w:val="000000" w:themeColor="text1"/>
                <w:szCs w:val="21"/>
                <w14:textFill>
                  <w14:solidFill>
                    <w14:schemeClr w14:val="tx1"/>
                  </w14:solidFill>
                </w14:textFill>
              </w:rPr>
              <w:t>月</w:t>
            </w:r>
            <w:r>
              <w:rPr>
                <w:rFonts w:hint="eastAsia" w:ascii="宋体" w:hAnsi="宋体" w:cs="宋体"/>
                <w:color w:val="000000" w:themeColor="text1"/>
                <w:szCs w:val="21"/>
                <w:u w:val="single"/>
                <w14:textFill>
                  <w14:solidFill>
                    <w14:schemeClr w14:val="tx1"/>
                  </w14:solidFill>
                </w14:textFill>
              </w:rPr>
              <w:t xml:space="preserve"> 1 </w:t>
            </w:r>
            <w:r>
              <w:rPr>
                <w:rFonts w:hint="eastAsia" w:ascii="宋体" w:hAnsi="宋体" w:cs="宋体"/>
                <w:color w:val="000000" w:themeColor="text1"/>
                <w:szCs w:val="21"/>
                <w14:textFill>
                  <w14:solidFill>
                    <w14:schemeClr w14:val="tx1"/>
                  </w14:solidFill>
                </w14:textFill>
              </w:rPr>
              <w:t>日起</w:t>
            </w:r>
          </w:p>
          <w:p>
            <w:pPr>
              <w:adjustRightInd w:val="0"/>
              <w:snapToGrid w:val="0"/>
              <w:rPr>
                <w:rFonts w:ascii="宋体" w:hAnsi="宋体" w:cs="宋体"/>
                <w:szCs w:val="21"/>
                <w:u w:val="single"/>
              </w:rPr>
            </w:pPr>
            <w:r>
              <w:rPr>
                <w:rFonts w:hint="eastAsia" w:ascii="宋体" w:hAnsi="宋体" w:cs="宋体"/>
                <w:szCs w:val="21"/>
              </w:rPr>
              <w:t>至</w:t>
            </w:r>
            <w:bookmarkStart w:id="26" w:name="EBf5631a4b2e664e498df217f9200d4c1d"/>
            <w:r>
              <w:rPr>
                <w:rFonts w:hint="eastAsia" w:ascii="宋体" w:hAnsi="宋体" w:cs="宋体"/>
                <w:szCs w:val="21"/>
              </w:rPr>
              <w:t>投标文件截止日期</w:t>
            </w:r>
            <w:bookmarkEnd w:id="26"/>
            <w:r>
              <w:rPr>
                <w:rFonts w:hint="eastAsia" w:ascii="宋体" w:hAnsi="宋体" w:cs="宋体"/>
                <w:szCs w:val="21"/>
              </w:rPr>
              <w:t>止。</w:t>
            </w:r>
          </w:p>
        </w:tc>
      </w:tr>
      <w:tr>
        <w:tblPrEx>
          <w:tblCellMar>
            <w:top w:w="0" w:type="dxa"/>
            <w:left w:w="108" w:type="dxa"/>
            <w:bottom w:w="0" w:type="dxa"/>
            <w:right w:w="108" w:type="dxa"/>
          </w:tblCellMar>
        </w:tblPrEx>
        <w:trPr>
          <w:trHeight w:val="567" w:hRule="atLeast"/>
          <w:jc w:val="center"/>
        </w:trPr>
        <w:tc>
          <w:tcPr>
            <w:tcW w:w="1073" w:type="dxa"/>
            <w:tcBorders>
              <w:top w:val="single" w:color="auto" w:sz="4" w:space="0"/>
              <w:left w:val="single" w:color="auto" w:sz="4" w:space="0"/>
              <w:bottom w:val="single" w:color="auto" w:sz="4" w:space="0"/>
              <w:right w:val="single" w:color="auto" w:sz="4" w:space="0"/>
            </w:tcBorders>
            <w:vAlign w:val="center"/>
          </w:tcPr>
          <w:p>
            <w:pPr>
              <w:snapToGrid w:val="0"/>
              <w:jc w:val="center"/>
              <w:textAlignment w:val="baseline"/>
              <w:rPr>
                <w:rFonts w:ascii="宋体" w:hAnsi="宋体" w:cs="宋体"/>
                <w:szCs w:val="21"/>
              </w:rPr>
            </w:pPr>
            <w:r>
              <w:rPr>
                <w:rFonts w:hint="eastAsia" w:ascii="宋体" w:hAnsi="宋体" w:cs="宋体"/>
                <w:szCs w:val="21"/>
              </w:rPr>
              <w:t>3.5.5</w:t>
            </w:r>
          </w:p>
        </w:tc>
        <w:tc>
          <w:tcPr>
            <w:tcW w:w="193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rFonts w:ascii="宋体" w:hAnsi="宋体" w:cs="宋体"/>
                <w:szCs w:val="21"/>
              </w:rPr>
            </w:pPr>
            <w:r>
              <w:rPr>
                <w:rFonts w:hint="eastAsia" w:ascii="宋体" w:hAnsi="宋体" w:cs="宋体"/>
                <w:szCs w:val="21"/>
              </w:rPr>
              <w:t>近年发生的诉讼及仲裁情况的年份要求</w:t>
            </w:r>
          </w:p>
        </w:tc>
        <w:tc>
          <w:tcPr>
            <w:tcW w:w="6250"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宋体" w:hAnsi="宋体" w:cs="宋体"/>
                <w:szCs w:val="21"/>
              </w:rPr>
            </w:pPr>
            <w:r>
              <w:rPr>
                <w:rFonts w:hint="eastAsia" w:ascii="宋体" w:hAnsi="宋体" w:cs="宋体"/>
                <w:szCs w:val="21"/>
              </w:rPr>
              <w:t>近</w:t>
            </w:r>
            <w:r>
              <w:rPr>
                <w:rFonts w:hint="eastAsia" w:ascii="宋体" w:hAnsi="宋体" w:cs="宋体"/>
                <w:szCs w:val="21"/>
                <w:u w:val="single"/>
              </w:rPr>
              <w:t xml:space="preserve"> 3 </w:t>
            </w:r>
            <w:r>
              <w:rPr>
                <w:rFonts w:hint="eastAsia" w:ascii="宋体" w:hAnsi="宋体" w:cs="宋体"/>
                <w:szCs w:val="21"/>
              </w:rPr>
              <w:t>年，指</w:t>
            </w:r>
            <w:r>
              <w:rPr>
                <w:rFonts w:hint="eastAsia" w:ascii="宋体" w:hAnsi="宋体" w:cs="宋体"/>
                <w:szCs w:val="21"/>
                <w:u w:val="single"/>
              </w:rPr>
              <w:t xml:space="preserve"> 202</w:t>
            </w:r>
            <w:r>
              <w:rPr>
                <w:rFonts w:hint="eastAsia" w:ascii="宋体" w:hAnsi="宋体" w:cs="宋体"/>
                <w:szCs w:val="21"/>
                <w:u w:val="single"/>
                <w:lang w:val="en-US" w:eastAsia="zh-CN"/>
              </w:rPr>
              <w:t>1</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1 </w:t>
            </w:r>
            <w:r>
              <w:rPr>
                <w:rFonts w:hint="eastAsia" w:ascii="宋体" w:hAnsi="宋体" w:cs="宋体"/>
                <w:szCs w:val="21"/>
              </w:rPr>
              <w:t>月</w:t>
            </w:r>
            <w:r>
              <w:rPr>
                <w:rFonts w:hint="eastAsia" w:ascii="宋体" w:hAnsi="宋体" w:cs="宋体"/>
                <w:szCs w:val="21"/>
                <w:u w:val="single"/>
              </w:rPr>
              <w:t xml:space="preserve"> 1 </w:t>
            </w:r>
            <w:r>
              <w:rPr>
                <w:rFonts w:hint="eastAsia" w:ascii="宋体" w:hAnsi="宋体" w:cs="宋体"/>
                <w:szCs w:val="21"/>
              </w:rPr>
              <w:t>日起</w:t>
            </w:r>
          </w:p>
          <w:p>
            <w:pPr>
              <w:adjustRightInd w:val="0"/>
              <w:snapToGrid w:val="0"/>
              <w:rPr>
                <w:rFonts w:ascii="宋体" w:hAnsi="宋体" w:cs="宋体"/>
                <w:szCs w:val="21"/>
              </w:rPr>
            </w:pPr>
            <w:r>
              <w:rPr>
                <w:rFonts w:hint="eastAsia" w:ascii="宋体" w:hAnsi="宋体" w:cs="宋体"/>
                <w:szCs w:val="21"/>
                <w:u w:val="single"/>
              </w:rPr>
              <w:t>至投标文件截止日期止。</w:t>
            </w:r>
          </w:p>
        </w:tc>
      </w:tr>
      <w:tr>
        <w:tblPrEx>
          <w:tblCellMar>
            <w:top w:w="0" w:type="dxa"/>
            <w:left w:w="108" w:type="dxa"/>
            <w:bottom w:w="0" w:type="dxa"/>
            <w:right w:w="108" w:type="dxa"/>
          </w:tblCellMar>
        </w:tblPrEx>
        <w:trPr>
          <w:trHeight w:val="567" w:hRule="atLeast"/>
          <w:jc w:val="center"/>
        </w:trPr>
        <w:tc>
          <w:tcPr>
            <w:tcW w:w="1073" w:type="dxa"/>
            <w:tcBorders>
              <w:top w:val="single" w:color="auto" w:sz="4" w:space="0"/>
              <w:left w:val="single" w:color="auto" w:sz="4" w:space="0"/>
              <w:bottom w:val="single" w:color="auto" w:sz="4" w:space="0"/>
              <w:right w:val="single" w:color="auto" w:sz="4" w:space="0"/>
            </w:tcBorders>
            <w:vAlign w:val="center"/>
          </w:tcPr>
          <w:p>
            <w:pPr>
              <w:snapToGrid w:val="0"/>
              <w:jc w:val="center"/>
              <w:textAlignment w:val="baseline"/>
              <w:rPr>
                <w:rFonts w:ascii="宋体" w:hAnsi="宋体" w:cs="宋体"/>
                <w:szCs w:val="21"/>
              </w:rPr>
            </w:pPr>
            <w:r>
              <w:rPr>
                <w:rFonts w:hint="eastAsia" w:ascii="宋体" w:hAnsi="宋体" w:cs="宋体"/>
                <w:szCs w:val="21"/>
              </w:rPr>
              <w:t>3.6</w:t>
            </w:r>
          </w:p>
        </w:tc>
        <w:tc>
          <w:tcPr>
            <w:tcW w:w="1937" w:type="dxa"/>
            <w:tcBorders>
              <w:top w:val="single" w:color="auto" w:sz="4" w:space="0"/>
              <w:left w:val="single" w:color="auto" w:sz="4" w:space="0"/>
              <w:bottom w:val="single" w:color="auto" w:sz="4" w:space="0"/>
              <w:right w:val="single" w:color="auto" w:sz="4" w:space="0"/>
            </w:tcBorders>
            <w:vAlign w:val="center"/>
          </w:tcPr>
          <w:p>
            <w:pPr>
              <w:snapToGrid w:val="0"/>
              <w:jc w:val="center"/>
              <w:textAlignment w:val="baseline"/>
              <w:rPr>
                <w:rFonts w:ascii="宋体" w:hAnsi="宋体" w:cs="宋体"/>
                <w:szCs w:val="21"/>
              </w:rPr>
            </w:pPr>
            <w:r>
              <w:rPr>
                <w:rFonts w:hint="eastAsia" w:ascii="宋体" w:hAnsi="宋体" w:cs="宋体"/>
                <w:szCs w:val="21"/>
              </w:rPr>
              <w:t>是否允许递交备选投标方案</w:t>
            </w:r>
          </w:p>
        </w:tc>
        <w:tc>
          <w:tcPr>
            <w:tcW w:w="6250" w:type="dxa"/>
            <w:tcBorders>
              <w:top w:val="single" w:color="auto" w:sz="4" w:space="0"/>
              <w:left w:val="single" w:color="auto" w:sz="4" w:space="0"/>
              <w:bottom w:val="single" w:color="auto" w:sz="4" w:space="0"/>
              <w:right w:val="single" w:color="auto" w:sz="4" w:space="0"/>
            </w:tcBorders>
            <w:vAlign w:val="center"/>
          </w:tcPr>
          <w:p>
            <w:pPr>
              <w:pStyle w:val="11"/>
              <w:topLinePunct/>
              <w:snapToGrid w:val="0"/>
              <w:textAlignment w:val="baseline"/>
              <w:rPr>
                <w:rFonts w:hAnsi="宋体" w:cs="宋体"/>
                <w:sz w:val="21"/>
                <w:szCs w:val="21"/>
              </w:rPr>
            </w:pPr>
            <w:r>
              <w:rPr>
                <w:rFonts w:hint="eastAsia" w:hAnsi="宋体" w:cs="宋体"/>
                <w:sz w:val="21"/>
                <w:szCs w:val="21"/>
              </w:rPr>
              <w:t>不允许</w:t>
            </w:r>
          </w:p>
        </w:tc>
      </w:tr>
      <w:tr>
        <w:tblPrEx>
          <w:tblCellMar>
            <w:top w:w="0" w:type="dxa"/>
            <w:left w:w="108" w:type="dxa"/>
            <w:bottom w:w="0" w:type="dxa"/>
            <w:right w:w="108" w:type="dxa"/>
          </w:tblCellMar>
        </w:tblPrEx>
        <w:trPr>
          <w:trHeight w:val="152" w:hRule="atLeast"/>
          <w:jc w:val="center"/>
        </w:trPr>
        <w:tc>
          <w:tcPr>
            <w:tcW w:w="1073" w:type="dxa"/>
            <w:tcBorders>
              <w:top w:val="single" w:color="auto" w:sz="4" w:space="0"/>
              <w:left w:val="single" w:color="auto" w:sz="4" w:space="0"/>
              <w:bottom w:val="single" w:color="auto" w:sz="4" w:space="0"/>
              <w:right w:val="single" w:color="auto" w:sz="4" w:space="0"/>
            </w:tcBorders>
            <w:vAlign w:val="center"/>
          </w:tcPr>
          <w:p>
            <w:pPr>
              <w:snapToGrid w:val="0"/>
              <w:jc w:val="center"/>
              <w:textAlignment w:val="baseline"/>
              <w:rPr>
                <w:rFonts w:ascii="宋体" w:hAnsi="宋体" w:cs="宋体"/>
                <w:szCs w:val="21"/>
              </w:rPr>
            </w:pPr>
            <w:r>
              <w:rPr>
                <w:rFonts w:hint="eastAsia" w:ascii="宋体" w:hAnsi="宋体" w:cs="宋体"/>
                <w:szCs w:val="21"/>
              </w:rPr>
              <w:t>3.7.3</w:t>
            </w:r>
          </w:p>
        </w:tc>
        <w:tc>
          <w:tcPr>
            <w:tcW w:w="1937" w:type="dxa"/>
            <w:tcBorders>
              <w:top w:val="single" w:color="auto" w:sz="4" w:space="0"/>
              <w:left w:val="single" w:color="auto" w:sz="4" w:space="0"/>
              <w:bottom w:val="single" w:color="auto" w:sz="4" w:space="0"/>
              <w:right w:val="single" w:color="auto" w:sz="4" w:space="0"/>
            </w:tcBorders>
            <w:vAlign w:val="center"/>
          </w:tcPr>
          <w:p>
            <w:pPr>
              <w:snapToGrid w:val="0"/>
              <w:jc w:val="center"/>
              <w:textAlignment w:val="baseline"/>
              <w:rPr>
                <w:rFonts w:ascii="宋体" w:hAnsi="宋体" w:cs="宋体"/>
                <w:szCs w:val="21"/>
              </w:rPr>
            </w:pPr>
            <w:r>
              <w:rPr>
                <w:rFonts w:hint="eastAsia" w:ascii="宋体" w:hAnsi="宋体" w:cs="宋体"/>
                <w:szCs w:val="21"/>
              </w:rPr>
              <w:t>签字或盖章要求</w:t>
            </w:r>
          </w:p>
        </w:tc>
        <w:tc>
          <w:tcPr>
            <w:tcW w:w="6250" w:type="dxa"/>
            <w:tcBorders>
              <w:top w:val="single" w:color="auto" w:sz="4" w:space="0"/>
              <w:left w:val="single" w:color="auto" w:sz="4" w:space="0"/>
              <w:bottom w:val="single" w:color="auto" w:sz="4" w:space="0"/>
              <w:right w:val="single" w:color="auto" w:sz="4" w:space="0"/>
            </w:tcBorders>
            <w:vAlign w:val="center"/>
          </w:tcPr>
          <w:p>
            <w:pPr>
              <w:pStyle w:val="65"/>
              <w:tabs>
                <w:tab w:val="left" w:pos="641"/>
              </w:tabs>
              <w:snapToGrid w:val="0"/>
              <w:ind w:left="107"/>
              <w:jc w:val="left"/>
              <w:rPr>
                <w:rFonts w:hint="eastAsia"/>
                <w:szCs w:val="21"/>
              </w:rPr>
            </w:pPr>
            <w:r>
              <w:rPr>
                <w:rFonts w:hint="eastAsia"/>
                <w:szCs w:val="21"/>
              </w:rPr>
              <w:t>（1）所有要求投标人加盖公章的地方都应加盖投标人单位的企业 CA 签章</w:t>
            </w:r>
            <w:r>
              <w:rPr>
                <w:rFonts w:hint="eastAsia"/>
                <w:szCs w:val="21"/>
                <w:lang w:val="en-US" w:eastAsia="zh-CN"/>
              </w:rPr>
              <w:t>或加盖公章的扫描件</w:t>
            </w:r>
            <w:r>
              <w:rPr>
                <w:rFonts w:hint="eastAsia"/>
                <w:szCs w:val="21"/>
              </w:rPr>
              <w:t>。</w:t>
            </w:r>
          </w:p>
          <w:p>
            <w:pPr>
              <w:pStyle w:val="65"/>
              <w:tabs>
                <w:tab w:val="left" w:pos="641"/>
              </w:tabs>
              <w:snapToGrid w:val="0"/>
              <w:ind w:left="107"/>
              <w:jc w:val="left"/>
              <w:rPr>
                <w:rFonts w:hint="eastAsia"/>
                <w:szCs w:val="21"/>
              </w:rPr>
            </w:pPr>
            <w:r>
              <w:rPr>
                <w:rFonts w:hint="eastAsia"/>
                <w:szCs w:val="21"/>
              </w:rPr>
              <w:t>（2）所有要求法定代表人签字的地方可以用法定代表人手写签字的扫描件</w:t>
            </w:r>
            <w:r>
              <w:rPr>
                <w:rFonts w:hint="eastAsia"/>
                <w:szCs w:val="21"/>
                <w:lang w:eastAsia="zh-CN"/>
              </w:rPr>
              <w:t>或</w:t>
            </w:r>
            <w:r>
              <w:rPr>
                <w:rFonts w:hint="eastAsia"/>
                <w:szCs w:val="21"/>
              </w:rPr>
              <w:t>法定代表人个人CA印章。</w:t>
            </w:r>
          </w:p>
          <w:p>
            <w:pPr>
              <w:pStyle w:val="65"/>
              <w:tabs>
                <w:tab w:val="left" w:pos="641"/>
              </w:tabs>
              <w:snapToGrid w:val="0"/>
              <w:ind w:left="107"/>
              <w:jc w:val="left"/>
              <w:rPr>
                <w:szCs w:val="21"/>
              </w:rPr>
            </w:pPr>
            <w:r>
              <w:rPr>
                <w:rFonts w:hint="eastAsia"/>
                <w:szCs w:val="21"/>
              </w:rPr>
              <w:t>（3）所有要求其委托代理人签字的地方可以用授权委托人手写签字的扫描件。</w:t>
            </w:r>
          </w:p>
        </w:tc>
      </w:tr>
      <w:tr>
        <w:tblPrEx>
          <w:tblCellMar>
            <w:top w:w="0" w:type="dxa"/>
            <w:left w:w="108" w:type="dxa"/>
            <w:bottom w:w="0" w:type="dxa"/>
            <w:right w:w="108" w:type="dxa"/>
          </w:tblCellMar>
        </w:tblPrEx>
        <w:trPr>
          <w:trHeight w:val="567" w:hRule="atLeast"/>
          <w:jc w:val="center"/>
        </w:trPr>
        <w:tc>
          <w:tcPr>
            <w:tcW w:w="1073"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宋体" w:hAnsi="宋体" w:cs="宋体"/>
                <w:szCs w:val="21"/>
              </w:rPr>
            </w:pPr>
            <w:r>
              <w:rPr>
                <w:rFonts w:hint="eastAsia" w:ascii="宋体" w:hAnsi="宋体" w:cs="宋体"/>
                <w:szCs w:val="21"/>
              </w:rPr>
              <w:t>3.7.4</w:t>
            </w:r>
          </w:p>
        </w:tc>
        <w:tc>
          <w:tcPr>
            <w:tcW w:w="1937"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宋体" w:hAnsi="宋体" w:cs="宋体"/>
                <w:szCs w:val="21"/>
              </w:rPr>
            </w:pPr>
            <w:r>
              <w:rPr>
                <w:rFonts w:hint="eastAsia" w:ascii="宋体" w:hAnsi="宋体" w:cs="宋体"/>
                <w:szCs w:val="21"/>
              </w:rPr>
              <w:t>投标文件份数</w:t>
            </w:r>
          </w:p>
        </w:tc>
        <w:tc>
          <w:tcPr>
            <w:tcW w:w="6250"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hint="eastAsia" w:ascii="宋体" w:hAnsi="宋体" w:cs="宋体"/>
                <w:szCs w:val="21"/>
              </w:rPr>
            </w:pPr>
            <w:r>
              <w:rPr>
                <w:rFonts w:hint="eastAsia" w:ascii="宋体" w:hAnsi="宋体" w:cs="宋体"/>
                <w:szCs w:val="21"/>
              </w:rPr>
              <w:t>加密的电子投标文件壹份（.jztf 格式在</w:t>
            </w:r>
            <w:r>
              <w:rPr>
                <w:rFonts w:hint="eastAsia" w:ascii="宋体" w:hAnsi="宋体" w:cs="宋体"/>
                <w:szCs w:val="21"/>
                <w:lang w:eastAsia="zh-CN"/>
              </w:rPr>
              <w:t>交易平台</w:t>
            </w:r>
            <w:r>
              <w:rPr>
                <w:rFonts w:hint="eastAsia" w:ascii="宋体" w:hAnsi="宋体" w:cs="宋体"/>
                <w:szCs w:val="21"/>
              </w:rPr>
              <w:t>指定位置上传）；自备非加密的电子投标文件一份，如有紧急情况，在不见面开标按要求上传。</w:t>
            </w:r>
          </w:p>
          <w:p>
            <w:pPr>
              <w:adjustRightInd w:val="0"/>
              <w:snapToGrid w:val="0"/>
            </w:pPr>
            <w:r>
              <w:rPr>
                <w:rFonts w:hint="eastAsia" w:ascii="宋体" w:hAnsi="宋体" w:cs="宋体"/>
                <w:szCs w:val="21"/>
              </w:rPr>
              <w:t>注：本工程投标时不需要提供纸质投标文件。中标单位在确定中标后，领取中标通知</w:t>
            </w:r>
            <w:r>
              <w:rPr>
                <w:rFonts w:hint="eastAsia" w:ascii="宋体" w:hAnsi="宋体" w:cs="宋体"/>
                <w:color w:val="000000" w:themeColor="text1"/>
                <w:szCs w:val="21"/>
                <w14:textFill>
                  <w14:solidFill>
                    <w14:schemeClr w14:val="tx1"/>
                  </w14:solidFill>
                </w14:textFill>
              </w:rPr>
              <w:t>书时需提供</w:t>
            </w:r>
            <w:r>
              <w:rPr>
                <w:rFonts w:hint="eastAsia" w:ascii="宋体" w:hAnsi="宋体" w:cs="宋体"/>
                <w:color w:val="000000" w:themeColor="text1"/>
                <w:szCs w:val="21"/>
                <w:lang w:val="en-US" w:eastAsia="zh-CN"/>
                <w14:textFill>
                  <w14:solidFill>
                    <w14:schemeClr w14:val="tx1"/>
                  </w14:solidFill>
                </w14:textFill>
              </w:rPr>
              <w:t>陆</w:t>
            </w:r>
            <w:r>
              <w:rPr>
                <w:rFonts w:hint="eastAsia" w:ascii="宋体" w:hAnsi="宋体" w:cs="宋体"/>
                <w:color w:val="000000" w:themeColor="text1"/>
                <w:szCs w:val="21"/>
                <w14:textFill>
                  <w14:solidFill>
                    <w14:schemeClr w14:val="tx1"/>
                  </w14:solidFill>
                </w14:textFill>
              </w:rPr>
              <w:t>份使用CA系统打印</w:t>
            </w:r>
            <w:r>
              <w:rPr>
                <w:rFonts w:hint="eastAsia" w:ascii="宋体" w:hAnsi="宋体" w:cs="宋体"/>
                <w:szCs w:val="21"/>
              </w:rPr>
              <w:t>出来的完整的投标文件交招标人或招标代理（其中，正本壹份，副本</w:t>
            </w:r>
            <w:r>
              <w:rPr>
                <w:rFonts w:hint="eastAsia" w:ascii="宋体" w:hAnsi="宋体" w:cs="宋体"/>
                <w:szCs w:val="21"/>
                <w:lang w:val="en-US" w:eastAsia="zh-CN"/>
              </w:rPr>
              <w:t>伍</w:t>
            </w:r>
            <w:r>
              <w:rPr>
                <w:rFonts w:hint="eastAsia" w:ascii="宋体" w:hAnsi="宋体" w:cs="宋体"/>
                <w:szCs w:val="21"/>
              </w:rPr>
              <w:t>份）及不加密格式电子文件一份。</w:t>
            </w:r>
          </w:p>
        </w:tc>
      </w:tr>
      <w:tr>
        <w:tblPrEx>
          <w:tblCellMar>
            <w:top w:w="0" w:type="dxa"/>
            <w:left w:w="108" w:type="dxa"/>
            <w:bottom w:w="0" w:type="dxa"/>
            <w:right w:w="108" w:type="dxa"/>
          </w:tblCellMar>
        </w:tblPrEx>
        <w:trPr>
          <w:trHeight w:val="1651" w:hRule="atLeast"/>
          <w:jc w:val="center"/>
        </w:trPr>
        <w:tc>
          <w:tcPr>
            <w:tcW w:w="1073"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宋体" w:hAnsi="宋体" w:cs="宋体"/>
                <w:szCs w:val="21"/>
              </w:rPr>
            </w:pPr>
            <w:r>
              <w:rPr>
                <w:rFonts w:hint="eastAsia" w:ascii="宋体" w:hAnsi="宋体" w:cs="宋体"/>
                <w:szCs w:val="21"/>
              </w:rPr>
              <w:t>4.2.1</w:t>
            </w:r>
          </w:p>
        </w:tc>
        <w:tc>
          <w:tcPr>
            <w:tcW w:w="1937"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宋体" w:hAnsi="宋体" w:cs="宋体"/>
                <w:szCs w:val="21"/>
              </w:rPr>
            </w:pPr>
            <w:r>
              <w:rPr>
                <w:rFonts w:hint="eastAsia" w:ascii="宋体" w:hAnsi="宋体" w:cs="宋体"/>
                <w:szCs w:val="21"/>
              </w:rPr>
              <w:t>投标文件的递交</w:t>
            </w:r>
          </w:p>
        </w:tc>
        <w:tc>
          <w:tcPr>
            <w:tcW w:w="6250"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宋体" w:hAnsi="宋体" w:cs="宋体"/>
                <w:szCs w:val="21"/>
              </w:rPr>
            </w:pPr>
            <w:r>
              <w:rPr>
                <w:rFonts w:hint="eastAsia" w:ascii="宋体" w:hAnsi="宋体" w:cs="宋体"/>
                <w:szCs w:val="21"/>
              </w:rPr>
              <w:t>（1）电子投标文件的递交</w:t>
            </w:r>
          </w:p>
          <w:p>
            <w:pPr>
              <w:adjustRightInd w:val="0"/>
              <w:snapToGrid w:val="0"/>
              <w:rPr>
                <w:rFonts w:ascii="宋体" w:hAnsi="宋体" w:cs="宋体"/>
                <w:szCs w:val="21"/>
              </w:rPr>
            </w:pPr>
            <w:r>
              <w:rPr>
                <w:rFonts w:hint="eastAsia" w:ascii="宋体" w:hAnsi="宋体" w:cs="宋体"/>
                <w:szCs w:val="21"/>
              </w:rPr>
              <w:t>a、各投标人应在投标截至时间前上传加密的电子投标文件</w:t>
            </w:r>
          </w:p>
          <w:p>
            <w:pPr>
              <w:adjustRightInd w:val="0"/>
              <w:snapToGrid w:val="0"/>
              <w:rPr>
                <w:rFonts w:ascii="宋体" w:hAnsi="宋体" w:cs="宋体"/>
                <w:szCs w:val="21"/>
              </w:rPr>
            </w:pPr>
            <w:r>
              <w:rPr>
                <w:rFonts w:hint="eastAsia" w:ascii="宋体" w:hAnsi="宋体" w:cs="宋体"/>
                <w:szCs w:val="21"/>
              </w:rPr>
              <w:t>（*.jztf 格式）到会员系统的指定位置。上传时必须得到电脑“上传成功”的确认回复。请投标人在上传时认真检查上传投标文件是否完整、正确。</w:t>
            </w:r>
          </w:p>
          <w:p>
            <w:pPr>
              <w:adjustRightInd w:val="0"/>
              <w:snapToGrid w:val="0"/>
              <w:rPr>
                <w:rFonts w:ascii="宋体" w:hAnsi="宋体" w:cs="宋体"/>
                <w:szCs w:val="21"/>
              </w:rPr>
            </w:pPr>
            <w:r>
              <w:rPr>
                <w:rFonts w:hint="eastAsia" w:ascii="宋体" w:hAnsi="宋体" w:cs="宋体"/>
                <w:szCs w:val="21"/>
              </w:rPr>
              <w:t>b、投标人因交易中心交易系统无法上传电子投标文件时， 请在工作时间与焦作市公共资源交易中心联系，联系电话：0391-3568395。</w:t>
            </w:r>
          </w:p>
        </w:tc>
      </w:tr>
      <w:tr>
        <w:tblPrEx>
          <w:tblCellMar>
            <w:top w:w="0" w:type="dxa"/>
            <w:left w:w="108" w:type="dxa"/>
            <w:bottom w:w="0" w:type="dxa"/>
            <w:right w:w="108" w:type="dxa"/>
          </w:tblCellMar>
        </w:tblPrEx>
        <w:trPr>
          <w:trHeight w:val="1168" w:hRule="atLeast"/>
          <w:jc w:val="center"/>
        </w:trPr>
        <w:tc>
          <w:tcPr>
            <w:tcW w:w="1073"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宋体" w:hAnsi="宋体" w:cs="宋体"/>
                <w:szCs w:val="21"/>
              </w:rPr>
            </w:pPr>
            <w:r>
              <w:rPr>
                <w:rFonts w:hint="eastAsia" w:ascii="宋体" w:hAnsi="宋体" w:cs="宋体"/>
                <w:szCs w:val="21"/>
              </w:rPr>
              <w:t>4.2.2</w:t>
            </w:r>
          </w:p>
        </w:tc>
        <w:tc>
          <w:tcPr>
            <w:tcW w:w="1937"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宋体" w:hAnsi="宋体" w:cs="宋体"/>
                <w:szCs w:val="21"/>
              </w:rPr>
            </w:pPr>
            <w:r>
              <w:rPr>
                <w:rFonts w:hint="eastAsia" w:ascii="宋体" w:hAnsi="宋体" w:cs="宋体"/>
                <w:szCs w:val="21"/>
              </w:rPr>
              <w:t>递交投标文件地点</w:t>
            </w:r>
          </w:p>
        </w:tc>
        <w:tc>
          <w:tcPr>
            <w:tcW w:w="625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宋体" w:hAnsi="宋体" w:cs="宋体"/>
                <w:szCs w:val="21"/>
              </w:rPr>
            </w:pPr>
            <w:r>
              <w:rPr>
                <w:rFonts w:hint="eastAsia" w:ascii="宋体" w:hAnsi="宋体" w:cs="宋体"/>
                <w:szCs w:val="21"/>
              </w:rPr>
              <w:t>本项目采用</w:t>
            </w:r>
            <w:r>
              <w:rPr>
                <w:rFonts w:hint="eastAsia" w:ascii="宋体" w:hAnsi="宋体" w:cs="宋体"/>
                <w:b/>
                <w:bCs/>
                <w:szCs w:val="21"/>
              </w:rPr>
              <w:t>“远程不见面</w:t>
            </w:r>
            <w:r>
              <w:rPr>
                <w:rFonts w:hint="eastAsia" w:ascii="宋体" w:hAnsi="宋体" w:cs="宋体"/>
                <w:szCs w:val="21"/>
              </w:rPr>
              <w:t xml:space="preserve">”开标方式，远程开标大厅网址为http://122.112.246.33/BidOpening/bidopeninghallaction/hall/login，投标人无需到焦作市公共资源交易中心现场参加开标会议，无需到达现场提交原件资料。投标人应当在投标截止时间前，登录远程开标大厅，在线准时参加开标活动并进行文件解密等。  </w:t>
            </w:r>
          </w:p>
        </w:tc>
      </w:tr>
      <w:tr>
        <w:tblPrEx>
          <w:tblCellMar>
            <w:top w:w="0" w:type="dxa"/>
            <w:left w:w="108" w:type="dxa"/>
            <w:bottom w:w="0" w:type="dxa"/>
            <w:right w:w="108" w:type="dxa"/>
          </w:tblCellMar>
        </w:tblPrEx>
        <w:trPr>
          <w:trHeight w:val="567" w:hRule="atLeast"/>
          <w:jc w:val="center"/>
        </w:trPr>
        <w:tc>
          <w:tcPr>
            <w:tcW w:w="1073" w:type="dxa"/>
            <w:tcBorders>
              <w:top w:val="single" w:color="auto" w:sz="4" w:space="0"/>
              <w:left w:val="single" w:color="auto" w:sz="4" w:space="0"/>
              <w:bottom w:val="single" w:color="auto" w:sz="4" w:space="0"/>
              <w:right w:val="single" w:color="auto" w:sz="4" w:space="0"/>
            </w:tcBorders>
            <w:vAlign w:val="center"/>
          </w:tcPr>
          <w:p>
            <w:pPr>
              <w:snapToGrid w:val="0"/>
              <w:jc w:val="left"/>
              <w:textAlignment w:val="baseline"/>
              <w:rPr>
                <w:rFonts w:ascii="宋体" w:hAnsi="宋体" w:cs="宋体"/>
                <w:szCs w:val="21"/>
              </w:rPr>
            </w:pPr>
            <w:r>
              <w:rPr>
                <w:rFonts w:hint="eastAsia" w:ascii="宋体" w:hAnsi="宋体" w:cs="宋体"/>
                <w:szCs w:val="21"/>
              </w:rPr>
              <w:t>4.2.3</w:t>
            </w:r>
          </w:p>
        </w:tc>
        <w:tc>
          <w:tcPr>
            <w:tcW w:w="1937" w:type="dxa"/>
            <w:tcBorders>
              <w:top w:val="single" w:color="auto" w:sz="4" w:space="0"/>
              <w:left w:val="single" w:color="auto" w:sz="4" w:space="0"/>
              <w:bottom w:val="single" w:color="auto" w:sz="4" w:space="0"/>
              <w:right w:val="single" w:color="auto" w:sz="4" w:space="0"/>
            </w:tcBorders>
            <w:vAlign w:val="center"/>
          </w:tcPr>
          <w:p>
            <w:pPr>
              <w:snapToGrid w:val="0"/>
              <w:jc w:val="center"/>
              <w:textAlignment w:val="baseline"/>
              <w:rPr>
                <w:rFonts w:ascii="宋体" w:hAnsi="宋体" w:cs="宋体"/>
                <w:szCs w:val="21"/>
              </w:rPr>
            </w:pPr>
            <w:r>
              <w:rPr>
                <w:rFonts w:hint="eastAsia" w:ascii="宋体" w:hAnsi="宋体" w:cs="宋体"/>
                <w:szCs w:val="21"/>
              </w:rPr>
              <w:t>是否退还投标文件</w:t>
            </w:r>
          </w:p>
        </w:tc>
        <w:tc>
          <w:tcPr>
            <w:tcW w:w="6250" w:type="dxa"/>
            <w:tcBorders>
              <w:top w:val="single" w:color="auto" w:sz="4" w:space="0"/>
              <w:left w:val="single" w:color="auto" w:sz="4" w:space="0"/>
              <w:bottom w:val="single" w:color="auto" w:sz="4" w:space="0"/>
              <w:right w:val="single" w:color="auto" w:sz="4" w:space="0"/>
            </w:tcBorders>
            <w:vAlign w:val="center"/>
          </w:tcPr>
          <w:p>
            <w:pPr>
              <w:pStyle w:val="11"/>
              <w:topLinePunct/>
              <w:snapToGrid w:val="0"/>
              <w:textAlignment w:val="baseline"/>
              <w:rPr>
                <w:rFonts w:hAnsi="宋体" w:cs="宋体"/>
                <w:sz w:val="21"/>
                <w:szCs w:val="21"/>
              </w:rPr>
            </w:pPr>
            <w:r>
              <w:rPr>
                <w:rFonts w:hint="eastAsia" w:hAnsi="宋体" w:cs="宋体"/>
                <w:sz w:val="21"/>
                <w:szCs w:val="21"/>
              </w:rPr>
              <w:t>否</w:t>
            </w:r>
          </w:p>
        </w:tc>
      </w:tr>
      <w:tr>
        <w:tblPrEx>
          <w:tblCellMar>
            <w:top w:w="0" w:type="dxa"/>
            <w:left w:w="108" w:type="dxa"/>
            <w:bottom w:w="0" w:type="dxa"/>
            <w:right w:w="108" w:type="dxa"/>
          </w:tblCellMar>
        </w:tblPrEx>
        <w:trPr>
          <w:trHeight w:val="90" w:hRule="atLeast"/>
          <w:jc w:val="center"/>
        </w:trPr>
        <w:tc>
          <w:tcPr>
            <w:tcW w:w="1073" w:type="dxa"/>
            <w:tcBorders>
              <w:top w:val="single" w:color="auto" w:sz="4" w:space="0"/>
              <w:left w:val="single" w:color="auto" w:sz="4" w:space="0"/>
              <w:right w:val="single" w:color="auto" w:sz="4" w:space="0"/>
            </w:tcBorders>
            <w:vAlign w:val="center"/>
          </w:tcPr>
          <w:p>
            <w:pPr>
              <w:adjustRightInd w:val="0"/>
              <w:snapToGrid w:val="0"/>
              <w:rPr>
                <w:rFonts w:ascii="宋体" w:hAnsi="宋体" w:cs="宋体"/>
                <w:szCs w:val="21"/>
              </w:rPr>
            </w:pPr>
            <w:r>
              <w:rPr>
                <w:rFonts w:hint="eastAsia" w:ascii="宋体" w:hAnsi="宋体" w:cs="宋体"/>
                <w:szCs w:val="21"/>
              </w:rPr>
              <w:t>5.1</w:t>
            </w:r>
          </w:p>
        </w:tc>
        <w:tc>
          <w:tcPr>
            <w:tcW w:w="1937" w:type="dxa"/>
            <w:tcBorders>
              <w:top w:val="single" w:color="auto" w:sz="4" w:space="0"/>
              <w:left w:val="single" w:color="auto" w:sz="4" w:space="0"/>
              <w:right w:val="single" w:color="auto" w:sz="4" w:space="0"/>
            </w:tcBorders>
            <w:vAlign w:val="center"/>
          </w:tcPr>
          <w:p>
            <w:pPr>
              <w:adjustRightInd w:val="0"/>
              <w:snapToGrid w:val="0"/>
              <w:rPr>
                <w:rFonts w:ascii="宋体" w:hAnsi="宋体" w:cs="宋体"/>
                <w:szCs w:val="21"/>
              </w:rPr>
            </w:pPr>
            <w:r>
              <w:rPr>
                <w:rFonts w:hint="eastAsia" w:ascii="宋体" w:hAnsi="宋体" w:cs="宋体"/>
                <w:szCs w:val="21"/>
              </w:rPr>
              <w:t>开标时间和地点</w:t>
            </w:r>
          </w:p>
        </w:tc>
        <w:tc>
          <w:tcPr>
            <w:tcW w:w="6250" w:type="dxa"/>
            <w:tcBorders>
              <w:top w:val="single" w:color="auto" w:sz="4" w:space="0"/>
              <w:left w:val="single" w:color="auto" w:sz="4" w:space="0"/>
              <w:right w:val="single" w:color="auto" w:sz="4" w:space="0"/>
            </w:tcBorders>
            <w:shd w:val="clear" w:color="auto" w:fill="auto"/>
            <w:vAlign w:val="center"/>
          </w:tcPr>
          <w:p>
            <w:pPr>
              <w:adjustRightInd w:val="0"/>
              <w:snapToGrid w:val="0"/>
              <w:rPr>
                <w:rFonts w:ascii="宋体" w:hAnsi="宋体" w:cs="宋体"/>
                <w:szCs w:val="21"/>
              </w:rPr>
            </w:pPr>
            <w:r>
              <w:rPr>
                <w:rFonts w:hint="eastAsia" w:ascii="宋体" w:hAnsi="宋体" w:cs="宋体"/>
                <w:bCs/>
                <w:szCs w:val="21"/>
              </w:rPr>
              <w:t>开标时</w:t>
            </w:r>
            <w:r>
              <w:rPr>
                <w:rFonts w:hint="eastAsia" w:ascii="宋体" w:hAnsi="宋体" w:cs="宋体"/>
                <w:bCs/>
                <w:color w:val="auto"/>
                <w:szCs w:val="21"/>
              </w:rPr>
              <w:t>间为</w:t>
            </w:r>
            <w:r>
              <w:rPr>
                <w:rFonts w:hint="eastAsia" w:ascii="宋体" w:hAnsi="宋体" w:cs="宋体"/>
                <w:bCs/>
                <w:color w:val="auto"/>
                <w:szCs w:val="21"/>
                <w:highlight w:val="none"/>
                <w:shd w:val="clear"/>
                <w:lang w:eastAsia="zh-CN"/>
              </w:rPr>
              <w:t>2024</w:t>
            </w:r>
            <w:r>
              <w:rPr>
                <w:rFonts w:hint="eastAsia" w:ascii="宋体" w:hAnsi="宋体" w:cs="宋体"/>
                <w:bCs/>
                <w:color w:val="auto"/>
                <w:szCs w:val="21"/>
                <w:highlight w:val="none"/>
                <w:shd w:val="clear"/>
              </w:rPr>
              <w:t>年</w:t>
            </w:r>
            <w:r>
              <w:rPr>
                <w:rFonts w:hint="eastAsia" w:ascii="宋体" w:hAnsi="宋体" w:cs="宋体"/>
                <w:bCs/>
                <w:color w:val="auto"/>
                <w:szCs w:val="21"/>
                <w:highlight w:val="none"/>
                <w:shd w:val="clear"/>
                <w:lang w:val="en-US" w:eastAsia="zh-CN"/>
              </w:rPr>
              <w:t>4</w:t>
            </w:r>
            <w:r>
              <w:rPr>
                <w:rFonts w:hint="eastAsia" w:ascii="宋体" w:hAnsi="宋体" w:cs="宋体"/>
                <w:bCs/>
                <w:color w:val="auto"/>
                <w:szCs w:val="21"/>
                <w:highlight w:val="none"/>
                <w:shd w:val="clear"/>
              </w:rPr>
              <w:t>月</w:t>
            </w:r>
            <w:r>
              <w:rPr>
                <w:rFonts w:hint="eastAsia" w:ascii="宋体" w:hAnsi="宋体" w:cs="宋体"/>
                <w:bCs/>
                <w:color w:val="auto"/>
                <w:szCs w:val="21"/>
                <w:highlight w:val="none"/>
                <w:shd w:val="clear"/>
                <w:lang w:val="en-US" w:eastAsia="zh-CN"/>
              </w:rPr>
              <w:t>10</w:t>
            </w:r>
            <w:r>
              <w:rPr>
                <w:rFonts w:hint="eastAsia" w:ascii="宋体" w:hAnsi="宋体" w:cs="宋体"/>
                <w:bCs/>
                <w:color w:val="auto"/>
                <w:szCs w:val="21"/>
                <w:highlight w:val="none"/>
                <w:shd w:val="clear"/>
              </w:rPr>
              <w:t>日</w:t>
            </w:r>
            <w:r>
              <w:rPr>
                <w:rFonts w:hint="eastAsia" w:ascii="宋体" w:hAnsi="宋体" w:cs="宋体"/>
                <w:bCs/>
                <w:color w:val="auto"/>
                <w:szCs w:val="21"/>
                <w:highlight w:val="none"/>
                <w:shd w:val="clear"/>
              </w:rPr>
              <w:t>9时 00分</w:t>
            </w:r>
            <w:r>
              <w:rPr>
                <w:rFonts w:hint="eastAsia" w:ascii="宋体" w:hAnsi="宋体" w:cs="宋体"/>
                <w:bCs/>
                <w:color w:val="auto"/>
                <w:szCs w:val="21"/>
              </w:rPr>
              <w:t>。现场开标地点为焦作市人民路889号阳光大厦B座公共资源交易中心</w:t>
            </w:r>
            <w:r>
              <w:rPr>
                <w:rFonts w:hint="eastAsia" w:ascii="宋体" w:hAnsi="宋体" w:cs="宋体"/>
                <w:bCs/>
                <w:color w:val="auto"/>
                <w:szCs w:val="21"/>
                <w:highlight w:val="none"/>
                <w:lang w:eastAsia="zh-CN"/>
              </w:rPr>
              <w:t>第</w:t>
            </w:r>
            <w:r>
              <w:rPr>
                <w:rFonts w:hint="eastAsia" w:ascii="宋体" w:hAnsi="宋体" w:cs="宋体"/>
                <w:bCs/>
                <w:color w:val="auto"/>
                <w:szCs w:val="21"/>
                <w:highlight w:val="none"/>
                <w:lang w:val="en-US" w:eastAsia="zh-CN"/>
              </w:rPr>
              <w:t>一</w:t>
            </w:r>
            <w:r>
              <w:rPr>
                <w:rFonts w:hint="eastAsia" w:ascii="宋体" w:hAnsi="宋体" w:cs="宋体"/>
                <w:bCs/>
                <w:color w:val="auto"/>
                <w:szCs w:val="21"/>
                <w:highlight w:val="none"/>
              </w:rPr>
              <w:t>开标室</w:t>
            </w:r>
            <w:r>
              <w:rPr>
                <w:rFonts w:hint="eastAsia" w:ascii="宋体" w:hAnsi="宋体" w:cs="宋体"/>
                <w:bCs/>
                <w:color w:val="auto"/>
                <w:szCs w:val="21"/>
                <w:highlight w:val="none"/>
                <w:lang w:val="en-US" w:eastAsia="zh-CN"/>
              </w:rPr>
              <w:t>1</w:t>
            </w:r>
            <w:r>
              <w:rPr>
                <w:rFonts w:hint="eastAsia" w:ascii="宋体" w:hAnsi="宋体" w:cs="宋体"/>
                <w:bCs/>
                <w:color w:val="auto"/>
                <w:szCs w:val="21"/>
                <w:highlight w:val="none"/>
              </w:rPr>
              <w:t>号机</w:t>
            </w:r>
          </w:p>
        </w:tc>
      </w:tr>
      <w:tr>
        <w:tblPrEx>
          <w:tblCellMar>
            <w:top w:w="0" w:type="dxa"/>
            <w:left w:w="108" w:type="dxa"/>
            <w:bottom w:w="0" w:type="dxa"/>
            <w:right w:w="108" w:type="dxa"/>
          </w:tblCellMar>
        </w:tblPrEx>
        <w:trPr>
          <w:trHeight w:val="90" w:hRule="atLeast"/>
          <w:jc w:val="center"/>
        </w:trPr>
        <w:tc>
          <w:tcPr>
            <w:tcW w:w="1073" w:type="dxa"/>
            <w:tcBorders>
              <w:top w:val="single" w:color="auto" w:sz="4" w:space="0"/>
              <w:left w:val="single" w:color="auto" w:sz="4" w:space="0"/>
              <w:right w:val="single" w:color="auto" w:sz="4" w:space="0"/>
            </w:tcBorders>
            <w:vAlign w:val="center"/>
          </w:tcPr>
          <w:p>
            <w:pPr>
              <w:adjustRightInd w:val="0"/>
              <w:snapToGrid w:val="0"/>
              <w:rPr>
                <w:rFonts w:ascii="宋体" w:hAnsi="宋体" w:cs="宋体"/>
                <w:szCs w:val="21"/>
              </w:rPr>
            </w:pPr>
            <w:r>
              <w:rPr>
                <w:rFonts w:hint="eastAsia" w:ascii="宋体" w:hAnsi="宋体" w:cs="宋体"/>
                <w:szCs w:val="21"/>
              </w:rPr>
              <w:t>5.2</w:t>
            </w:r>
          </w:p>
        </w:tc>
        <w:tc>
          <w:tcPr>
            <w:tcW w:w="1937" w:type="dxa"/>
            <w:tcBorders>
              <w:top w:val="single" w:color="auto" w:sz="4" w:space="0"/>
              <w:left w:val="single" w:color="auto" w:sz="4" w:space="0"/>
              <w:right w:val="single" w:color="auto" w:sz="4" w:space="0"/>
            </w:tcBorders>
            <w:vAlign w:val="center"/>
          </w:tcPr>
          <w:p>
            <w:pPr>
              <w:adjustRightInd w:val="0"/>
              <w:snapToGrid w:val="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开标程序</w:t>
            </w:r>
          </w:p>
        </w:tc>
        <w:tc>
          <w:tcPr>
            <w:tcW w:w="6250" w:type="dxa"/>
            <w:tcBorders>
              <w:top w:val="single" w:color="auto" w:sz="4" w:space="0"/>
              <w:left w:val="single" w:color="auto" w:sz="4" w:space="0"/>
              <w:right w:val="single" w:color="auto" w:sz="4" w:space="0"/>
            </w:tcBorders>
            <w:vAlign w:val="center"/>
          </w:tcPr>
          <w:p>
            <w:pPr>
              <w:adjustRightInd w:val="0"/>
              <w:snapToGrid w:val="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（l）登录焦作市公共资源交易中心电子交易平台；</w:t>
            </w:r>
          </w:p>
          <w:p>
            <w:pPr>
              <w:adjustRightInd w:val="0"/>
              <w:snapToGrid w:val="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（2）公布投标人；</w:t>
            </w:r>
          </w:p>
          <w:p>
            <w:pPr>
              <w:adjustRightInd w:val="0"/>
              <w:snapToGrid w:val="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（3）在监督人监督下进行投标文件现场解密。</w:t>
            </w:r>
          </w:p>
          <w:p>
            <w:pPr>
              <w:adjustRightInd w:val="0"/>
              <w:snapToGrid w:val="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（4）电子投标文件必须凭制作投标文件所用的企业 CA 密匙在规定时间内完成解密。因加密电子投标文件未能成功上传或误传等自身原因而导致的解密失败,投标将被拒绝。</w:t>
            </w:r>
          </w:p>
          <w:p>
            <w:pPr>
              <w:adjustRightInd w:val="0"/>
              <w:snapToGrid w:val="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本工程采用电子开标，解密完成后各投标人的电子投标文件的实质性内容将自动显示在网页中。</w:t>
            </w:r>
          </w:p>
        </w:tc>
      </w:tr>
      <w:tr>
        <w:tblPrEx>
          <w:tblCellMar>
            <w:top w:w="0" w:type="dxa"/>
            <w:left w:w="108" w:type="dxa"/>
            <w:bottom w:w="0" w:type="dxa"/>
            <w:right w:w="108" w:type="dxa"/>
          </w:tblCellMar>
        </w:tblPrEx>
        <w:trPr>
          <w:trHeight w:val="567" w:hRule="atLeast"/>
          <w:jc w:val="center"/>
        </w:trPr>
        <w:tc>
          <w:tcPr>
            <w:tcW w:w="1073"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宋体" w:hAnsi="宋体" w:cs="宋体"/>
                <w:szCs w:val="21"/>
              </w:rPr>
            </w:pPr>
            <w:r>
              <w:rPr>
                <w:rFonts w:hint="eastAsia" w:ascii="宋体" w:hAnsi="宋体" w:cs="宋体"/>
                <w:szCs w:val="21"/>
              </w:rPr>
              <w:t>6.1.1</w:t>
            </w:r>
          </w:p>
        </w:tc>
        <w:tc>
          <w:tcPr>
            <w:tcW w:w="1937"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评标委员会的组建</w:t>
            </w:r>
          </w:p>
        </w:tc>
        <w:tc>
          <w:tcPr>
            <w:tcW w:w="625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评标委员会构成：</w:t>
            </w:r>
            <w:r>
              <w:rPr>
                <w:rFonts w:hint="eastAsia" w:ascii="宋体" w:hAnsi="宋体" w:cs="宋体"/>
                <w:color w:val="000000" w:themeColor="text1"/>
                <w:szCs w:val="21"/>
                <w:lang w:val="en-US" w:eastAsia="zh-CN"/>
                <w14:textFill>
                  <w14:solidFill>
                    <w14:schemeClr w14:val="tx1"/>
                  </w14:solidFill>
                </w14:textFill>
              </w:rPr>
              <w:t>7</w:t>
            </w:r>
            <w:r>
              <w:rPr>
                <w:rFonts w:hint="eastAsia" w:ascii="宋体" w:hAnsi="宋体" w:cs="宋体"/>
                <w:color w:val="000000" w:themeColor="text1"/>
                <w:szCs w:val="21"/>
                <w14:textFill>
                  <w14:solidFill>
                    <w14:schemeClr w14:val="tx1"/>
                  </w14:solidFill>
                </w14:textFill>
              </w:rPr>
              <w:t>人，其中招标人代表</w:t>
            </w:r>
            <w:r>
              <w:rPr>
                <w:rFonts w:hint="eastAsia" w:ascii="宋体" w:hAnsi="宋体" w:cs="宋体"/>
                <w:color w:val="000000" w:themeColor="text1"/>
                <w:szCs w:val="21"/>
                <w:lang w:val="en-US" w:eastAsia="zh-CN"/>
                <w14:textFill>
                  <w14:solidFill>
                    <w14:schemeClr w14:val="tx1"/>
                  </w14:solidFill>
                </w14:textFill>
              </w:rPr>
              <w:t>2</w:t>
            </w:r>
            <w:r>
              <w:rPr>
                <w:rFonts w:hint="eastAsia" w:ascii="宋体" w:hAnsi="宋体" w:cs="宋体"/>
                <w:color w:val="000000" w:themeColor="text1"/>
                <w:szCs w:val="21"/>
                <w14:textFill>
                  <w14:solidFill>
                    <w14:schemeClr w14:val="tx1"/>
                  </w14:solidFill>
                </w14:textFill>
              </w:rPr>
              <w:t>人，技术、经济等方面的专家</w:t>
            </w:r>
            <w:r>
              <w:rPr>
                <w:rFonts w:hint="eastAsia" w:ascii="宋体" w:hAnsi="宋体" w:cs="宋体"/>
                <w:color w:val="000000" w:themeColor="text1"/>
                <w:szCs w:val="21"/>
                <w:lang w:val="en-US" w:eastAsia="zh-CN"/>
                <w14:textFill>
                  <w14:solidFill>
                    <w14:schemeClr w14:val="tx1"/>
                  </w14:solidFill>
                </w14:textFill>
              </w:rPr>
              <w:t>5</w:t>
            </w:r>
            <w:r>
              <w:rPr>
                <w:rFonts w:hint="eastAsia" w:ascii="宋体" w:hAnsi="宋体" w:cs="宋体"/>
                <w:color w:val="000000" w:themeColor="text1"/>
                <w:szCs w:val="21"/>
                <w14:textFill>
                  <w14:solidFill>
                    <w14:schemeClr w14:val="tx1"/>
                  </w14:solidFill>
                </w14:textFill>
              </w:rPr>
              <w:t>人组成；</w:t>
            </w:r>
          </w:p>
          <w:p>
            <w:pPr>
              <w:adjustRightInd w:val="0"/>
              <w:snapToGrid w:val="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评标专家确定方式：开标当日在河南省综合评标专家库中随机抽取</w:t>
            </w:r>
          </w:p>
        </w:tc>
      </w:tr>
      <w:tr>
        <w:tblPrEx>
          <w:tblCellMar>
            <w:top w:w="0" w:type="dxa"/>
            <w:left w:w="108" w:type="dxa"/>
            <w:bottom w:w="0" w:type="dxa"/>
            <w:right w:w="108" w:type="dxa"/>
          </w:tblCellMar>
        </w:tblPrEx>
        <w:trPr>
          <w:trHeight w:val="567" w:hRule="atLeast"/>
          <w:jc w:val="center"/>
        </w:trPr>
        <w:tc>
          <w:tcPr>
            <w:tcW w:w="1073"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宋体" w:hAnsi="宋体" w:cs="宋体"/>
                <w:szCs w:val="21"/>
              </w:rPr>
            </w:pPr>
            <w:r>
              <w:rPr>
                <w:rFonts w:hint="eastAsia" w:ascii="宋体" w:hAnsi="宋体" w:cs="宋体"/>
                <w:szCs w:val="21"/>
              </w:rPr>
              <w:t>6.3.4</w:t>
            </w:r>
          </w:p>
        </w:tc>
        <w:tc>
          <w:tcPr>
            <w:tcW w:w="193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本次评标采用的评标方法</w:t>
            </w:r>
          </w:p>
        </w:tc>
        <w:tc>
          <w:tcPr>
            <w:tcW w:w="6250"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fldChar w:fldCharType="begin"/>
            </w:r>
            <w:r>
              <w:rPr>
                <w:rFonts w:hint="eastAsia" w:ascii="宋体" w:hAnsi="宋体" w:cs="宋体"/>
                <w:color w:val="000000" w:themeColor="text1"/>
                <w:szCs w:val="21"/>
                <w14:textFill>
                  <w14:solidFill>
                    <w14:schemeClr w14:val="tx1"/>
                  </w14:solidFill>
                </w14:textFill>
              </w:rPr>
              <w:instrText xml:space="preserve"> eq \o\ac(</w:instrText>
            </w:r>
            <w:r>
              <w:rPr>
                <w:rFonts w:hint="eastAsia" w:ascii="宋体" w:hAnsi="宋体" w:cs="宋体"/>
                <w:color w:val="000000" w:themeColor="text1"/>
                <w:position w:val="-4"/>
                <w:sz w:val="31"/>
                <w:szCs w:val="21"/>
                <w14:textFill>
                  <w14:solidFill>
                    <w14:schemeClr w14:val="tx1"/>
                  </w14:solidFill>
                </w14:textFill>
              </w:rPr>
              <w:instrText xml:space="preserve">□</w:instrText>
            </w:r>
            <w:r>
              <w:rPr>
                <w:rFonts w:hint="eastAsia" w:ascii="宋体" w:hAnsi="宋体" w:cs="宋体"/>
                <w:color w:val="000000" w:themeColor="text1"/>
                <w:position w:val="-4"/>
                <w:sz w:val="31"/>
                <w:szCs w:val="21"/>
                <w:lang w:eastAsia="zh-CN"/>
                <w14:textFill>
                  <w14:solidFill>
                    <w14:schemeClr w14:val="tx1"/>
                  </w14:solidFill>
                </w14:textFill>
              </w:rPr>
              <w:instrText xml:space="preserve">,</w:instrText>
            </w:r>
            <w:r>
              <w:rPr>
                <w:rFonts w:hint="eastAsia" w:ascii="宋体" w:hAnsi="宋体" w:cs="宋体"/>
                <w:color w:val="000000" w:themeColor="text1"/>
                <w:position w:val="0"/>
                <w:sz w:val="21"/>
                <w:szCs w:val="21"/>
                <w:lang w:eastAsia="zh-CN"/>
                <w14:textFill>
                  <w14:solidFill>
                    <w14:schemeClr w14:val="tx1"/>
                  </w14:solidFill>
                </w14:textFill>
              </w:rPr>
              <w:instrText xml:space="preserve">√</w:instrText>
            </w:r>
            <w:r>
              <w:rPr>
                <w:rFonts w:hint="eastAsia" w:ascii="宋体" w:hAnsi="宋体" w:cs="宋体"/>
                <w:color w:val="000000" w:themeColor="text1"/>
                <w:szCs w:val="21"/>
                <w14:textFill>
                  <w14:solidFill>
                    <w14:schemeClr w14:val="tx1"/>
                  </w14:solidFill>
                </w14:textFill>
              </w:rPr>
              <w:instrText xml:space="preserve">)</w:instrText>
            </w:r>
            <w:r>
              <w:rPr>
                <w:rFonts w:hint="eastAsia" w:ascii="宋体" w:hAnsi="宋体" w:cs="宋体"/>
                <w:color w:val="000000" w:themeColor="text1"/>
                <w:szCs w:val="21"/>
                <w14:textFill>
                  <w14:solidFill>
                    <w14:schemeClr w14:val="tx1"/>
                  </w14:solidFill>
                </w14:textFill>
              </w:rPr>
              <w:fldChar w:fldCharType="end"/>
            </w:r>
            <w:r>
              <w:rPr>
                <w:rFonts w:hint="eastAsia" w:ascii="宋体" w:hAnsi="宋体" w:cs="宋体"/>
                <w:color w:val="000000" w:themeColor="text1"/>
                <w:szCs w:val="21"/>
                <w14:textFill>
                  <w14:solidFill>
                    <w14:schemeClr w14:val="tx1"/>
                  </w14:solidFill>
                </w14:textFill>
              </w:rPr>
              <w:t>综合评估法        □经评审的合理低价法</w:t>
            </w:r>
          </w:p>
        </w:tc>
      </w:tr>
      <w:tr>
        <w:tblPrEx>
          <w:tblCellMar>
            <w:top w:w="0" w:type="dxa"/>
            <w:left w:w="108" w:type="dxa"/>
            <w:bottom w:w="0" w:type="dxa"/>
            <w:right w:w="108" w:type="dxa"/>
          </w:tblCellMar>
        </w:tblPrEx>
        <w:trPr>
          <w:trHeight w:val="567" w:hRule="atLeast"/>
          <w:jc w:val="center"/>
        </w:trPr>
        <w:tc>
          <w:tcPr>
            <w:tcW w:w="1073"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宋体" w:hAnsi="宋体" w:cs="宋体"/>
                <w:szCs w:val="21"/>
              </w:rPr>
            </w:pPr>
            <w:r>
              <w:rPr>
                <w:rFonts w:hint="eastAsia" w:ascii="宋体" w:hAnsi="宋体" w:cs="宋体"/>
                <w:szCs w:val="21"/>
              </w:rPr>
              <w:t>6.3.5</w:t>
            </w:r>
          </w:p>
        </w:tc>
        <w:tc>
          <w:tcPr>
            <w:tcW w:w="193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评标方式</w:t>
            </w:r>
          </w:p>
        </w:tc>
        <w:tc>
          <w:tcPr>
            <w:tcW w:w="6250"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☑网络电子评标</w:t>
            </w:r>
          </w:p>
          <w:p>
            <w:pPr>
              <w:adjustRightInd w:val="0"/>
              <w:snapToGrid w:val="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fldChar w:fldCharType="begin"/>
            </w:r>
            <w:r>
              <w:rPr>
                <w:rFonts w:hint="eastAsia" w:ascii="宋体" w:hAnsi="宋体" w:cs="宋体"/>
                <w:color w:val="000000" w:themeColor="text1"/>
                <w:szCs w:val="21"/>
                <w14:textFill>
                  <w14:solidFill>
                    <w14:schemeClr w14:val="tx1"/>
                  </w14:solidFill>
                </w14:textFill>
              </w:rPr>
              <w:instrText xml:space="preserve"> eq \o\ac(</w:instrText>
            </w:r>
            <w:r>
              <w:rPr>
                <w:rFonts w:hint="eastAsia" w:ascii="宋体" w:hAnsi="宋体" w:cs="宋体"/>
                <w:color w:val="000000" w:themeColor="text1"/>
                <w:position w:val="-4"/>
                <w:sz w:val="31"/>
                <w:szCs w:val="21"/>
                <w14:textFill>
                  <w14:solidFill>
                    <w14:schemeClr w14:val="tx1"/>
                  </w14:solidFill>
                </w14:textFill>
              </w:rPr>
              <w:instrText xml:space="preserve">□</w:instrText>
            </w:r>
            <w:r>
              <w:rPr>
                <w:rFonts w:hint="eastAsia" w:ascii="宋体" w:hAnsi="宋体" w:cs="宋体"/>
                <w:color w:val="000000" w:themeColor="text1"/>
                <w:szCs w:val="21"/>
                <w14:textFill>
                  <w14:solidFill>
                    <w14:schemeClr w14:val="tx1"/>
                  </w14:solidFill>
                </w14:textFill>
              </w:rPr>
              <w:instrText xml:space="preserve">)</w:instrText>
            </w:r>
            <w:r>
              <w:rPr>
                <w:rFonts w:hint="eastAsia" w:ascii="宋体" w:hAnsi="宋体" w:cs="宋体"/>
                <w:color w:val="000000" w:themeColor="text1"/>
                <w:szCs w:val="21"/>
                <w14:textFill>
                  <w14:solidFill>
                    <w14:schemeClr w14:val="tx1"/>
                  </w14:solidFill>
                </w14:textFill>
              </w:rPr>
              <w:fldChar w:fldCharType="end"/>
            </w:r>
            <w:r>
              <w:rPr>
                <w:rFonts w:hint="eastAsia" w:ascii="宋体" w:hAnsi="宋体" w:cs="宋体"/>
                <w:color w:val="000000" w:themeColor="text1"/>
                <w:szCs w:val="21"/>
                <w14:textFill>
                  <w14:solidFill>
                    <w14:schemeClr w14:val="tx1"/>
                  </w14:solidFill>
                </w14:textFill>
              </w:rPr>
              <w:t>纸质评标</w:t>
            </w:r>
          </w:p>
        </w:tc>
      </w:tr>
      <w:tr>
        <w:tblPrEx>
          <w:tblCellMar>
            <w:top w:w="0" w:type="dxa"/>
            <w:left w:w="108" w:type="dxa"/>
            <w:bottom w:w="0" w:type="dxa"/>
            <w:right w:w="108" w:type="dxa"/>
          </w:tblCellMar>
        </w:tblPrEx>
        <w:trPr>
          <w:trHeight w:val="567" w:hRule="atLeast"/>
          <w:jc w:val="center"/>
        </w:trPr>
        <w:tc>
          <w:tcPr>
            <w:tcW w:w="1073"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宋体" w:hAnsi="宋体" w:cs="宋体"/>
                <w:szCs w:val="21"/>
              </w:rPr>
            </w:pPr>
            <w:r>
              <w:rPr>
                <w:rFonts w:hint="eastAsia" w:ascii="宋体" w:hAnsi="宋体" w:cs="宋体"/>
                <w:szCs w:val="21"/>
              </w:rPr>
              <w:t>7.1</w:t>
            </w:r>
          </w:p>
        </w:tc>
        <w:tc>
          <w:tcPr>
            <w:tcW w:w="1937"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宋体" w:hAnsi="宋体" w:cs="宋体"/>
                <w:szCs w:val="21"/>
              </w:rPr>
            </w:pPr>
            <w:r>
              <w:rPr>
                <w:rFonts w:hint="eastAsia" w:ascii="宋体" w:hAnsi="宋体" w:cs="宋体"/>
                <w:szCs w:val="21"/>
              </w:rPr>
              <w:t>是否授权评标委员会确定中标人</w:t>
            </w:r>
          </w:p>
        </w:tc>
        <w:tc>
          <w:tcPr>
            <w:tcW w:w="6250"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宋体" w:hAnsi="宋体" w:cs="宋体"/>
                <w:szCs w:val="21"/>
              </w:rPr>
            </w:pPr>
            <w:r>
              <w:rPr>
                <w:rFonts w:hint="eastAsia" w:ascii="宋体" w:hAnsi="宋体" w:cs="宋体"/>
                <w:szCs w:val="21"/>
              </w:rPr>
              <w:t>□ 是</w:t>
            </w:r>
          </w:p>
          <w:p>
            <w:pPr>
              <w:adjustRightInd w:val="0"/>
              <w:snapToGrid w:val="0"/>
              <w:rPr>
                <w:rFonts w:ascii="宋体" w:hAnsi="宋体" w:cs="宋体"/>
                <w:szCs w:val="21"/>
                <w:u w:val="single"/>
              </w:rPr>
            </w:pPr>
            <w:r>
              <w:rPr>
                <w:rFonts w:hint="eastAsia" w:ascii="宋体" w:hAnsi="宋体" w:cs="宋体"/>
                <w:szCs w:val="21"/>
              </w:rPr>
              <w:fldChar w:fldCharType="begin"/>
            </w:r>
            <w:r>
              <w:rPr>
                <w:rFonts w:hint="eastAsia" w:ascii="宋体" w:hAnsi="宋体" w:cs="宋体"/>
                <w:szCs w:val="21"/>
              </w:rPr>
              <w:instrText xml:space="preserve"> eq \o\ac(</w:instrText>
            </w:r>
            <w:r>
              <w:rPr>
                <w:rFonts w:hint="eastAsia" w:ascii="宋体" w:hAnsi="宋体" w:cs="宋体"/>
                <w:position w:val="-4"/>
                <w:sz w:val="31"/>
                <w:szCs w:val="21"/>
              </w:rPr>
              <w:instrText xml:space="preserve">□</w:instrText>
            </w:r>
            <w:r>
              <w:rPr>
                <w:rFonts w:hint="eastAsia" w:ascii="宋体" w:hAnsi="宋体" w:cs="宋体"/>
                <w:szCs w:val="21"/>
              </w:rPr>
              <w:instrText xml:space="preserve">,√)</w:instrText>
            </w:r>
            <w:r>
              <w:rPr>
                <w:rFonts w:hint="eastAsia" w:ascii="宋体" w:hAnsi="宋体" w:cs="宋体"/>
                <w:szCs w:val="21"/>
              </w:rPr>
              <w:fldChar w:fldCharType="end"/>
            </w:r>
            <w:r>
              <w:rPr>
                <w:rFonts w:hint="eastAsia" w:ascii="宋体" w:hAnsi="宋体" w:cs="宋体"/>
                <w:szCs w:val="21"/>
              </w:rPr>
              <w:t xml:space="preserve"> 否，推荐的中标候选人数：</w:t>
            </w:r>
            <w:r>
              <w:rPr>
                <w:rFonts w:hint="eastAsia" w:ascii="宋体" w:hAnsi="宋体" w:cs="宋体"/>
                <w:szCs w:val="21"/>
                <w:u w:val="single"/>
              </w:rPr>
              <w:t xml:space="preserve">  1</w:t>
            </w:r>
            <w:r>
              <w:rPr>
                <w:rFonts w:hint="eastAsia" w:ascii="宋体" w:hAnsi="宋体" w:cs="宋体"/>
                <w:kern w:val="0"/>
                <w:szCs w:val="21"/>
                <w:u w:val="single"/>
              </w:rPr>
              <w:t>～</w:t>
            </w:r>
            <w:r>
              <w:rPr>
                <w:rFonts w:hint="eastAsia" w:ascii="宋体" w:hAnsi="宋体" w:cs="宋体"/>
                <w:szCs w:val="21"/>
                <w:u w:val="single"/>
              </w:rPr>
              <w:t xml:space="preserve">3名  </w:t>
            </w:r>
          </w:p>
          <w:p>
            <w:pPr>
              <w:adjustRightInd w:val="0"/>
              <w:snapToGrid w:val="0"/>
              <w:rPr>
                <w:rFonts w:ascii="宋体" w:hAnsi="宋体" w:cs="宋体"/>
                <w:szCs w:val="21"/>
              </w:rPr>
            </w:pPr>
            <w:r>
              <w:rPr>
                <w:rFonts w:hint="eastAsia" w:ascii="宋体" w:hAnsi="宋体" w:cs="宋体"/>
                <w:szCs w:val="21"/>
              </w:rPr>
              <w:t>招标人将确定排名第一的中标候选人为中标人。排名第一的中标候选人放弃中标、因不可抗力不能履行合同、不按照招标文件要求提交履约保证金，或者被查实存在影响中标结果的违法行为等情形，不符合中标条件的，招标人可以按照评标委员会提出的中标候选人名单排序依次确定其他中标候选人为中标人，也可以重新招标。</w:t>
            </w:r>
          </w:p>
        </w:tc>
      </w:tr>
      <w:tr>
        <w:tblPrEx>
          <w:tblCellMar>
            <w:top w:w="0" w:type="dxa"/>
            <w:left w:w="108" w:type="dxa"/>
            <w:bottom w:w="0" w:type="dxa"/>
            <w:right w:w="108" w:type="dxa"/>
          </w:tblCellMar>
        </w:tblPrEx>
        <w:trPr>
          <w:trHeight w:val="567" w:hRule="atLeast"/>
          <w:jc w:val="center"/>
        </w:trPr>
        <w:tc>
          <w:tcPr>
            <w:tcW w:w="107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cs="宋体"/>
                <w:szCs w:val="21"/>
              </w:rPr>
            </w:pPr>
            <w:r>
              <w:rPr>
                <w:rFonts w:hint="eastAsia" w:ascii="宋体" w:hAnsi="宋体" w:cs="宋体"/>
                <w:szCs w:val="21"/>
              </w:rPr>
              <w:t>7.2</w:t>
            </w:r>
          </w:p>
        </w:tc>
        <w:tc>
          <w:tcPr>
            <w:tcW w:w="193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cs="宋体"/>
                <w:szCs w:val="21"/>
              </w:rPr>
            </w:pPr>
            <w:r>
              <w:rPr>
                <w:rFonts w:hint="eastAsia" w:ascii="宋体" w:hAnsi="宋体" w:cs="宋体"/>
                <w:szCs w:val="21"/>
              </w:rPr>
              <w:t>中标候选人公示媒介</w:t>
            </w:r>
          </w:p>
        </w:tc>
        <w:tc>
          <w:tcPr>
            <w:tcW w:w="6250"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宋体" w:hAnsi="宋体" w:cs="宋体"/>
                <w:szCs w:val="21"/>
              </w:rPr>
            </w:pPr>
            <w:r>
              <w:rPr>
                <w:rFonts w:hint="eastAsia" w:ascii="宋体" w:hAnsi="宋体" w:cs="宋体"/>
                <w:szCs w:val="21"/>
              </w:rPr>
              <w:t>《焦作市公共资源交易中心》《中国招标投标公共服务平台》</w:t>
            </w:r>
            <w:r>
              <w:rPr>
                <w:rFonts w:hint="eastAsia" w:ascii="宋体" w:hAnsi="宋体" w:cs="宋体"/>
                <w:szCs w:val="21"/>
                <w:lang w:eastAsia="zh-CN"/>
              </w:rPr>
              <w:t>《中国采购与招标网》</w:t>
            </w:r>
          </w:p>
        </w:tc>
      </w:tr>
      <w:tr>
        <w:tblPrEx>
          <w:tblCellMar>
            <w:top w:w="0" w:type="dxa"/>
            <w:left w:w="108" w:type="dxa"/>
            <w:bottom w:w="0" w:type="dxa"/>
            <w:right w:w="108" w:type="dxa"/>
          </w:tblCellMar>
        </w:tblPrEx>
        <w:trPr>
          <w:trHeight w:val="260" w:hRule="atLeast"/>
          <w:jc w:val="center"/>
        </w:trPr>
        <w:tc>
          <w:tcPr>
            <w:tcW w:w="107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cs="宋体"/>
                <w:szCs w:val="21"/>
              </w:rPr>
            </w:pPr>
            <w:r>
              <w:rPr>
                <w:rFonts w:hint="eastAsia" w:ascii="宋体" w:hAnsi="宋体" w:cs="宋体"/>
                <w:szCs w:val="21"/>
                <w:lang w:eastAsia="en-US"/>
              </w:rPr>
              <w:t>7.</w:t>
            </w:r>
            <w:r>
              <w:rPr>
                <w:rFonts w:hint="eastAsia" w:ascii="宋体" w:hAnsi="宋体" w:cs="宋体"/>
                <w:szCs w:val="21"/>
              </w:rPr>
              <w:t>4</w:t>
            </w:r>
            <w:r>
              <w:rPr>
                <w:rFonts w:hint="eastAsia" w:ascii="宋体" w:hAnsi="宋体" w:cs="宋体"/>
                <w:szCs w:val="21"/>
                <w:lang w:eastAsia="en-US"/>
              </w:rPr>
              <w:t>.1</w:t>
            </w:r>
          </w:p>
        </w:tc>
        <w:tc>
          <w:tcPr>
            <w:tcW w:w="193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cs="宋体"/>
                <w:szCs w:val="21"/>
                <w:lang w:eastAsia="en-US"/>
              </w:rPr>
            </w:pPr>
            <w:r>
              <w:rPr>
                <w:rFonts w:hint="eastAsia" w:ascii="宋体" w:hAnsi="宋体" w:cs="宋体"/>
                <w:szCs w:val="21"/>
              </w:rPr>
              <w:t>履约</w:t>
            </w:r>
            <w:r>
              <w:rPr>
                <w:rFonts w:hint="eastAsia" w:ascii="宋体" w:hAnsi="宋体" w:cs="宋体"/>
                <w:szCs w:val="21"/>
                <w:lang w:eastAsia="zh-CN"/>
              </w:rPr>
              <w:t>（</w:t>
            </w:r>
            <w:r>
              <w:rPr>
                <w:rFonts w:hint="eastAsia" w:ascii="宋体" w:hAnsi="宋体" w:cs="宋体"/>
                <w:szCs w:val="21"/>
                <w:lang w:val="en-US" w:eastAsia="zh-CN"/>
              </w:rPr>
              <w:t>支付</w:t>
            </w:r>
            <w:r>
              <w:rPr>
                <w:rFonts w:hint="eastAsia" w:ascii="宋体" w:hAnsi="宋体" w:cs="宋体"/>
                <w:szCs w:val="21"/>
                <w:lang w:eastAsia="zh-CN"/>
              </w:rPr>
              <w:t>）</w:t>
            </w:r>
            <w:r>
              <w:rPr>
                <w:rFonts w:hint="eastAsia" w:ascii="宋体" w:hAnsi="宋体" w:cs="宋体"/>
                <w:szCs w:val="21"/>
              </w:rPr>
              <w:t>担保</w:t>
            </w:r>
          </w:p>
        </w:tc>
        <w:tc>
          <w:tcPr>
            <w:tcW w:w="625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hint="eastAsia" w:ascii="宋体" w:hAnsi="宋体" w:cs="宋体"/>
                <w:szCs w:val="21"/>
              </w:rPr>
            </w:pPr>
            <w:r>
              <w:rPr>
                <w:rFonts w:hint="eastAsia" w:ascii="宋体" w:hAnsi="宋体" w:cs="宋体"/>
                <w:szCs w:val="21"/>
              </w:rPr>
              <w:t>履约</w:t>
            </w:r>
            <w:r>
              <w:rPr>
                <w:rFonts w:hint="eastAsia" w:ascii="宋体" w:hAnsi="宋体" w:cs="宋体"/>
                <w:szCs w:val="21"/>
                <w:lang w:eastAsia="zh-CN"/>
              </w:rPr>
              <w:t>（</w:t>
            </w:r>
            <w:r>
              <w:rPr>
                <w:rFonts w:hint="eastAsia" w:ascii="宋体" w:hAnsi="宋体" w:cs="宋体"/>
                <w:szCs w:val="21"/>
                <w:lang w:val="en-US" w:eastAsia="zh-CN"/>
              </w:rPr>
              <w:t>支付</w:t>
            </w:r>
            <w:r>
              <w:rPr>
                <w:rFonts w:hint="eastAsia" w:ascii="宋体" w:hAnsi="宋体" w:cs="宋体"/>
                <w:szCs w:val="21"/>
                <w:lang w:eastAsia="zh-CN"/>
              </w:rPr>
              <w:t>）</w:t>
            </w:r>
            <w:r>
              <w:rPr>
                <w:rFonts w:hint="eastAsia" w:ascii="宋体" w:hAnsi="宋体" w:cs="宋体"/>
                <w:szCs w:val="21"/>
              </w:rPr>
              <w:t>担保的形式：保函或银行转账（需从基本账户中转出）。</w:t>
            </w:r>
          </w:p>
          <w:p>
            <w:pPr>
              <w:adjustRightInd w:val="0"/>
              <w:snapToGrid w:val="0"/>
              <w:jc w:val="left"/>
              <w:rPr>
                <w:rFonts w:hint="eastAsia" w:ascii="宋体" w:hAnsi="宋体" w:cs="宋体"/>
                <w:szCs w:val="21"/>
              </w:rPr>
            </w:pPr>
            <w:r>
              <w:rPr>
                <w:rFonts w:hint="eastAsia" w:ascii="宋体" w:hAnsi="宋体" w:cs="宋体"/>
                <w:szCs w:val="21"/>
              </w:rPr>
              <w:t>中标单位签订合同后三日内应向招标人交纳履约保证金或保函，其金额为中标价</w:t>
            </w:r>
            <w:r>
              <w:rPr>
                <w:rFonts w:hint="eastAsia" w:ascii="宋体" w:hAnsi="宋体" w:cs="宋体"/>
                <w:szCs w:val="21"/>
                <w:lang w:val="en-US" w:eastAsia="zh-CN"/>
              </w:rPr>
              <w:t>10</w:t>
            </w:r>
            <w:r>
              <w:rPr>
                <w:rFonts w:hint="eastAsia" w:ascii="宋体" w:hAnsi="宋体" w:cs="宋体"/>
                <w:szCs w:val="21"/>
              </w:rPr>
              <w:t>%。</w:t>
            </w:r>
          </w:p>
        </w:tc>
      </w:tr>
      <w:tr>
        <w:tblPrEx>
          <w:tblCellMar>
            <w:top w:w="0" w:type="dxa"/>
            <w:left w:w="108" w:type="dxa"/>
            <w:bottom w:w="0" w:type="dxa"/>
            <w:right w:w="108" w:type="dxa"/>
          </w:tblCellMar>
        </w:tblPrEx>
        <w:trPr>
          <w:trHeight w:val="422" w:hRule="atLeast"/>
          <w:jc w:val="center"/>
        </w:trPr>
        <w:tc>
          <w:tcPr>
            <w:tcW w:w="9260" w:type="dxa"/>
            <w:gridSpan w:val="3"/>
            <w:tcBorders>
              <w:top w:val="single" w:color="auto" w:sz="4" w:space="0"/>
              <w:left w:val="single" w:color="auto" w:sz="4" w:space="0"/>
              <w:bottom w:val="single" w:color="auto" w:sz="4" w:space="0"/>
              <w:right w:val="single" w:color="auto" w:sz="4" w:space="0"/>
            </w:tcBorders>
            <w:vAlign w:val="center"/>
          </w:tcPr>
          <w:p>
            <w:pPr>
              <w:snapToGrid w:val="0"/>
              <w:textAlignment w:val="baseline"/>
              <w:rPr>
                <w:rFonts w:ascii="宋体" w:hAnsi="宋体" w:cs="宋体"/>
                <w:szCs w:val="21"/>
              </w:rPr>
            </w:pPr>
            <w:r>
              <w:rPr>
                <w:rFonts w:hint="eastAsia" w:ascii="宋体" w:hAnsi="宋体" w:cs="宋体"/>
                <w:szCs w:val="21"/>
              </w:rPr>
              <w:t>10.1 词语定义</w:t>
            </w:r>
          </w:p>
        </w:tc>
      </w:tr>
      <w:tr>
        <w:tblPrEx>
          <w:tblCellMar>
            <w:top w:w="0" w:type="dxa"/>
            <w:left w:w="108" w:type="dxa"/>
            <w:bottom w:w="0" w:type="dxa"/>
            <w:right w:w="108" w:type="dxa"/>
          </w:tblCellMar>
        </w:tblPrEx>
        <w:trPr>
          <w:trHeight w:val="770" w:hRule="atLeast"/>
          <w:jc w:val="center"/>
        </w:trPr>
        <w:tc>
          <w:tcPr>
            <w:tcW w:w="1073"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宋体" w:hAnsi="宋体" w:cs="宋体"/>
                <w:szCs w:val="21"/>
              </w:rPr>
            </w:pPr>
            <w:r>
              <w:rPr>
                <w:rFonts w:hint="eastAsia" w:ascii="宋体" w:hAnsi="宋体" w:cs="宋体"/>
                <w:szCs w:val="21"/>
              </w:rPr>
              <w:t>10.1.1</w:t>
            </w:r>
          </w:p>
        </w:tc>
        <w:tc>
          <w:tcPr>
            <w:tcW w:w="1937"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210" w:firstLineChars="100"/>
              <w:rPr>
                <w:rFonts w:ascii="宋体" w:hAnsi="宋体" w:cs="宋体"/>
                <w:szCs w:val="21"/>
              </w:rPr>
            </w:pPr>
            <w:r>
              <w:rPr>
                <w:rFonts w:hint="eastAsia" w:ascii="宋体" w:hAnsi="宋体" w:cs="宋体"/>
                <w:szCs w:val="21"/>
              </w:rPr>
              <w:t>不良行为记录</w:t>
            </w:r>
          </w:p>
        </w:tc>
        <w:tc>
          <w:tcPr>
            <w:tcW w:w="6250"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宋体" w:hAnsi="宋体" w:cs="宋体"/>
                <w:szCs w:val="21"/>
              </w:rPr>
            </w:pPr>
            <w:r>
              <w:rPr>
                <w:rFonts w:hint="eastAsia" w:ascii="宋体" w:hAnsi="宋体" w:cs="宋体"/>
                <w:szCs w:val="21"/>
              </w:rPr>
              <w:t>不良行为记录是指：202</w:t>
            </w:r>
            <w:r>
              <w:rPr>
                <w:rFonts w:hint="eastAsia" w:ascii="宋体" w:hAnsi="宋体" w:cs="宋体"/>
                <w:szCs w:val="21"/>
                <w:lang w:val="en-US" w:eastAsia="zh-CN"/>
              </w:rPr>
              <w:t>1</w:t>
            </w:r>
            <w:r>
              <w:rPr>
                <w:rFonts w:hint="eastAsia" w:ascii="宋体" w:hAnsi="宋体" w:cs="宋体"/>
                <w:szCs w:val="21"/>
              </w:rPr>
              <w:t>年1月1日以来投标人在工程建设过程中因违反有关工程建设的法律、法规、规章或强制性标准和执业行为规范，经县级以上建设行政主管部门或其委托的执法监督机构查实和行政处罚，形成的不良行为记录。</w:t>
            </w:r>
          </w:p>
        </w:tc>
      </w:tr>
      <w:tr>
        <w:tblPrEx>
          <w:tblCellMar>
            <w:top w:w="0" w:type="dxa"/>
            <w:left w:w="108" w:type="dxa"/>
            <w:bottom w:w="0" w:type="dxa"/>
            <w:right w:w="108" w:type="dxa"/>
          </w:tblCellMar>
        </w:tblPrEx>
        <w:trPr>
          <w:trHeight w:val="3243" w:hRule="atLeast"/>
          <w:jc w:val="center"/>
        </w:trPr>
        <w:tc>
          <w:tcPr>
            <w:tcW w:w="1073"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宋体" w:hAnsi="宋体" w:cs="宋体"/>
                <w:szCs w:val="21"/>
              </w:rPr>
            </w:pPr>
            <w:r>
              <w:rPr>
                <w:rFonts w:hint="eastAsia" w:ascii="宋体" w:hAnsi="宋体" w:cs="宋体"/>
                <w:szCs w:val="21"/>
              </w:rPr>
              <w:t>10.2</w:t>
            </w:r>
          </w:p>
        </w:tc>
        <w:tc>
          <w:tcPr>
            <w:tcW w:w="1937"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420" w:firstLineChars="200"/>
              <w:rPr>
                <w:rFonts w:ascii="宋体" w:hAnsi="宋体" w:cs="宋体"/>
                <w:szCs w:val="21"/>
              </w:rPr>
            </w:pPr>
            <w:r>
              <w:rPr>
                <w:rFonts w:hint="eastAsia" w:ascii="宋体" w:hAnsi="宋体" w:cs="宋体"/>
                <w:szCs w:val="21"/>
              </w:rPr>
              <w:t>中标公示</w:t>
            </w:r>
          </w:p>
        </w:tc>
        <w:tc>
          <w:tcPr>
            <w:tcW w:w="6250"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宋体" w:hAnsi="宋体" w:cs="宋体"/>
                <w:szCs w:val="21"/>
              </w:rPr>
            </w:pPr>
            <w:r>
              <w:rPr>
                <w:rFonts w:hint="eastAsia" w:ascii="宋体" w:hAnsi="宋体" w:cs="宋体"/>
                <w:szCs w:val="21"/>
              </w:rPr>
              <w:t>在中标通知书发出前，招标人将中标候选人的情况在本招标项目招标公告发布的同一媒介予以公示，公示期不少于3日。公示期内招标人或经授权的代理机构有权对所有中标候选人提交的投标文件内容进行检查，如发现有弄虚作假嫌疑，投标单位有义务在规定时间内向招标人提供合理说明，如说明被查证不实，则取消其中标候选人资格并上报相关部门进行处罚。</w:t>
            </w:r>
          </w:p>
          <w:p>
            <w:pPr>
              <w:adjustRightInd w:val="0"/>
              <w:snapToGrid w:val="0"/>
              <w:rPr>
                <w:rFonts w:ascii="宋体" w:hAnsi="宋体" w:cs="宋体"/>
                <w:szCs w:val="21"/>
              </w:rPr>
            </w:pPr>
            <w:r>
              <w:rPr>
                <w:rFonts w:hint="eastAsia" w:ascii="宋体" w:hAnsi="宋体" w:cs="宋体"/>
                <w:szCs w:val="21"/>
              </w:rPr>
              <w:t>公示期满截止之日前如果中标候选人在中国裁判文书网（http://wenshu.court.gov.cn/）（包括法人，法定代表人，法定代表人授权委托人，</w:t>
            </w:r>
            <w:r>
              <w:rPr>
                <w:rFonts w:hint="eastAsia" w:ascii="宋体" w:hAnsi="宋体" w:cs="宋体"/>
                <w:color w:val="000000" w:themeColor="text1"/>
                <w:szCs w:val="21"/>
                <w14:textFill>
                  <w14:solidFill>
                    <w14:schemeClr w14:val="tx1"/>
                  </w14:solidFill>
                </w14:textFill>
              </w:rPr>
              <w:t>项目总监）</w:t>
            </w:r>
            <w:r>
              <w:rPr>
                <w:rFonts w:hint="eastAsia" w:ascii="宋体" w:hAnsi="宋体" w:cs="宋体"/>
                <w:szCs w:val="21"/>
              </w:rPr>
              <w:t>有行贿、受贿记录的，在“信用中国”网站(www.creditchina.gov.cn) 上被列入黑名单的；在中国政府采购网（www.ccgp.gov.cn）上被列入政府采购严重违法失信行为记录名单的，则取消其中标候选人资格并上报相关部门进行处罚。</w:t>
            </w:r>
          </w:p>
        </w:tc>
      </w:tr>
      <w:tr>
        <w:tblPrEx>
          <w:tblCellMar>
            <w:top w:w="0" w:type="dxa"/>
            <w:left w:w="108" w:type="dxa"/>
            <w:bottom w:w="0" w:type="dxa"/>
            <w:right w:w="108" w:type="dxa"/>
          </w:tblCellMar>
        </w:tblPrEx>
        <w:trPr>
          <w:trHeight w:val="1022" w:hRule="atLeast"/>
          <w:jc w:val="center"/>
        </w:trPr>
        <w:tc>
          <w:tcPr>
            <w:tcW w:w="1073" w:type="dxa"/>
            <w:tcBorders>
              <w:top w:val="single" w:color="auto" w:sz="4" w:space="0"/>
              <w:left w:val="single" w:color="auto" w:sz="4" w:space="0"/>
              <w:bottom w:val="single" w:color="auto" w:sz="4" w:space="0"/>
              <w:right w:val="single" w:color="auto" w:sz="4" w:space="0"/>
            </w:tcBorders>
            <w:vAlign w:val="center"/>
          </w:tcPr>
          <w:p>
            <w:pPr>
              <w:tabs>
                <w:tab w:val="left" w:pos="180"/>
                <w:tab w:val="left" w:pos="1080"/>
                <w:tab w:val="left" w:pos="1620"/>
                <w:tab w:val="left" w:pos="1800"/>
              </w:tabs>
              <w:snapToGrid w:val="0"/>
              <w:jc w:val="center"/>
              <w:textAlignment w:val="baseline"/>
              <w:rPr>
                <w:rFonts w:ascii="宋体" w:hAnsi="宋体" w:cs="宋体"/>
                <w:szCs w:val="21"/>
              </w:rPr>
            </w:pPr>
            <w:r>
              <w:rPr>
                <w:rFonts w:hint="eastAsia" w:ascii="宋体" w:hAnsi="宋体" w:cs="宋体"/>
                <w:szCs w:val="21"/>
              </w:rPr>
              <w:t>10.3</w:t>
            </w:r>
          </w:p>
        </w:tc>
        <w:tc>
          <w:tcPr>
            <w:tcW w:w="1937" w:type="dxa"/>
            <w:tcBorders>
              <w:top w:val="single" w:color="auto" w:sz="4" w:space="0"/>
              <w:left w:val="single" w:color="auto" w:sz="4" w:space="0"/>
              <w:bottom w:val="single" w:color="auto" w:sz="4" w:space="0"/>
              <w:right w:val="single" w:color="auto" w:sz="4" w:space="0"/>
            </w:tcBorders>
            <w:vAlign w:val="center"/>
          </w:tcPr>
          <w:p>
            <w:pPr>
              <w:tabs>
                <w:tab w:val="left" w:pos="180"/>
                <w:tab w:val="left" w:pos="1080"/>
                <w:tab w:val="left" w:pos="1620"/>
                <w:tab w:val="left" w:pos="1800"/>
              </w:tabs>
              <w:snapToGrid w:val="0"/>
              <w:jc w:val="center"/>
              <w:textAlignment w:val="baseline"/>
              <w:rPr>
                <w:rFonts w:ascii="宋体" w:hAnsi="宋体" w:cs="宋体"/>
                <w:szCs w:val="21"/>
              </w:rPr>
            </w:pPr>
            <w:r>
              <w:rPr>
                <w:rFonts w:hint="eastAsia" w:ascii="宋体" w:hAnsi="宋体" w:cs="宋体"/>
                <w:szCs w:val="21"/>
              </w:rPr>
              <w:t>知识产权</w:t>
            </w:r>
          </w:p>
        </w:tc>
        <w:tc>
          <w:tcPr>
            <w:tcW w:w="6250" w:type="dxa"/>
            <w:tcBorders>
              <w:top w:val="single" w:color="auto" w:sz="4" w:space="0"/>
              <w:left w:val="single" w:color="auto" w:sz="4" w:space="0"/>
              <w:bottom w:val="single" w:color="auto" w:sz="4" w:space="0"/>
              <w:right w:val="single" w:color="auto" w:sz="4" w:space="0"/>
            </w:tcBorders>
            <w:vAlign w:val="center"/>
          </w:tcPr>
          <w:p>
            <w:pPr>
              <w:tabs>
                <w:tab w:val="left" w:pos="180"/>
                <w:tab w:val="left" w:pos="1080"/>
                <w:tab w:val="left" w:pos="1620"/>
                <w:tab w:val="left" w:pos="1800"/>
              </w:tabs>
              <w:snapToGrid w:val="0"/>
              <w:textAlignment w:val="baseline"/>
              <w:rPr>
                <w:rFonts w:ascii="宋体" w:hAnsi="宋体" w:cs="宋体"/>
                <w:szCs w:val="21"/>
              </w:rPr>
            </w:pPr>
            <w:r>
              <w:rPr>
                <w:rFonts w:hint="eastAsia" w:ascii="宋体" w:hAnsi="宋体" w:cs="宋体"/>
                <w:szCs w:val="21"/>
              </w:rPr>
              <w:t>招标文件各个组成部分的文件，未经招标人同意，投标人不得擅自复印和用于非本招标项目所需的其他目的。招标人全部或者部分使用未中标人投标文件中的技术成果或技术方案时，需征得其书面同意，并不得擅自复印或提供给第三人。</w:t>
            </w:r>
          </w:p>
        </w:tc>
      </w:tr>
      <w:tr>
        <w:tblPrEx>
          <w:tblCellMar>
            <w:top w:w="0" w:type="dxa"/>
            <w:left w:w="108" w:type="dxa"/>
            <w:bottom w:w="0" w:type="dxa"/>
            <w:right w:w="108" w:type="dxa"/>
          </w:tblCellMar>
        </w:tblPrEx>
        <w:trPr>
          <w:trHeight w:val="567" w:hRule="atLeast"/>
          <w:jc w:val="center"/>
        </w:trPr>
        <w:tc>
          <w:tcPr>
            <w:tcW w:w="1073" w:type="dxa"/>
            <w:tcBorders>
              <w:top w:val="single" w:color="auto" w:sz="4" w:space="0"/>
              <w:left w:val="single" w:color="auto" w:sz="4" w:space="0"/>
              <w:bottom w:val="single" w:color="auto" w:sz="4" w:space="0"/>
              <w:right w:val="single" w:color="auto" w:sz="4" w:space="0"/>
            </w:tcBorders>
            <w:vAlign w:val="center"/>
          </w:tcPr>
          <w:p>
            <w:pPr>
              <w:tabs>
                <w:tab w:val="left" w:pos="180"/>
                <w:tab w:val="left" w:pos="1080"/>
                <w:tab w:val="left" w:pos="1620"/>
                <w:tab w:val="left" w:pos="1800"/>
              </w:tabs>
              <w:snapToGrid w:val="0"/>
              <w:jc w:val="center"/>
              <w:textAlignment w:val="baseline"/>
              <w:rPr>
                <w:rFonts w:ascii="宋体" w:hAnsi="宋体" w:cs="宋体"/>
                <w:szCs w:val="21"/>
              </w:rPr>
            </w:pPr>
            <w:r>
              <w:rPr>
                <w:rFonts w:hint="eastAsia" w:ascii="宋体" w:hAnsi="宋体" w:cs="宋体"/>
                <w:szCs w:val="21"/>
              </w:rPr>
              <w:t>10.4</w:t>
            </w:r>
          </w:p>
        </w:tc>
        <w:tc>
          <w:tcPr>
            <w:tcW w:w="1937" w:type="dxa"/>
            <w:tcBorders>
              <w:top w:val="single" w:color="auto" w:sz="4" w:space="0"/>
              <w:left w:val="single" w:color="auto" w:sz="4" w:space="0"/>
              <w:bottom w:val="single" w:color="auto" w:sz="4" w:space="0"/>
              <w:right w:val="single" w:color="auto" w:sz="4" w:space="0"/>
            </w:tcBorders>
            <w:vAlign w:val="center"/>
          </w:tcPr>
          <w:p>
            <w:pPr>
              <w:tabs>
                <w:tab w:val="left" w:pos="180"/>
                <w:tab w:val="left" w:pos="1080"/>
                <w:tab w:val="left" w:pos="1620"/>
                <w:tab w:val="left" w:pos="1800"/>
              </w:tabs>
              <w:snapToGrid w:val="0"/>
              <w:jc w:val="center"/>
              <w:textAlignment w:val="baseline"/>
              <w:rPr>
                <w:rFonts w:ascii="宋体" w:hAnsi="宋体" w:cs="宋体"/>
                <w:szCs w:val="21"/>
              </w:rPr>
            </w:pPr>
            <w:r>
              <w:rPr>
                <w:rFonts w:hint="eastAsia" w:ascii="宋体" w:hAnsi="宋体" w:cs="宋体"/>
                <w:szCs w:val="21"/>
              </w:rPr>
              <w:t>重新招标的其他情形</w:t>
            </w:r>
          </w:p>
        </w:tc>
        <w:tc>
          <w:tcPr>
            <w:tcW w:w="6250" w:type="dxa"/>
            <w:tcBorders>
              <w:top w:val="single" w:color="auto" w:sz="4" w:space="0"/>
              <w:left w:val="single" w:color="auto" w:sz="4" w:space="0"/>
              <w:bottom w:val="single" w:color="auto" w:sz="4" w:space="0"/>
              <w:right w:val="single" w:color="auto" w:sz="4" w:space="0"/>
            </w:tcBorders>
            <w:vAlign w:val="center"/>
          </w:tcPr>
          <w:p>
            <w:pPr>
              <w:snapToGrid w:val="0"/>
              <w:rPr>
                <w:rFonts w:ascii="宋体" w:hAnsi="宋体" w:cs="宋体"/>
                <w:szCs w:val="21"/>
              </w:rPr>
            </w:pPr>
            <w:r>
              <w:rPr>
                <w:rFonts w:hint="eastAsia" w:ascii="宋体" w:hAnsi="宋体" w:cs="宋体"/>
                <w:szCs w:val="21"/>
              </w:rPr>
              <w:t>有下列情形之一的，招标人将重新招标：</w:t>
            </w:r>
          </w:p>
          <w:p>
            <w:pPr>
              <w:adjustRightInd w:val="0"/>
              <w:snapToGrid w:val="0"/>
              <w:jc w:val="left"/>
              <w:textAlignment w:val="baseline"/>
              <w:rPr>
                <w:rFonts w:ascii="宋体" w:hAnsi="宋体" w:cs="宋体"/>
                <w:kern w:val="0"/>
                <w:szCs w:val="21"/>
              </w:rPr>
            </w:pPr>
            <w:r>
              <w:rPr>
                <w:rFonts w:hint="eastAsia" w:ascii="宋体" w:hAnsi="宋体" w:cs="宋体"/>
                <w:szCs w:val="21"/>
              </w:rPr>
              <w:t>（1）投标截止时间止，投标人少于3个的；（2）经评标委员会评审后否决所有投标的</w:t>
            </w:r>
          </w:p>
        </w:tc>
      </w:tr>
      <w:tr>
        <w:tblPrEx>
          <w:tblCellMar>
            <w:top w:w="0" w:type="dxa"/>
            <w:left w:w="108" w:type="dxa"/>
            <w:bottom w:w="0" w:type="dxa"/>
            <w:right w:w="108" w:type="dxa"/>
          </w:tblCellMar>
        </w:tblPrEx>
        <w:trPr>
          <w:trHeight w:val="1163" w:hRule="atLeast"/>
          <w:jc w:val="center"/>
        </w:trPr>
        <w:tc>
          <w:tcPr>
            <w:tcW w:w="1073" w:type="dxa"/>
            <w:tcBorders>
              <w:top w:val="single" w:color="auto" w:sz="4" w:space="0"/>
              <w:left w:val="single" w:color="auto" w:sz="4" w:space="0"/>
              <w:bottom w:val="single" w:color="auto" w:sz="4" w:space="0"/>
              <w:right w:val="single" w:color="auto" w:sz="4" w:space="0"/>
            </w:tcBorders>
            <w:vAlign w:val="center"/>
          </w:tcPr>
          <w:p>
            <w:pPr>
              <w:tabs>
                <w:tab w:val="left" w:pos="180"/>
                <w:tab w:val="left" w:pos="1080"/>
                <w:tab w:val="left" w:pos="1620"/>
                <w:tab w:val="left" w:pos="1800"/>
              </w:tabs>
              <w:snapToGrid w:val="0"/>
              <w:jc w:val="center"/>
              <w:textAlignment w:val="baseline"/>
              <w:rPr>
                <w:rFonts w:ascii="宋体" w:hAnsi="宋体" w:cs="宋体"/>
                <w:szCs w:val="21"/>
              </w:rPr>
            </w:pPr>
            <w:r>
              <w:rPr>
                <w:rFonts w:hint="eastAsia" w:ascii="宋体" w:hAnsi="宋体" w:cs="宋体"/>
                <w:szCs w:val="21"/>
              </w:rPr>
              <w:t>10.5</w:t>
            </w:r>
          </w:p>
        </w:tc>
        <w:tc>
          <w:tcPr>
            <w:tcW w:w="1937" w:type="dxa"/>
            <w:tcBorders>
              <w:top w:val="single" w:color="auto" w:sz="4" w:space="0"/>
              <w:left w:val="single" w:color="auto" w:sz="4" w:space="0"/>
              <w:bottom w:val="single" w:color="auto" w:sz="4" w:space="0"/>
              <w:right w:val="single" w:color="auto" w:sz="4" w:space="0"/>
            </w:tcBorders>
            <w:vAlign w:val="center"/>
          </w:tcPr>
          <w:p>
            <w:pPr>
              <w:tabs>
                <w:tab w:val="left" w:pos="180"/>
                <w:tab w:val="left" w:pos="1080"/>
                <w:tab w:val="left" w:pos="1620"/>
                <w:tab w:val="left" w:pos="1800"/>
              </w:tabs>
              <w:snapToGrid w:val="0"/>
              <w:jc w:val="center"/>
              <w:textAlignment w:val="baseline"/>
              <w:rPr>
                <w:rFonts w:ascii="宋体" w:hAnsi="宋体" w:cs="宋体"/>
                <w:szCs w:val="21"/>
              </w:rPr>
            </w:pPr>
            <w:r>
              <w:rPr>
                <w:rFonts w:hint="eastAsia" w:ascii="宋体" w:hAnsi="宋体" w:cs="宋体"/>
                <w:szCs w:val="21"/>
              </w:rPr>
              <w:t>监  督</w:t>
            </w:r>
          </w:p>
        </w:tc>
        <w:tc>
          <w:tcPr>
            <w:tcW w:w="6250"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宋体" w:hAnsi="宋体" w:cs="宋体"/>
                <w:szCs w:val="21"/>
              </w:rPr>
            </w:pPr>
            <w:r>
              <w:rPr>
                <w:rFonts w:hint="eastAsia" w:ascii="宋体" w:hAnsi="宋体" w:cs="宋体"/>
                <w:szCs w:val="21"/>
              </w:rPr>
              <w:t xml:space="preserve">本项目的招标投标活动及其相关当事人应当接受有管辖权的行政监督部门依法实施的监督。 </w:t>
            </w:r>
          </w:p>
          <w:p>
            <w:pPr>
              <w:adjustRightInd w:val="0"/>
              <w:snapToGrid w:val="0"/>
              <w:rPr>
                <w:rFonts w:ascii="宋体" w:hAnsi="宋体" w:cs="宋体"/>
                <w:szCs w:val="21"/>
              </w:rPr>
            </w:pPr>
            <w:r>
              <w:rPr>
                <w:rFonts w:hint="eastAsia" w:ascii="宋体" w:hAnsi="宋体" w:cs="宋体"/>
                <w:szCs w:val="21"/>
              </w:rPr>
              <w:t>监督部门：焦作市建设工程招标投标管理办公室</w:t>
            </w:r>
          </w:p>
          <w:p>
            <w:pPr>
              <w:adjustRightInd w:val="0"/>
              <w:snapToGrid w:val="0"/>
              <w:rPr>
                <w:rFonts w:ascii="宋体" w:hAnsi="宋体" w:cs="宋体"/>
                <w:szCs w:val="21"/>
              </w:rPr>
            </w:pPr>
            <w:r>
              <w:rPr>
                <w:rFonts w:hint="eastAsia" w:ascii="宋体" w:hAnsi="宋体" w:cs="宋体"/>
                <w:szCs w:val="21"/>
              </w:rPr>
              <w:t>电    话：0391-3557108</w:t>
            </w:r>
          </w:p>
        </w:tc>
      </w:tr>
      <w:tr>
        <w:tblPrEx>
          <w:tblCellMar>
            <w:top w:w="0" w:type="dxa"/>
            <w:left w:w="108" w:type="dxa"/>
            <w:bottom w:w="0" w:type="dxa"/>
            <w:right w:w="108" w:type="dxa"/>
          </w:tblCellMar>
        </w:tblPrEx>
        <w:trPr>
          <w:trHeight w:val="791" w:hRule="atLeast"/>
          <w:jc w:val="center"/>
        </w:trPr>
        <w:tc>
          <w:tcPr>
            <w:tcW w:w="1073" w:type="dxa"/>
            <w:tcBorders>
              <w:top w:val="single" w:color="auto" w:sz="4" w:space="0"/>
              <w:left w:val="single" w:color="auto" w:sz="4" w:space="0"/>
              <w:bottom w:val="single" w:color="auto" w:sz="4" w:space="0"/>
              <w:right w:val="single" w:color="auto" w:sz="4" w:space="0"/>
            </w:tcBorders>
            <w:vAlign w:val="center"/>
          </w:tcPr>
          <w:p>
            <w:pPr>
              <w:tabs>
                <w:tab w:val="left" w:pos="180"/>
                <w:tab w:val="left" w:pos="1080"/>
                <w:tab w:val="left" w:pos="1620"/>
                <w:tab w:val="left" w:pos="1800"/>
              </w:tabs>
              <w:snapToGrid w:val="0"/>
              <w:jc w:val="center"/>
              <w:textAlignment w:val="baseline"/>
              <w:rPr>
                <w:rFonts w:ascii="宋体" w:hAnsi="宋体" w:cs="宋体"/>
                <w:szCs w:val="21"/>
              </w:rPr>
            </w:pPr>
            <w:r>
              <w:rPr>
                <w:rFonts w:hint="eastAsia" w:ascii="宋体" w:hAnsi="宋体" w:cs="宋体"/>
                <w:szCs w:val="21"/>
              </w:rPr>
              <w:t>10.6</w:t>
            </w:r>
          </w:p>
        </w:tc>
        <w:tc>
          <w:tcPr>
            <w:tcW w:w="1937" w:type="dxa"/>
            <w:tcBorders>
              <w:top w:val="single" w:color="auto" w:sz="4" w:space="0"/>
              <w:left w:val="single" w:color="auto" w:sz="4" w:space="0"/>
              <w:bottom w:val="single" w:color="auto" w:sz="4" w:space="0"/>
              <w:right w:val="single" w:color="auto" w:sz="4" w:space="0"/>
            </w:tcBorders>
            <w:vAlign w:val="center"/>
          </w:tcPr>
          <w:p>
            <w:pPr>
              <w:tabs>
                <w:tab w:val="left" w:pos="180"/>
                <w:tab w:val="left" w:pos="1080"/>
                <w:tab w:val="left" w:pos="1620"/>
                <w:tab w:val="left" w:pos="1800"/>
              </w:tabs>
              <w:snapToGrid w:val="0"/>
              <w:jc w:val="center"/>
              <w:textAlignment w:val="baseline"/>
              <w:rPr>
                <w:rFonts w:ascii="宋体" w:hAnsi="宋体" w:cs="宋体"/>
                <w:szCs w:val="21"/>
              </w:rPr>
            </w:pPr>
            <w:r>
              <w:rPr>
                <w:rFonts w:hint="eastAsia" w:ascii="宋体" w:hAnsi="宋体" w:cs="宋体"/>
                <w:szCs w:val="21"/>
              </w:rPr>
              <w:t>招标代理服务费</w:t>
            </w:r>
          </w:p>
        </w:tc>
        <w:tc>
          <w:tcPr>
            <w:tcW w:w="6250"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宋体" w:hAnsi="宋体" w:cs="宋体"/>
                <w:szCs w:val="21"/>
              </w:rPr>
            </w:pPr>
            <w:r>
              <w:rPr>
                <w:rFonts w:hint="eastAsia"/>
                <w:color w:val="000000" w:themeColor="text1"/>
                <w:szCs w:val="21"/>
                <w14:textFill>
                  <w14:solidFill>
                    <w14:schemeClr w14:val="tx1"/>
                  </w14:solidFill>
                </w14:textFill>
              </w:rPr>
              <w:t>代理服务费：</w:t>
            </w:r>
            <w:r>
              <w:rPr>
                <w:rFonts w:hint="eastAsia" w:ascii="宋体" w:hAnsi="宋体" w:cs="宋体"/>
                <w:color w:val="auto"/>
                <w:kern w:val="0"/>
                <w:szCs w:val="21"/>
              </w:rPr>
              <w:t>由中标人支付</w:t>
            </w:r>
            <w:r>
              <w:rPr>
                <w:rFonts w:hint="eastAsia" w:ascii="宋体" w:hAnsi="宋体" w:cs="宋体"/>
                <w:color w:val="auto"/>
                <w:kern w:val="0"/>
                <w:szCs w:val="21"/>
                <w:lang w:eastAsia="zh-CN"/>
              </w:rPr>
              <w:t>。中标人</w:t>
            </w:r>
            <w:r>
              <w:rPr>
                <w:rFonts w:hint="eastAsia" w:ascii="宋体" w:hAnsi="宋体" w:cs="宋体"/>
                <w:color w:val="auto"/>
                <w:kern w:val="0"/>
                <w:szCs w:val="21"/>
              </w:rPr>
              <w:t>在领取</w:t>
            </w:r>
            <w:r>
              <w:rPr>
                <w:rFonts w:hint="eastAsia" w:ascii="宋体" w:hAnsi="宋体" w:cs="宋体"/>
                <w:color w:val="auto"/>
                <w:kern w:val="0"/>
                <w:szCs w:val="21"/>
                <w:lang w:eastAsia="zh-CN"/>
              </w:rPr>
              <w:t>中标</w:t>
            </w:r>
            <w:r>
              <w:rPr>
                <w:rFonts w:hint="eastAsia" w:ascii="宋体" w:hAnsi="宋体" w:cs="宋体"/>
                <w:color w:val="auto"/>
                <w:kern w:val="0"/>
                <w:szCs w:val="21"/>
              </w:rPr>
              <w:t>通知书时需按照豫招协【</w:t>
            </w:r>
            <w:bookmarkStart w:id="823" w:name="_GoBack"/>
            <w:bookmarkEnd w:id="823"/>
            <w:r>
              <w:rPr>
                <w:rFonts w:hint="eastAsia" w:ascii="宋体" w:hAnsi="宋体" w:cs="宋体"/>
                <w:color w:val="auto"/>
                <w:kern w:val="0"/>
                <w:szCs w:val="21"/>
              </w:rPr>
              <w:t>2023】002号文件的收费标准，向</w:t>
            </w:r>
            <w:r>
              <w:rPr>
                <w:rFonts w:hint="eastAsia" w:ascii="宋体" w:hAnsi="宋体" w:cs="宋体"/>
                <w:color w:val="auto"/>
                <w:kern w:val="0"/>
                <w:szCs w:val="21"/>
                <w:lang w:eastAsia="zh-CN"/>
              </w:rPr>
              <w:t>招标</w:t>
            </w:r>
            <w:r>
              <w:rPr>
                <w:rFonts w:hint="eastAsia" w:ascii="宋体" w:hAnsi="宋体" w:cs="宋体"/>
                <w:color w:val="auto"/>
                <w:kern w:val="0"/>
                <w:szCs w:val="21"/>
              </w:rPr>
              <w:t>代理机构交纳招标代理服务费。</w:t>
            </w:r>
          </w:p>
        </w:tc>
      </w:tr>
      <w:tr>
        <w:tblPrEx>
          <w:tblCellMar>
            <w:top w:w="0" w:type="dxa"/>
            <w:left w:w="108" w:type="dxa"/>
            <w:bottom w:w="0" w:type="dxa"/>
            <w:right w:w="108" w:type="dxa"/>
          </w:tblCellMar>
        </w:tblPrEx>
        <w:trPr>
          <w:trHeight w:val="1958" w:hRule="atLeast"/>
          <w:jc w:val="center"/>
        </w:trPr>
        <w:tc>
          <w:tcPr>
            <w:tcW w:w="1073" w:type="dxa"/>
            <w:tcBorders>
              <w:top w:val="single" w:color="auto" w:sz="4" w:space="0"/>
              <w:left w:val="single" w:color="auto" w:sz="4" w:space="0"/>
              <w:bottom w:val="single" w:color="auto" w:sz="4" w:space="0"/>
              <w:right w:val="single" w:color="auto" w:sz="4" w:space="0"/>
            </w:tcBorders>
            <w:vAlign w:val="center"/>
          </w:tcPr>
          <w:p>
            <w:pPr>
              <w:tabs>
                <w:tab w:val="left" w:pos="180"/>
                <w:tab w:val="left" w:pos="1080"/>
                <w:tab w:val="left" w:pos="1620"/>
                <w:tab w:val="left" w:pos="1800"/>
              </w:tabs>
              <w:snapToGrid w:val="0"/>
              <w:jc w:val="center"/>
              <w:textAlignment w:val="baseline"/>
              <w:rPr>
                <w:rFonts w:ascii="宋体" w:hAnsi="宋体" w:cs="宋体"/>
                <w:szCs w:val="21"/>
              </w:rPr>
            </w:pPr>
            <w:r>
              <w:rPr>
                <w:rFonts w:hint="eastAsia" w:ascii="宋体" w:hAnsi="宋体" w:cs="宋体"/>
                <w:szCs w:val="21"/>
              </w:rPr>
              <w:t>10.7</w:t>
            </w:r>
          </w:p>
        </w:tc>
        <w:tc>
          <w:tcPr>
            <w:tcW w:w="1937" w:type="dxa"/>
            <w:tcBorders>
              <w:top w:val="single" w:color="auto" w:sz="4" w:space="0"/>
              <w:left w:val="single" w:color="auto" w:sz="4" w:space="0"/>
              <w:bottom w:val="single" w:color="auto" w:sz="4" w:space="0"/>
              <w:right w:val="single" w:color="auto" w:sz="4" w:space="0"/>
            </w:tcBorders>
            <w:vAlign w:val="center"/>
          </w:tcPr>
          <w:p>
            <w:pPr>
              <w:tabs>
                <w:tab w:val="left" w:pos="180"/>
                <w:tab w:val="left" w:pos="1080"/>
                <w:tab w:val="left" w:pos="1620"/>
                <w:tab w:val="left" w:pos="1800"/>
              </w:tabs>
              <w:snapToGrid w:val="0"/>
              <w:jc w:val="center"/>
              <w:textAlignment w:val="baseline"/>
              <w:rPr>
                <w:rFonts w:ascii="宋体" w:hAnsi="宋体" w:cs="宋体"/>
                <w:szCs w:val="21"/>
              </w:rPr>
            </w:pPr>
            <w:r>
              <w:rPr>
                <w:rFonts w:hint="eastAsia" w:ascii="宋体" w:hAnsi="宋体" w:cs="宋体"/>
                <w:szCs w:val="21"/>
              </w:rPr>
              <w:t>解释权</w:t>
            </w:r>
          </w:p>
        </w:tc>
        <w:tc>
          <w:tcPr>
            <w:tcW w:w="6250"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宋体" w:hAnsi="宋体" w:cs="宋体"/>
                <w:szCs w:val="21"/>
              </w:rPr>
            </w:pPr>
            <w:r>
              <w:rPr>
                <w:rFonts w:hint="eastAsia" w:ascii="宋体" w:hAnsi="宋体" w:cs="宋体"/>
                <w:szCs w:val="21"/>
              </w:rPr>
              <w:t>构成本招标文件的各个组成文件应互为解释，互为说明；如有不明确或不一致，构成合同文件组成内容的，以合同文件约定内容为准，且以专用合同条款约定的合同文件优先顺序解释；除招标文件中有特别规定外，仅适用于招标投标阶段的规定，按招标公告（投标邀请书）、投标人须知、评标办法、投标文件格式的先后顺序解释；同一组成文件中就同一事项的规定或约定不一致的，以编排顺序在后者为准；同一组成文件不同版本之间有不一致的，以形成时间在后者为准。按本款前述规定仍不能形成结论的，由招标人负责解释。</w:t>
            </w:r>
          </w:p>
        </w:tc>
      </w:tr>
      <w:tr>
        <w:tblPrEx>
          <w:tblCellMar>
            <w:top w:w="0" w:type="dxa"/>
            <w:left w:w="108" w:type="dxa"/>
            <w:bottom w:w="0" w:type="dxa"/>
            <w:right w:w="108" w:type="dxa"/>
          </w:tblCellMar>
        </w:tblPrEx>
        <w:trPr>
          <w:trHeight w:val="391" w:hRule="atLeast"/>
          <w:jc w:val="center"/>
        </w:trPr>
        <w:tc>
          <w:tcPr>
            <w:tcW w:w="9260"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宋体" w:hAnsi="宋体" w:cs="宋体"/>
                <w:szCs w:val="21"/>
              </w:rPr>
            </w:pPr>
            <w:r>
              <w:rPr>
                <w:rFonts w:hint="eastAsia" w:ascii="宋体" w:hAnsi="宋体" w:cs="宋体"/>
                <w:szCs w:val="21"/>
              </w:rPr>
              <w:t>10.8 招标人补充的其他内容</w:t>
            </w:r>
          </w:p>
        </w:tc>
      </w:tr>
      <w:tr>
        <w:tblPrEx>
          <w:tblCellMar>
            <w:top w:w="0" w:type="dxa"/>
            <w:left w:w="108" w:type="dxa"/>
            <w:bottom w:w="0" w:type="dxa"/>
            <w:right w:w="108" w:type="dxa"/>
          </w:tblCellMar>
        </w:tblPrEx>
        <w:trPr>
          <w:trHeight w:val="567" w:hRule="atLeast"/>
          <w:jc w:val="center"/>
        </w:trPr>
        <w:tc>
          <w:tcPr>
            <w:tcW w:w="1073" w:type="dxa"/>
            <w:tcBorders>
              <w:top w:val="single" w:color="auto" w:sz="4" w:space="0"/>
              <w:left w:val="single" w:color="auto" w:sz="4" w:space="0"/>
              <w:bottom w:val="single" w:color="auto" w:sz="4" w:space="0"/>
              <w:right w:val="single" w:color="auto" w:sz="4" w:space="0"/>
            </w:tcBorders>
            <w:vAlign w:val="center"/>
          </w:tcPr>
          <w:p>
            <w:pPr>
              <w:tabs>
                <w:tab w:val="left" w:pos="180"/>
                <w:tab w:val="left" w:pos="1080"/>
                <w:tab w:val="left" w:pos="1620"/>
                <w:tab w:val="left" w:pos="1800"/>
              </w:tabs>
              <w:snapToGrid w:val="0"/>
              <w:jc w:val="center"/>
              <w:textAlignment w:val="baseline"/>
              <w:rPr>
                <w:rFonts w:ascii="宋体" w:hAnsi="宋体" w:cs="宋体"/>
                <w:szCs w:val="21"/>
              </w:rPr>
            </w:pPr>
            <w:bookmarkStart w:id="27" w:name="_Toc152042305"/>
            <w:bookmarkStart w:id="28" w:name="_Toc247513952"/>
            <w:bookmarkStart w:id="29" w:name="_Toc152045529"/>
            <w:bookmarkStart w:id="30" w:name="_Toc144974497"/>
            <w:bookmarkStart w:id="31" w:name="_Toc247527553"/>
            <w:r>
              <w:rPr>
                <w:rFonts w:hint="eastAsia" w:ascii="宋体" w:hAnsi="宋体" w:cs="宋体"/>
                <w:b/>
                <w:bCs/>
                <w:szCs w:val="21"/>
              </w:rPr>
              <w:t>特别提示</w:t>
            </w:r>
          </w:p>
        </w:tc>
        <w:tc>
          <w:tcPr>
            <w:tcW w:w="8187"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ind w:firstLine="420" w:firstLineChars="200"/>
              <w:rPr>
                <w:rFonts w:ascii="宋体" w:hAnsi="宋体" w:cs="宋体"/>
                <w:szCs w:val="21"/>
              </w:rPr>
            </w:pPr>
            <w:r>
              <w:rPr>
                <w:rFonts w:hint="eastAsia" w:ascii="宋体" w:hAnsi="宋体" w:cs="宋体"/>
                <w:szCs w:val="21"/>
              </w:rPr>
              <w:t>1、潜在投标人如对招标文件有异议，请在规定时间内在焦作市公共资源交易系统平台上提出，以其他方式递交的异议不予接受。</w:t>
            </w:r>
          </w:p>
          <w:p>
            <w:pPr>
              <w:adjustRightInd w:val="0"/>
              <w:snapToGrid w:val="0"/>
              <w:ind w:firstLine="420" w:firstLineChars="200"/>
              <w:rPr>
                <w:rFonts w:ascii="宋体" w:hAnsi="宋体" w:cs="宋体"/>
                <w:szCs w:val="21"/>
              </w:rPr>
            </w:pPr>
            <w:r>
              <w:rPr>
                <w:rFonts w:hint="eastAsia" w:ascii="宋体" w:hAnsi="宋体" w:cs="宋体"/>
                <w:szCs w:val="21"/>
              </w:rPr>
              <w:t>2、投标人在投标截止时间前应随时关注焦作市公共资源交易系统平台发出的有关本项目的答疑、修改等相关内容。</w:t>
            </w:r>
          </w:p>
          <w:p>
            <w:pPr>
              <w:adjustRightInd w:val="0"/>
              <w:snapToGrid w:val="0"/>
              <w:ind w:firstLine="420" w:firstLineChars="200"/>
              <w:rPr>
                <w:rFonts w:ascii="宋体" w:hAnsi="宋体" w:cs="宋体"/>
                <w:szCs w:val="21"/>
              </w:rPr>
            </w:pPr>
            <w:r>
              <w:rPr>
                <w:rFonts w:hint="eastAsia" w:ascii="宋体" w:hAnsi="宋体" w:cs="宋体"/>
                <w:szCs w:val="21"/>
              </w:rPr>
              <w:t>3、投标人应独立制作、修改和上传投标文件。评标过程中，如有投标人存在“投标文件制作机器码一致”，则视其投标无效，并承担因“投标文件制作机器码一致”所造成的不良后果。</w:t>
            </w:r>
          </w:p>
          <w:p>
            <w:pPr>
              <w:adjustRightInd w:val="0"/>
              <w:snapToGrid w:val="0"/>
              <w:ind w:firstLine="420" w:firstLineChars="200"/>
              <w:rPr>
                <w:rFonts w:ascii="宋体" w:hAnsi="宋体" w:cs="宋体"/>
                <w:szCs w:val="21"/>
              </w:rPr>
            </w:pPr>
            <w:r>
              <w:rPr>
                <w:rFonts w:hint="eastAsia"/>
                <w:szCs w:val="21"/>
              </w:rPr>
              <w:t>4、投标人必须保证其投标文件中所有资料（扫描件）的真实性和确定性，一旦发现投标文件中</w:t>
            </w:r>
            <w:r>
              <w:rPr>
                <w:rFonts w:hint="eastAsia" w:ascii="宋体" w:hAnsi="宋体" w:cs="宋体"/>
                <w:szCs w:val="21"/>
              </w:rPr>
              <w:t>的资料（扫描件）存在弄虚作假骗取中标的，将取消其中标资资格，并对其做出承诺。</w:t>
            </w:r>
          </w:p>
        </w:tc>
      </w:tr>
      <w:tr>
        <w:tblPrEx>
          <w:tblCellMar>
            <w:top w:w="0" w:type="dxa"/>
            <w:left w:w="108" w:type="dxa"/>
            <w:bottom w:w="0" w:type="dxa"/>
            <w:right w:w="108" w:type="dxa"/>
          </w:tblCellMar>
        </w:tblPrEx>
        <w:trPr>
          <w:trHeight w:val="567" w:hRule="atLeast"/>
          <w:jc w:val="center"/>
        </w:trPr>
        <w:tc>
          <w:tcPr>
            <w:tcW w:w="1073" w:type="dxa"/>
            <w:tcBorders>
              <w:top w:val="single" w:color="auto" w:sz="4" w:space="0"/>
              <w:left w:val="single" w:color="auto" w:sz="4" w:space="0"/>
              <w:bottom w:val="single" w:color="auto" w:sz="4" w:space="0"/>
              <w:right w:val="single" w:color="auto" w:sz="4" w:space="0"/>
            </w:tcBorders>
            <w:vAlign w:val="center"/>
          </w:tcPr>
          <w:p>
            <w:pPr>
              <w:tabs>
                <w:tab w:val="left" w:pos="180"/>
                <w:tab w:val="left" w:pos="1080"/>
                <w:tab w:val="left" w:pos="1620"/>
                <w:tab w:val="left" w:pos="1800"/>
              </w:tabs>
              <w:snapToGrid w:val="0"/>
              <w:jc w:val="center"/>
              <w:textAlignment w:val="baseline"/>
              <w:rPr>
                <w:rFonts w:ascii="宋体" w:hAnsi="宋体" w:cs="宋体"/>
                <w:b/>
                <w:bCs/>
                <w:szCs w:val="21"/>
              </w:rPr>
            </w:pPr>
            <w:r>
              <w:rPr>
                <w:rFonts w:hint="eastAsia" w:ascii="宋体" w:hAnsi="宋体" w:cs="宋体"/>
                <w:szCs w:val="21"/>
              </w:rPr>
              <w:t>备注</w:t>
            </w:r>
          </w:p>
        </w:tc>
        <w:tc>
          <w:tcPr>
            <w:tcW w:w="8187"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ind w:firstLine="420" w:firstLineChars="200"/>
              <w:rPr>
                <w:rFonts w:ascii="宋体" w:hAnsi="宋体" w:cs="宋体"/>
                <w:szCs w:val="21"/>
              </w:rPr>
            </w:pPr>
            <w:r>
              <w:rPr>
                <w:rFonts w:hint="eastAsia" w:ascii="宋体" w:hAnsi="宋体" w:cs="宋体"/>
                <w:kern w:val="0"/>
                <w:szCs w:val="21"/>
              </w:rPr>
              <w:t>其他未尽事宜按照招投标法及相关法律法规执行。</w:t>
            </w:r>
          </w:p>
        </w:tc>
      </w:tr>
    </w:tbl>
    <w:p>
      <w:pPr>
        <w:pStyle w:val="5"/>
        <w:pageBreakBefore/>
        <w:spacing w:line="360" w:lineRule="auto"/>
        <w:rPr>
          <w:rFonts w:ascii="宋体" w:hAnsi="宋体" w:eastAsia="宋体" w:cs="宋体"/>
        </w:rPr>
      </w:pPr>
      <w:bookmarkStart w:id="32" w:name="_Toc15553"/>
      <w:bookmarkStart w:id="33" w:name="_Toc7590"/>
      <w:bookmarkStart w:id="34" w:name="_Toc29689"/>
      <w:bookmarkStart w:id="35" w:name="_Toc32377"/>
      <w:bookmarkStart w:id="36" w:name="_Toc18515"/>
      <w:r>
        <w:rPr>
          <w:rFonts w:hint="eastAsia" w:ascii="宋体" w:hAnsi="宋体" w:eastAsia="宋体" w:cs="宋体"/>
        </w:rPr>
        <w:t>1. 总则</w:t>
      </w:r>
      <w:bookmarkEnd w:id="27"/>
      <w:bookmarkEnd w:id="28"/>
      <w:bookmarkEnd w:id="29"/>
      <w:bookmarkEnd w:id="30"/>
      <w:bookmarkEnd w:id="31"/>
      <w:bookmarkEnd w:id="32"/>
      <w:bookmarkEnd w:id="33"/>
      <w:bookmarkEnd w:id="34"/>
      <w:bookmarkEnd w:id="35"/>
      <w:bookmarkEnd w:id="36"/>
    </w:p>
    <w:p>
      <w:pPr>
        <w:spacing w:line="360" w:lineRule="auto"/>
        <w:rPr>
          <w:rFonts w:ascii="宋体" w:hAnsi="宋体" w:cs="宋体"/>
          <w:b/>
          <w:sz w:val="24"/>
        </w:rPr>
      </w:pPr>
      <w:bookmarkStart w:id="37" w:name="_Toc436315326"/>
      <w:bookmarkStart w:id="38" w:name="_Toc152042306"/>
      <w:bookmarkStart w:id="39" w:name="_Toc247527554"/>
      <w:bookmarkStart w:id="40" w:name="_Toc144974498"/>
      <w:bookmarkStart w:id="41" w:name="_Toc152045530"/>
      <w:bookmarkStart w:id="42" w:name="_Toc30125"/>
      <w:bookmarkStart w:id="43" w:name="_Toc247513953"/>
      <w:bookmarkStart w:id="44" w:name="_Toc436316936"/>
      <w:bookmarkStart w:id="45" w:name="_Toc18685"/>
      <w:bookmarkStart w:id="46" w:name="_Toc435930032"/>
      <w:r>
        <w:rPr>
          <w:rFonts w:hint="eastAsia" w:ascii="宋体" w:hAnsi="宋体" w:cs="宋体"/>
          <w:b/>
          <w:sz w:val="24"/>
        </w:rPr>
        <w:t>1.1 项目概况</w:t>
      </w:r>
      <w:bookmarkEnd w:id="37"/>
      <w:bookmarkEnd w:id="38"/>
      <w:bookmarkEnd w:id="39"/>
      <w:bookmarkEnd w:id="40"/>
      <w:bookmarkEnd w:id="41"/>
      <w:bookmarkEnd w:id="42"/>
      <w:bookmarkEnd w:id="43"/>
      <w:bookmarkEnd w:id="44"/>
      <w:bookmarkEnd w:id="45"/>
      <w:bookmarkEnd w:id="46"/>
    </w:p>
    <w:p>
      <w:pPr>
        <w:spacing w:line="360" w:lineRule="auto"/>
        <w:ind w:firstLine="420" w:firstLineChars="200"/>
        <w:rPr>
          <w:rFonts w:ascii="宋体" w:hAnsi="宋体" w:cs="宋体"/>
        </w:rPr>
      </w:pPr>
      <w:r>
        <w:rPr>
          <w:rFonts w:hint="eastAsia" w:ascii="宋体" w:hAnsi="宋体" w:cs="宋体"/>
        </w:rPr>
        <w:t>1.1.1根据《中华人民共和国招标投标法》等有关法律、法规和规章的规定，本招标项目已具备招标条件，现对该项目进行招标。</w:t>
      </w:r>
    </w:p>
    <w:p>
      <w:pPr>
        <w:spacing w:line="360" w:lineRule="auto"/>
        <w:ind w:firstLine="420" w:firstLineChars="200"/>
        <w:rPr>
          <w:rFonts w:ascii="宋体" w:hAnsi="宋体" w:cs="宋体"/>
        </w:rPr>
      </w:pPr>
      <w:r>
        <w:rPr>
          <w:rFonts w:hint="eastAsia" w:ascii="宋体" w:hAnsi="宋体" w:cs="宋体"/>
        </w:rPr>
        <w:t>1.1.2 招标人：见投标人须知前附表。</w:t>
      </w:r>
    </w:p>
    <w:p>
      <w:pPr>
        <w:spacing w:line="360" w:lineRule="auto"/>
        <w:ind w:firstLine="420" w:firstLineChars="200"/>
        <w:rPr>
          <w:rFonts w:ascii="宋体" w:hAnsi="宋体" w:cs="宋体"/>
        </w:rPr>
      </w:pPr>
      <w:r>
        <w:rPr>
          <w:rFonts w:hint="eastAsia" w:ascii="宋体" w:hAnsi="宋体" w:cs="宋体"/>
        </w:rPr>
        <w:t>1.1.3 招标代理机构：见投标人须知前附表。</w:t>
      </w:r>
    </w:p>
    <w:p>
      <w:pPr>
        <w:spacing w:line="360" w:lineRule="auto"/>
        <w:ind w:firstLine="420" w:firstLineChars="200"/>
        <w:rPr>
          <w:rFonts w:ascii="宋体" w:hAnsi="宋体" w:cs="宋体"/>
        </w:rPr>
      </w:pPr>
      <w:r>
        <w:rPr>
          <w:rFonts w:hint="eastAsia" w:ascii="宋体" w:hAnsi="宋体" w:cs="宋体"/>
        </w:rPr>
        <w:t>1.1.4 招标项目名称：见投标人须知前附表。</w:t>
      </w:r>
    </w:p>
    <w:p>
      <w:pPr>
        <w:spacing w:line="360" w:lineRule="auto"/>
        <w:ind w:firstLine="420" w:firstLineChars="200"/>
        <w:rPr>
          <w:rFonts w:ascii="宋体" w:hAnsi="宋体" w:cs="宋体"/>
        </w:rPr>
      </w:pPr>
      <w:r>
        <w:rPr>
          <w:rFonts w:hint="eastAsia" w:ascii="宋体" w:hAnsi="宋体" w:cs="宋体"/>
        </w:rPr>
        <w:t>1.1.5 项目建设地点：见投标人须知前附表。</w:t>
      </w:r>
    </w:p>
    <w:p>
      <w:pPr>
        <w:spacing w:line="360" w:lineRule="auto"/>
        <w:rPr>
          <w:rFonts w:ascii="宋体" w:hAnsi="宋体" w:cs="宋体"/>
          <w:b/>
          <w:sz w:val="24"/>
        </w:rPr>
      </w:pPr>
      <w:bookmarkStart w:id="47" w:name="_Toc12870"/>
      <w:bookmarkStart w:id="48" w:name="_Toc435930033"/>
      <w:bookmarkStart w:id="49" w:name="_Toc152045531"/>
      <w:bookmarkStart w:id="50" w:name="_Toc5223"/>
      <w:bookmarkStart w:id="51" w:name="_Toc152042307"/>
      <w:bookmarkStart w:id="52" w:name="_Toc436316937"/>
      <w:bookmarkStart w:id="53" w:name="_Toc436315327"/>
      <w:bookmarkStart w:id="54" w:name="_Toc247513954"/>
      <w:bookmarkStart w:id="55" w:name="_Toc144974499"/>
      <w:bookmarkStart w:id="56" w:name="_Toc247527555"/>
      <w:r>
        <w:rPr>
          <w:rFonts w:hint="eastAsia" w:ascii="宋体" w:hAnsi="宋体" w:cs="宋体"/>
          <w:b/>
          <w:sz w:val="24"/>
        </w:rPr>
        <w:t>1.2 项目的资金来源和落实情况</w:t>
      </w:r>
      <w:bookmarkEnd w:id="47"/>
      <w:bookmarkEnd w:id="48"/>
      <w:bookmarkEnd w:id="49"/>
      <w:bookmarkEnd w:id="50"/>
      <w:bookmarkEnd w:id="51"/>
      <w:bookmarkEnd w:id="52"/>
      <w:bookmarkEnd w:id="53"/>
      <w:bookmarkEnd w:id="54"/>
      <w:bookmarkEnd w:id="55"/>
      <w:bookmarkEnd w:id="56"/>
    </w:p>
    <w:p>
      <w:pPr>
        <w:spacing w:line="360" w:lineRule="auto"/>
        <w:ind w:firstLine="420" w:firstLineChars="200"/>
        <w:rPr>
          <w:rFonts w:ascii="宋体" w:hAnsi="宋体" w:cs="宋体"/>
        </w:rPr>
      </w:pPr>
      <w:r>
        <w:rPr>
          <w:rFonts w:hint="eastAsia" w:ascii="宋体" w:hAnsi="宋体" w:cs="宋体"/>
        </w:rPr>
        <w:t>1.2.1 资金来源及比例：见投标人须知前附表。</w:t>
      </w:r>
    </w:p>
    <w:p>
      <w:pPr>
        <w:spacing w:line="360" w:lineRule="auto"/>
        <w:ind w:firstLine="420" w:firstLineChars="200"/>
        <w:rPr>
          <w:rFonts w:ascii="宋体" w:hAnsi="宋体" w:cs="宋体"/>
        </w:rPr>
      </w:pPr>
      <w:r>
        <w:rPr>
          <w:rFonts w:hint="eastAsia" w:ascii="宋体" w:hAnsi="宋体" w:cs="宋体"/>
        </w:rPr>
        <w:t>1.2.2 资金落实情况：见投标人须知前附表。</w:t>
      </w:r>
    </w:p>
    <w:p>
      <w:pPr>
        <w:spacing w:line="360" w:lineRule="auto"/>
        <w:rPr>
          <w:rFonts w:ascii="宋体" w:hAnsi="宋体" w:cs="宋体"/>
          <w:b/>
          <w:sz w:val="24"/>
        </w:rPr>
      </w:pPr>
      <w:bookmarkStart w:id="57" w:name="_Toc144974500"/>
      <w:bookmarkStart w:id="58" w:name="_Toc152042308"/>
      <w:bookmarkStart w:id="59" w:name="_Toc152045532"/>
      <w:bookmarkStart w:id="60" w:name="_Toc247527556"/>
      <w:bookmarkStart w:id="61" w:name="_Toc247513955"/>
      <w:bookmarkStart w:id="62" w:name="_Toc24676"/>
      <w:bookmarkStart w:id="63" w:name="_Toc436315328"/>
      <w:bookmarkStart w:id="64" w:name="_Toc435930034"/>
      <w:bookmarkStart w:id="65" w:name="_Toc436316938"/>
      <w:bookmarkStart w:id="66" w:name="_Toc25858"/>
      <w:r>
        <w:rPr>
          <w:rFonts w:hint="eastAsia" w:ascii="宋体" w:hAnsi="宋体" w:cs="宋体"/>
          <w:b/>
          <w:sz w:val="24"/>
        </w:rPr>
        <w:t>1.3 招标范围、计划工期和</w:t>
      </w:r>
      <w:bookmarkEnd w:id="57"/>
      <w:bookmarkEnd w:id="58"/>
      <w:bookmarkEnd w:id="59"/>
      <w:bookmarkEnd w:id="60"/>
      <w:bookmarkEnd w:id="61"/>
      <w:r>
        <w:rPr>
          <w:rFonts w:hint="eastAsia" w:ascii="宋体" w:hAnsi="宋体" w:cs="宋体"/>
          <w:b/>
          <w:sz w:val="24"/>
        </w:rPr>
        <w:t>质量标准</w:t>
      </w:r>
      <w:bookmarkEnd w:id="62"/>
      <w:bookmarkEnd w:id="63"/>
      <w:bookmarkEnd w:id="64"/>
      <w:bookmarkEnd w:id="65"/>
      <w:bookmarkEnd w:id="66"/>
    </w:p>
    <w:p>
      <w:pPr>
        <w:spacing w:line="360" w:lineRule="auto"/>
        <w:ind w:firstLine="420" w:firstLineChars="200"/>
        <w:rPr>
          <w:rFonts w:ascii="宋体" w:hAnsi="宋体" w:cs="宋体"/>
        </w:rPr>
      </w:pPr>
      <w:r>
        <w:rPr>
          <w:rFonts w:hint="eastAsia" w:ascii="宋体" w:hAnsi="宋体" w:cs="宋体"/>
        </w:rPr>
        <w:t>1.3.1 招标范围：见投标人须知前附表。</w:t>
      </w:r>
    </w:p>
    <w:p>
      <w:pPr>
        <w:spacing w:line="360" w:lineRule="auto"/>
        <w:ind w:firstLine="420" w:firstLineChars="200"/>
        <w:rPr>
          <w:rFonts w:ascii="宋体" w:hAnsi="宋体" w:cs="宋体"/>
        </w:rPr>
      </w:pPr>
      <w:r>
        <w:rPr>
          <w:rFonts w:hint="eastAsia" w:ascii="宋体" w:hAnsi="宋体" w:cs="宋体"/>
        </w:rPr>
        <w:t>1.3.2 监理</w:t>
      </w:r>
      <w:r>
        <w:rPr>
          <w:rFonts w:hint="eastAsia" w:ascii="宋体" w:hAnsi="宋体" w:cs="宋体"/>
          <w:color w:val="000000" w:themeColor="text1"/>
          <w14:textFill>
            <w14:solidFill>
              <w14:schemeClr w14:val="tx1"/>
            </w14:solidFill>
          </w14:textFill>
        </w:rPr>
        <w:t>服务期限：</w:t>
      </w:r>
      <w:r>
        <w:rPr>
          <w:rFonts w:hint="eastAsia" w:ascii="宋体" w:hAnsi="宋体" w:cs="宋体"/>
        </w:rPr>
        <w:t>见投标人须知前附表。</w:t>
      </w:r>
    </w:p>
    <w:p>
      <w:pPr>
        <w:spacing w:line="360" w:lineRule="auto"/>
        <w:ind w:firstLine="420" w:firstLineChars="200"/>
        <w:rPr>
          <w:rFonts w:ascii="宋体" w:hAnsi="宋体" w:cs="宋体"/>
        </w:rPr>
      </w:pPr>
      <w:r>
        <w:rPr>
          <w:rFonts w:hint="eastAsia" w:ascii="宋体" w:hAnsi="宋体" w:cs="宋体"/>
        </w:rPr>
        <w:t>1.3.3 质量要求：见投标人须知前附表。</w:t>
      </w:r>
    </w:p>
    <w:p>
      <w:pPr>
        <w:spacing w:line="360" w:lineRule="auto"/>
        <w:ind w:firstLine="420" w:firstLineChars="200"/>
        <w:rPr>
          <w:rFonts w:ascii="宋体" w:hAnsi="宋体" w:cs="宋体"/>
        </w:rPr>
      </w:pPr>
      <w:r>
        <w:rPr>
          <w:rFonts w:hint="eastAsia" w:ascii="宋体" w:hAnsi="宋体" w:cs="宋体"/>
        </w:rPr>
        <w:t>1.3.4 本标段资格审查方式：见投标人须知前附表。</w:t>
      </w:r>
    </w:p>
    <w:p>
      <w:pPr>
        <w:spacing w:line="360" w:lineRule="auto"/>
        <w:rPr>
          <w:rFonts w:ascii="宋体" w:hAnsi="宋体" w:cs="宋体"/>
          <w:b/>
          <w:sz w:val="24"/>
        </w:rPr>
      </w:pPr>
      <w:bookmarkStart w:id="67" w:name="_Toc436316939"/>
      <w:bookmarkStart w:id="68" w:name="_Toc436315329"/>
      <w:bookmarkStart w:id="69" w:name="_Toc435930035"/>
      <w:bookmarkStart w:id="70" w:name="_Toc29338"/>
      <w:bookmarkStart w:id="71" w:name="_Toc144974502"/>
      <w:bookmarkStart w:id="72" w:name="_Toc22836"/>
      <w:bookmarkStart w:id="73" w:name="_Toc247527558"/>
      <w:bookmarkStart w:id="74" w:name="_Toc247513957"/>
      <w:bookmarkStart w:id="75" w:name="_Toc152045534"/>
      <w:bookmarkStart w:id="76" w:name="_Toc152042310"/>
      <w:r>
        <w:rPr>
          <w:rFonts w:hint="eastAsia" w:ascii="宋体" w:hAnsi="宋体" w:cs="宋体"/>
          <w:b/>
          <w:sz w:val="24"/>
        </w:rPr>
        <w:t>1.4 投标人资格要求</w:t>
      </w:r>
      <w:bookmarkEnd w:id="67"/>
      <w:bookmarkEnd w:id="68"/>
      <w:bookmarkEnd w:id="69"/>
      <w:bookmarkEnd w:id="70"/>
      <w:bookmarkEnd w:id="71"/>
      <w:bookmarkEnd w:id="72"/>
      <w:bookmarkEnd w:id="73"/>
      <w:bookmarkEnd w:id="74"/>
      <w:bookmarkEnd w:id="75"/>
      <w:bookmarkEnd w:id="76"/>
    </w:p>
    <w:p>
      <w:pPr>
        <w:spacing w:line="360" w:lineRule="auto"/>
        <w:ind w:firstLine="420"/>
        <w:rPr>
          <w:rFonts w:ascii="宋体" w:hAnsi="宋体" w:cs="宋体"/>
        </w:rPr>
      </w:pPr>
      <w:r>
        <w:rPr>
          <w:rFonts w:hint="eastAsia" w:ascii="宋体" w:hAnsi="宋体" w:cs="宋体"/>
        </w:rPr>
        <w:t>1.4.1 投标人应具备承担本工程监理的资质条件、能力和信誉。</w:t>
      </w:r>
    </w:p>
    <w:p>
      <w:pPr>
        <w:spacing w:line="360" w:lineRule="auto"/>
        <w:ind w:firstLine="420"/>
        <w:rPr>
          <w:rFonts w:ascii="宋体" w:hAnsi="宋体" w:cs="宋体"/>
        </w:rPr>
      </w:pPr>
      <w:r>
        <w:rPr>
          <w:rFonts w:hint="eastAsia" w:ascii="宋体" w:hAnsi="宋体" w:cs="宋体"/>
        </w:rPr>
        <w:t>（1）资质条件：见投标人须知前附表；</w:t>
      </w:r>
    </w:p>
    <w:p>
      <w:pPr>
        <w:spacing w:line="360" w:lineRule="auto"/>
        <w:ind w:firstLine="420"/>
        <w:rPr>
          <w:rFonts w:ascii="宋体" w:hAnsi="宋体" w:cs="宋体"/>
        </w:rPr>
      </w:pPr>
      <w:r>
        <w:rPr>
          <w:rFonts w:hint="eastAsia" w:ascii="宋体" w:hAnsi="宋体" w:cs="宋体"/>
        </w:rPr>
        <w:t>（2）项目总监资格：见投标人须知前附表；</w:t>
      </w:r>
    </w:p>
    <w:p>
      <w:pPr>
        <w:spacing w:line="360" w:lineRule="auto"/>
        <w:ind w:firstLine="420"/>
        <w:rPr>
          <w:rFonts w:ascii="宋体" w:hAnsi="宋体" w:cs="宋体"/>
        </w:rPr>
      </w:pPr>
      <w:r>
        <w:rPr>
          <w:rFonts w:hint="eastAsia" w:ascii="宋体" w:hAnsi="宋体" w:cs="宋体"/>
        </w:rPr>
        <w:t>（3）财务要求：见投标人须知前附表；</w:t>
      </w:r>
    </w:p>
    <w:p>
      <w:pPr>
        <w:spacing w:line="360" w:lineRule="auto"/>
        <w:ind w:firstLine="420"/>
        <w:rPr>
          <w:rFonts w:ascii="宋体" w:hAnsi="宋体" w:cs="宋体"/>
        </w:rPr>
      </w:pPr>
      <w:r>
        <w:rPr>
          <w:rFonts w:hint="eastAsia" w:ascii="宋体" w:hAnsi="宋体" w:cs="宋体"/>
        </w:rPr>
        <w:t>（5）信誉要求：见投标人须知前附表；</w:t>
      </w:r>
    </w:p>
    <w:p>
      <w:pPr>
        <w:spacing w:line="360" w:lineRule="auto"/>
        <w:ind w:firstLine="420"/>
        <w:rPr>
          <w:rFonts w:ascii="宋体" w:hAnsi="宋体" w:cs="宋体"/>
          <w:sz w:val="22"/>
        </w:rPr>
      </w:pPr>
      <w:r>
        <w:rPr>
          <w:rFonts w:hint="eastAsia" w:ascii="宋体" w:hAnsi="宋体" w:cs="宋体"/>
        </w:rPr>
        <w:t>（6）其他要求：见投标人须知前附表。</w:t>
      </w:r>
    </w:p>
    <w:p>
      <w:pPr>
        <w:spacing w:line="360" w:lineRule="auto"/>
        <w:rPr>
          <w:rFonts w:ascii="宋体" w:hAnsi="宋体" w:cs="宋体"/>
        </w:rPr>
      </w:pPr>
      <w:r>
        <w:rPr>
          <w:rFonts w:hint="eastAsia" w:ascii="宋体" w:hAnsi="宋体" w:cs="宋体"/>
          <w:sz w:val="22"/>
        </w:rPr>
        <w:t xml:space="preserve">    </w:t>
      </w:r>
      <w:r>
        <w:rPr>
          <w:rFonts w:hint="eastAsia" w:ascii="宋体" w:hAnsi="宋体" w:cs="宋体"/>
        </w:rPr>
        <w:t xml:space="preserve">1.4.2 本项目不接受联合体投标。投标人须知前附表规定接受联合体投标的，除应符合本章第1.4.1项和投标人须知前附表的要求外，还应遵守以下规定： </w:t>
      </w:r>
    </w:p>
    <w:p>
      <w:pPr>
        <w:spacing w:line="360" w:lineRule="auto"/>
        <w:ind w:firstLine="315" w:firstLineChars="150"/>
        <w:rPr>
          <w:rFonts w:ascii="宋体" w:hAnsi="宋体" w:cs="宋体"/>
        </w:rPr>
      </w:pPr>
      <w:r>
        <w:rPr>
          <w:rFonts w:hint="eastAsia" w:ascii="宋体" w:hAnsi="宋体" w:cs="宋体"/>
        </w:rPr>
        <w:t>（1）联合体各方应按招标文件提供的格式签订联合体协议书，明确联合体牵头人和各方权利义务；</w:t>
      </w:r>
    </w:p>
    <w:p>
      <w:pPr>
        <w:spacing w:line="360" w:lineRule="auto"/>
        <w:ind w:firstLine="315" w:firstLineChars="150"/>
        <w:rPr>
          <w:rFonts w:ascii="宋体" w:hAnsi="宋体" w:cs="宋体"/>
        </w:rPr>
      </w:pPr>
      <w:r>
        <w:rPr>
          <w:rFonts w:hint="eastAsia" w:ascii="宋体" w:hAnsi="宋体" w:cs="宋体"/>
        </w:rPr>
        <w:t>（2）由同一专业的单位组成的联合体，按照资质等级较低的单位确定资质等级；</w:t>
      </w:r>
    </w:p>
    <w:p>
      <w:pPr>
        <w:spacing w:line="360" w:lineRule="auto"/>
        <w:ind w:firstLine="315" w:firstLineChars="150"/>
        <w:rPr>
          <w:rFonts w:ascii="宋体" w:hAnsi="宋体" w:cs="宋体"/>
        </w:rPr>
      </w:pPr>
      <w:r>
        <w:rPr>
          <w:rFonts w:hint="eastAsia" w:ascii="宋体" w:hAnsi="宋体" w:cs="宋体"/>
        </w:rPr>
        <w:t>（3）联合体各方不得再以自己名义单独或参加其他联合体在本招标项目中投标。</w:t>
      </w:r>
    </w:p>
    <w:p>
      <w:pPr>
        <w:spacing w:line="360" w:lineRule="auto"/>
        <w:ind w:firstLine="420" w:firstLineChars="200"/>
        <w:rPr>
          <w:rFonts w:ascii="宋体" w:hAnsi="宋体" w:cs="宋体"/>
        </w:rPr>
      </w:pPr>
      <w:r>
        <w:rPr>
          <w:rFonts w:hint="eastAsia" w:ascii="宋体" w:hAnsi="宋体" w:cs="宋体"/>
        </w:rPr>
        <w:t>1.4.3 投标人存在下列情形之一不得投标：</w:t>
      </w:r>
    </w:p>
    <w:p>
      <w:pPr>
        <w:spacing w:line="360" w:lineRule="auto"/>
        <w:ind w:firstLine="315" w:firstLineChars="150"/>
        <w:rPr>
          <w:rFonts w:ascii="宋体" w:hAnsi="宋体" w:cs="宋体"/>
        </w:rPr>
      </w:pPr>
      <w:r>
        <w:rPr>
          <w:rFonts w:hint="eastAsia" w:ascii="宋体" w:hAnsi="宋体" w:cs="宋体"/>
        </w:rPr>
        <w:t>（1）为招标人不具有独立法人资格的附属机构（单位）；</w:t>
      </w:r>
    </w:p>
    <w:p>
      <w:pPr>
        <w:spacing w:line="360" w:lineRule="auto"/>
        <w:ind w:firstLine="315" w:firstLineChars="150"/>
        <w:rPr>
          <w:rFonts w:ascii="宋体" w:hAnsi="宋体" w:cs="宋体"/>
        </w:rPr>
      </w:pPr>
      <w:r>
        <w:rPr>
          <w:rFonts w:hint="eastAsia" w:ascii="宋体" w:hAnsi="宋体" w:cs="宋体"/>
        </w:rPr>
        <w:t>（2）与招标人存在利害关系且可能影响招标公正性；</w:t>
      </w:r>
    </w:p>
    <w:p>
      <w:pPr>
        <w:spacing w:line="360" w:lineRule="auto"/>
        <w:ind w:firstLine="315" w:firstLineChars="150"/>
        <w:rPr>
          <w:rFonts w:ascii="宋体" w:hAnsi="宋体" w:cs="宋体"/>
        </w:rPr>
      </w:pPr>
      <w:r>
        <w:rPr>
          <w:rFonts w:hint="eastAsia" w:ascii="宋体" w:hAnsi="宋体" w:cs="宋体"/>
        </w:rPr>
        <w:t>（3）与本招标项目的其他投标人为同一单位负责人；</w:t>
      </w:r>
    </w:p>
    <w:p>
      <w:pPr>
        <w:spacing w:line="360" w:lineRule="auto"/>
        <w:ind w:firstLine="315" w:firstLineChars="150"/>
        <w:rPr>
          <w:rFonts w:ascii="宋体" w:hAnsi="宋体" w:cs="宋体"/>
        </w:rPr>
      </w:pPr>
      <w:r>
        <w:rPr>
          <w:rFonts w:hint="eastAsia" w:ascii="宋体" w:hAnsi="宋体" w:cs="宋体"/>
        </w:rPr>
        <w:t>（4）与本招标项目的其他投标人存在控股、管理关系；</w:t>
      </w:r>
    </w:p>
    <w:p>
      <w:pPr>
        <w:spacing w:line="360" w:lineRule="auto"/>
        <w:ind w:firstLine="315" w:firstLineChars="150"/>
        <w:rPr>
          <w:rFonts w:ascii="宋体" w:hAnsi="宋体" w:cs="宋体"/>
        </w:rPr>
      </w:pPr>
      <w:r>
        <w:rPr>
          <w:rFonts w:hint="eastAsia" w:ascii="宋体" w:hAnsi="宋体" w:cs="宋体"/>
        </w:rPr>
        <w:t>（5）为本项目的代建人；</w:t>
      </w:r>
    </w:p>
    <w:p>
      <w:pPr>
        <w:spacing w:line="360" w:lineRule="auto"/>
        <w:ind w:firstLine="315" w:firstLineChars="150"/>
        <w:rPr>
          <w:rFonts w:ascii="宋体" w:hAnsi="宋体" w:cs="宋体"/>
        </w:rPr>
      </w:pPr>
      <w:r>
        <w:rPr>
          <w:rFonts w:hint="eastAsia" w:ascii="宋体" w:hAnsi="宋体" w:cs="宋体"/>
        </w:rPr>
        <w:t>（6）为本项目提供招标代理服务的；</w:t>
      </w:r>
    </w:p>
    <w:p>
      <w:pPr>
        <w:spacing w:line="360" w:lineRule="auto"/>
        <w:ind w:firstLine="315" w:firstLineChars="150"/>
        <w:rPr>
          <w:rFonts w:ascii="宋体" w:hAnsi="宋体" w:cs="宋体"/>
        </w:rPr>
      </w:pPr>
      <w:r>
        <w:rPr>
          <w:rFonts w:hint="eastAsia" w:ascii="宋体" w:hAnsi="宋体" w:cs="宋体"/>
        </w:rPr>
        <w:t>（7）与本招标项目的代建人或招标代理机构同为一个法定代表人；</w:t>
      </w:r>
    </w:p>
    <w:p>
      <w:pPr>
        <w:spacing w:line="360" w:lineRule="auto"/>
        <w:ind w:firstLine="315" w:firstLineChars="150"/>
        <w:rPr>
          <w:rFonts w:ascii="宋体" w:hAnsi="宋体" w:cs="宋体"/>
        </w:rPr>
      </w:pPr>
      <w:r>
        <w:rPr>
          <w:rFonts w:hint="eastAsia" w:ascii="宋体" w:hAnsi="宋体" w:cs="宋体"/>
        </w:rPr>
        <w:t>（8）与本招标项目的代建人或招标代理机构存在控股或参股关系；</w:t>
      </w:r>
    </w:p>
    <w:p>
      <w:pPr>
        <w:spacing w:line="360" w:lineRule="auto"/>
        <w:ind w:firstLine="315" w:firstLineChars="150"/>
        <w:rPr>
          <w:rFonts w:ascii="宋体" w:hAnsi="宋体" w:cs="宋体"/>
        </w:rPr>
      </w:pPr>
      <w:r>
        <w:rPr>
          <w:rFonts w:hint="eastAsia" w:ascii="宋体" w:hAnsi="宋体" w:cs="宋体"/>
        </w:rPr>
        <w:t>（9）被依法暂停或者取消投标资格；</w:t>
      </w:r>
    </w:p>
    <w:p>
      <w:pPr>
        <w:spacing w:line="360" w:lineRule="auto"/>
        <w:ind w:firstLine="315" w:firstLineChars="150"/>
        <w:rPr>
          <w:rFonts w:ascii="宋体" w:hAnsi="宋体" w:cs="宋体"/>
        </w:rPr>
      </w:pPr>
      <w:r>
        <w:rPr>
          <w:rFonts w:hint="eastAsia" w:ascii="宋体" w:hAnsi="宋体" w:cs="宋体"/>
        </w:rPr>
        <w:t>（10）被责令停产停业、暂扣或者吊销许可证、暂扣或者吊销执照；</w:t>
      </w:r>
    </w:p>
    <w:p>
      <w:pPr>
        <w:spacing w:line="360" w:lineRule="auto"/>
        <w:ind w:firstLine="315" w:firstLineChars="150"/>
        <w:rPr>
          <w:rFonts w:ascii="宋体" w:hAnsi="宋体" w:cs="宋体"/>
        </w:rPr>
      </w:pPr>
      <w:r>
        <w:rPr>
          <w:rFonts w:hint="eastAsia" w:ascii="宋体" w:hAnsi="宋体" w:cs="宋体"/>
        </w:rPr>
        <w:t>（11）进入清算程序，或被宣告破产，或其他丧失履约能力的情形；</w:t>
      </w:r>
    </w:p>
    <w:p>
      <w:pPr>
        <w:spacing w:line="360" w:lineRule="auto"/>
        <w:ind w:firstLine="315" w:firstLineChars="150"/>
        <w:rPr>
          <w:rFonts w:ascii="宋体" w:hAnsi="宋体" w:cs="宋体"/>
        </w:rPr>
      </w:pPr>
      <w:r>
        <w:rPr>
          <w:rFonts w:hint="eastAsia" w:ascii="宋体" w:hAnsi="宋体" w:cs="宋体"/>
        </w:rPr>
        <w:t>（12）在最近三年内发生重大质量问题（以相关行业主管部门的行政处罚决定或司法机关出具的有关法律文书为准）；</w:t>
      </w:r>
    </w:p>
    <w:p>
      <w:pPr>
        <w:spacing w:line="360" w:lineRule="auto"/>
        <w:ind w:firstLine="315" w:firstLineChars="150"/>
        <w:rPr>
          <w:rFonts w:ascii="宋体" w:hAnsi="宋体" w:cs="宋体"/>
        </w:rPr>
      </w:pPr>
      <w:r>
        <w:rPr>
          <w:rFonts w:hint="eastAsia" w:ascii="宋体" w:hAnsi="宋体" w:cs="宋体"/>
        </w:rPr>
        <w:t>（13）被工商行政管理机关在全国企业信用信息公示系统中列入严重违法失信企业名单；</w:t>
      </w:r>
    </w:p>
    <w:p>
      <w:pPr>
        <w:spacing w:line="360" w:lineRule="auto"/>
        <w:ind w:firstLine="315" w:firstLineChars="150"/>
        <w:rPr>
          <w:rFonts w:ascii="宋体" w:hAnsi="宋体" w:cs="宋体"/>
        </w:rPr>
      </w:pPr>
      <w:r>
        <w:rPr>
          <w:rFonts w:hint="eastAsia" w:ascii="宋体" w:hAnsi="宋体" w:cs="宋体"/>
        </w:rPr>
        <w:t>（14）被最高人民法院在“信用中国”网站（www.creditchina.gov.cn）或各级信用信息共享平台中列入失信被执行人名单；</w:t>
      </w:r>
    </w:p>
    <w:p>
      <w:pPr>
        <w:spacing w:line="360" w:lineRule="auto"/>
        <w:ind w:firstLine="315" w:firstLineChars="150"/>
        <w:rPr>
          <w:rFonts w:ascii="宋体" w:hAnsi="宋体" w:cs="宋体"/>
        </w:rPr>
      </w:pPr>
      <w:r>
        <w:rPr>
          <w:rFonts w:hint="eastAsia" w:ascii="宋体" w:hAnsi="宋体" w:cs="宋体"/>
        </w:rPr>
        <w:t>（15）在近三年内投标人或其法定代表人、拟委任的项目负责人有行贿犯罪行为的（以检察机关职务犯罪预防部门出具的查询结果为准）；</w:t>
      </w:r>
    </w:p>
    <w:p>
      <w:pPr>
        <w:spacing w:line="360" w:lineRule="auto"/>
        <w:ind w:firstLine="315" w:firstLineChars="150"/>
        <w:rPr>
          <w:rFonts w:ascii="宋体" w:hAnsi="宋体" w:cs="宋体"/>
        </w:rPr>
      </w:pPr>
      <w:r>
        <w:rPr>
          <w:rFonts w:hint="eastAsia" w:ascii="宋体" w:hAnsi="宋体" w:cs="宋体"/>
        </w:rPr>
        <w:t>（16）法律法规或投标人须知前附表规定的其他情形。</w:t>
      </w:r>
    </w:p>
    <w:p>
      <w:pPr>
        <w:spacing w:line="360" w:lineRule="auto"/>
        <w:rPr>
          <w:rFonts w:ascii="宋体" w:hAnsi="宋体" w:cs="宋体"/>
          <w:b/>
          <w:sz w:val="24"/>
        </w:rPr>
      </w:pPr>
      <w:bookmarkStart w:id="77" w:name="_Toc152042311"/>
      <w:bookmarkStart w:id="78" w:name="_Toc436315330"/>
      <w:bookmarkStart w:id="79" w:name="_Toc19812"/>
      <w:bookmarkStart w:id="80" w:name="_Toc247527559"/>
      <w:bookmarkStart w:id="81" w:name="_Toc247513958"/>
      <w:bookmarkStart w:id="82" w:name="_Toc435930036"/>
      <w:bookmarkStart w:id="83" w:name="_Toc152045535"/>
      <w:bookmarkStart w:id="84" w:name="_Toc3801"/>
      <w:bookmarkStart w:id="85" w:name="_Toc436316940"/>
      <w:bookmarkStart w:id="86" w:name="_Toc144974503"/>
      <w:r>
        <w:rPr>
          <w:rFonts w:hint="eastAsia" w:ascii="宋体" w:hAnsi="宋体" w:cs="宋体"/>
          <w:b/>
          <w:sz w:val="24"/>
        </w:rPr>
        <w:t>1.5 费用承担</w:t>
      </w:r>
      <w:bookmarkEnd w:id="77"/>
      <w:bookmarkEnd w:id="78"/>
      <w:bookmarkEnd w:id="79"/>
      <w:bookmarkEnd w:id="80"/>
      <w:bookmarkEnd w:id="81"/>
      <w:bookmarkEnd w:id="82"/>
      <w:bookmarkEnd w:id="83"/>
      <w:bookmarkEnd w:id="84"/>
      <w:bookmarkEnd w:id="85"/>
      <w:bookmarkEnd w:id="86"/>
    </w:p>
    <w:p>
      <w:pPr>
        <w:spacing w:line="360" w:lineRule="auto"/>
        <w:ind w:firstLine="420" w:firstLineChars="200"/>
        <w:rPr>
          <w:rFonts w:ascii="宋体" w:hAnsi="宋体" w:cs="宋体"/>
        </w:rPr>
      </w:pPr>
      <w:r>
        <w:rPr>
          <w:rFonts w:hint="eastAsia" w:ascii="宋体" w:hAnsi="宋体" w:cs="宋体"/>
        </w:rPr>
        <w:t xml:space="preserve"> 投标人准备和参加投标活动发生的费用自理。</w:t>
      </w:r>
    </w:p>
    <w:p>
      <w:pPr>
        <w:spacing w:line="360" w:lineRule="auto"/>
        <w:rPr>
          <w:rFonts w:ascii="宋体" w:hAnsi="宋体" w:cs="宋体"/>
          <w:b/>
          <w:sz w:val="24"/>
        </w:rPr>
      </w:pPr>
      <w:bookmarkStart w:id="87" w:name="_Toc247527560"/>
      <w:bookmarkStart w:id="88" w:name="_Toc436316941"/>
      <w:bookmarkStart w:id="89" w:name="_Toc20716"/>
      <w:bookmarkStart w:id="90" w:name="_Toc247513959"/>
      <w:bookmarkStart w:id="91" w:name="_Toc436315331"/>
      <w:bookmarkStart w:id="92" w:name="_Toc152042312"/>
      <w:bookmarkStart w:id="93" w:name="_Toc435930037"/>
      <w:bookmarkStart w:id="94" w:name="_Toc27893"/>
      <w:bookmarkStart w:id="95" w:name="_Toc144974504"/>
      <w:bookmarkStart w:id="96" w:name="_Toc152045536"/>
      <w:r>
        <w:rPr>
          <w:rFonts w:hint="eastAsia" w:ascii="宋体" w:hAnsi="宋体" w:cs="宋体"/>
          <w:b/>
          <w:sz w:val="24"/>
        </w:rPr>
        <w:t>1.6 保密</w:t>
      </w:r>
      <w:bookmarkEnd w:id="87"/>
      <w:bookmarkEnd w:id="88"/>
      <w:bookmarkEnd w:id="89"/>
      <w:bookmarkEnd w:id="90"/>
      <w:bookmarkEnd w:id="91"/>
      <w:bookmarkEnd w:id="92"/>
      <w:bookmarkEnd w:id="93"/>
      <w:bookmarkEnd w:id="94"/>
      <w:bookmarkEnd w:id="95"/>
      <w:bookmarkEnd w:id="96"/>
    </w:p>
    <w:p>
      <w:pPr>
        <w:spacing w:line="360" w:lineRule="auto"/>
        <w:ind w:firstLine="420" w:firstLineChars="200"/>
        <w:rPr>
          <w:rFonts w:ascii="宋体" w:hAnsi="宋体" w:cs="宋体"/>
        </w:rPr>
      </w:pPr>
      <w:r>
        <w:rPr>
          <w:rFonts w:hint="eastAsia" w:ascii="宋体" w:hAnsi="宋体" w:cs="宋体"/>
        </w:rPr>
        <w:t xml:space="preserve">参与招标投标活动的各方应对招标文件和投标文件中的商业和技术等秘密保密，否则应承担相应的法律责任。 </w:t>
      </w:r>
    </w:p>
    <w:p>
      <w:pPr>
        <w:spacing w:line="360" w:lineRule="auto"/>
        <w:rPr>
          <w:rFonts w:ascii="宋体" w:hAnsi="宋体" w:cs="宋体"/>
          <w:b/>
          <w:sz w:val="24"/>
        </w:rPr>
      </w:pPr>
      <w:bookmarkStart w:id="97" w:name="_Toc144974505"/>
      <w:bookmarkStart w:id="98" w:name="_Toc21667"/>
      <w:bookmarkStart w:id="99" w:name="_Toc435930038"/>
      <w:bookmarkStart w:id="100" w:name="_Toc436315332"/>
      <w:bookmarkStart w:id="101" w:name="_Toc247527561"/>
      <w:bookmarkStart w:id="102" w:name="_Toc152045537"/>
      <w:bookmarkStart w:id="103" w:name="_Toc247513960"/>
      <w:bookmarkStart w:id="104" w:name="_Toc436316942"/>
      <w:bookmarkStart w:id="105" w:name="_Toc4582"/>
      <w:bookmarkStart w:id="106" w:name="_Toc152042313"/>
      <w:r>
        <w:rPr>
          <w:rFonts w:hint="eastAsia" w:ascii="宋体" w:hAnsi="宋体" w:cs="宋体"/>
          <w:b/>
          <w:sz w:val="24"/>
        </w:rPr>
        <w:t>1.7 语言</w:t>
      </w:r>
      <w:bookmarkEnd w:id="97"/>
      <w:r>
        <w:rPr>
          <w:rFonts w:hint="eastAsia" w:ascii="宋体" w:hAnsi="宋体" w:cs="宋体"/>
          <w:b/>
          <w:sz w:val="24"/>
        </w:rPr>
        <w:t>文字</w:t>
      </w:r>
      <w:bookmarkEnd w:id="98"/>
      <w:bookmarkEnd w:id="99"/>
      <w:bookmarkEnd w:id="100"/>
      <w:bookmarkEnd w:id="101"/>
      <w:bookmarkEnd w:id="102"/>
      <w:bookmarkEnd w:id="103"/>
      <w:bookmarkEnd w:id="104"/>
      <w:bookmarkEnd w:id="105"/>
      <w:bookmarkEnd w:id="106"/>
    </w:p>
    <w:p>
      <w:pPr>
        <w:spacing w:line="360" w:lineRule="auto"/>
        <w:ind w:firstLine="420" w:firstLineChars="200"/>
        <w:rPr>
          <w:rFonts w:ascii="宋体" w:hAnsi="宋体" w:cs="宋体"/>
        </w:rPr>
      </w:pPr>
      <w:r>
        <w:rPr>
          <w:rFonts w:hint="eastAsia" w:ascii="宋体" w:hAnsi="宋体" w:cs="宋体"/>
        </w:rPr>
        <w:t>招标投标文件使用的语言文字为中文。专用术语使用外文的，应附有中文注释。</w:t>
      </w:r>
    </w:p>
    <w:p>
      <w:pPr>
        <w:spacing w:line="360" w:lineRule="auto"/>
        <w:rPr>
          <w:rFonts w:ascii="宋体" w:hAnsi="宋体" w:cs="宋体"/>
          <w:b/>
          <w:sz w:val="24"/>
        </w:rPr>
      </w:pPr>
      <w:bookmarkStart w:id="107" w:name="_Toc21212"/>
      <w:bookmarkStart w:id="108" w:name="_Toc144974506"/>
      <w:bookmarkStart w:id="109" w:name="_Toc436315333"/>
      <w:bookmarkStart w:id="110" w:name="_Toc247527562"/>
      <w:bookmarkStart w:id="111" w:name="_Toc7634"/>
      <w:bookmarkStart w:id="112" w:name="_Toc435930039"/>
      <w:bookmarkStart w:id="113" w:name="_Toc152045538"/>
      <w:bookmarkStart w:id="114" w:name="_Toc152042314"/>
      <w:bookmarkStart w:id="115" w:name="_Toc247513961"/>
      <w:bookmarkStart w:id="116" w:name="_Toc436316943"/>
      <w:r>
        <w:rPr>
          <w:rFonts w:hint="eastAsia" w:ascii="宋体" w:hAnsi="宋体" w:cs="宋体"/>
          <w:b/>
          <w:sz w:val="24"/>
        </w:rPr>
        <w:t>1.8 计量单位</w:t>
      </w:r>
      <w:bookmarkEnd w:id="107"/>
      <w:bookmarkEnd w:id="108"/>
      <w:bookmarkEnd w:id="109"/>
      <w:bookmarkEnd w:id="110"/>
      <w:bookmarkEnd w:id="111"/>
      <w:bookmarkEnd w:id="112"/>
      <w:bookmarkEnd w:id="113"/>
      <w:bookmarkEnd w:id="114"/>
      <w:bookmarkEnd w:id="115"/>
      <w:bookmarkEnd w:id="116"/>
    </w:p>
    <w:p>
      <w:pPr>
        <w:spacing w:line="360" w:lineRule="auto"/>
        <w:ind w:firstLine="420" w:firstLineChars="200"/>
        <w:rPr>
          <w:rFonts w:ascii="宋体" w:hAnsi="宋体" w:cs="宋体"/>
        </w:rPr>
      </w:pPr>
      <w:r>
        <w:rPr>
          <w:rFonts w:hint="eastAsia" w:ascii="宋体" w:hAnsi="宋体" w:cs="宋体"/>
        </w:rPr>
        <w:t>所有计量均采用中华人民共和国法定计量单位。</w:t>
      </w:r>
    </w:p>
    <w:p>
      <w:pPr>
        <w:spacing w:line="360" w:lineRule="auto"/>
        <w:rPr>
          <w:rFonts w:ascii="宋体" w:hAnsi="宋体" w:cs="宋体"/>
          <w:b/>
          <w:sz w:val="24"/>
        </w:rPr>
      </w:pPr>
      <w:bookmarkStart w:id="117" w:name="_Toc436315334"/>
      <w:bookmarkStart w:id="118" w:name="_Toc18050"/>
      <w:bookmarkStart w:id="119" w:name="_Toc152045539"/>
      <w:bookmarkStart w:id="120" w:name="_Toc152042315"/>
      <w:bookmarkStart w:id="121" w:name="_Toc247513962"/>
      <w:bookmarkStart w:id="122" w:name="_Toc14531"/>
      <w:bookmarkStart w:id="123" w:name="_Toc436316944"/>
      <w:bookmarkStart w:id="124" w:name="_Toc144974507"/>
      <w:bookmarkStart w:id="125" w:name="_Toc435930040"/>
      <w:bookmarkStart w:id="126" w:name="_Toc247527563"/>
      <w:r>
        <w:rPr>
          <w:rFonts w:hint="eastAsia" w:ascii="宋体" w:hAnsi="宋体" w:cs="宋体"/>
          <w:b/>
          <w:sz w:val="24"/>
        </w:rPr>
        <w:t>1.9 踏勘现场</w:t>
      </w:r>
      <w:bookmarkEnd w:id="117"/>
      <w:bookmarkEnd w:id="118"/>
      <w:bookmarkEnd w:id="119"/>
      <w:bookmarkEnd w:id="120"/>
      <w:bookmarkEnd w:id="121"/>
      <w:bookmarkEnd w:id="122"/>
      <w:bookmarkEnd w:id="123"/>
      <w:bookmarkEnd w:id="124"/>
      <w:bookmarkEnd w:id="125"/>
      <w:bookmarkEnd w:id="126"/>
    </w:p>
    <w:p>
      <w:pPr>
        <w:spacing w:line="360" w:lineRule="auto"/>
        <w:ind w:firstLine="420" w:firstLineChars="200"/>
        <w:rPr>
          <w:rFonts w:ascii="宋体" w:hAnsi="宋体" w:cs="宋体"/>
        </w:rPr>
      </w:pPr>
      <w:r>
        <w:rPr>
          <w:rFonts w:hint="eastAsia" w:ascii="宋体" w:hAnsi="宋体" w:cs="宋体"/>
        </w:rPr>
        <w:t>1.9.1 投标人须知前附表规定组织踏勘现场的，招标人按投标人须知前附表规定的时间、地点组织投标人踏勘项目现场。</w:t>
      </w:r>
    </w:p>
    <w:p>
      <w:pPr>
        <w:spacing w:line="360" w:lineRule="auto"/>
        <w:ind w:firstLine="420" w:firstLineChars="200"/>
        <w:rPr>
          <w:rFonts w:ascii="宋体" w:hAnsi="宋体" w:cs="宋体"/>
        </w:rPr>
      </w:pPr>
      <w:r>
        <w:rPr>
          <w:rFonts w:hint="eastAsia" w:ascii="宋体" w:hAnsi="宋体" w:cs="宋体"/>
        </w:rPr>
        <w:t>1.9.2 投标人踏勘现场发生的费用自理。</w:t>
      </w:r>
    </w:p>
    <w:p>
      <w:pPr>
        <w:spacing w:line="360" w:lineRule="auto"/>
        <w:ind w:firstLine="420" w:firstLineChars="200"/>
        <w:rPr>
          <w:rFonts w:ascii="宋体" w:hAnsi="宋体" w:cs="宋体"/>
        </w:rPr>
      </w:pPr>
      <w:r>
        <w:rPr>
          <w:rFonts w:hint="eastAsia" w:ascii="宋体" w:hAnsi="宋体" w:cs="宋体"/>
        </w:rPr>
        <w:t>1.9.3 除招标人的原因外，投标人自行负责在踏勘现场中所发生的人员伤亡和财产损失。</w:t>
      </w:r>
    </w:p>
    <w:p>
      <w:pPr>
        <w:spacing w:line="360" w:lineRule="auto"/>
        <w:ind w:firstLine="420" w:firstLineChars="200"/>
        <w:rPr>
          <w:rFonts w:ascii="宋体" w:hAnsi="宋体" w:cs="宋体"/>
        </w:rPr>
      </w:pPr>
      <w:r>
        <w:rPr>
          <w:rFonts w:hint="eastAsia" w:ascii="宋体" w:hAnsi="宋体" w:cs="宋体"/>
        </w:rPr>
        <w:t>1.9.4 招标人在踏勘现场中介绍的工程场地和相关的周边环境情况，供投标人在编制投标文件时参考，招标人不对投标人据此作出的判断和决策负责。</w:t>
      </w:r>
    </w:p>
    <w:p>
      <w:pPr>
        <w:spacing w:line="360" w:lineRule="auto"/>
        <w:rPr>
          <w:rFonts w:ascii="宋体" w:hAnsi="宋体" w:cs="宋体"/>
          <w:b/>
          <w:sz w:val="24"/>
        </w:rPr>
      </w:pPr>
      <w:bookmarkStart w:id="127" w:name="_Toc436316945"/>
      <w:bookmarkStart w:id="128" w:name="_Toc144974508"/>
      <w:bookmarkStart w:id="129" w:name="_Toc436315335"/>
      <w:bookmarkStart w:id="130" w:name="_Toc247513963"/>
      <w:bookmarkStart w:id="131" w:name="_Toc152045540"/>
      <w:bookmarkStart w:id="132" w:name="_Toc435930041"/>
      <w:bookmarkStart w:id="133" w:name="_Toc247527564"/>
      <w:bookmarkStart w:id="134" w:name="_Toc24325"/>
      <w:bookmarkStart w:id="135" w:name="_Toc152042316"/>
      <w:bookmarkStart w:id="136" w:name="_Toc16718"/>
      <w:r>
        <w:rPr>
          <w:rFonts w:hint="eastAsia" w:ascii="宋体" w:hAnsi="宋体" w:cs="宋体"/>
          <w:b/>
          <w:sz w:val="24"/>
        </w:rPr>
        <w:t>1.10 投标预备会</w:t>
      </w:r>
      <w:bookmarkEnd w:id="127"/>
      <w:bookmarkEnd w:id="128"/>
      <w:bookmarkEnd w:id="129"/>
      <w:bookmarkEnd w:id="130"/>
      <w:bookmarkEnd w:id="131"/>
      <w:bookmarkEnd w:id="132"/>
      <w:bookmarkEnd w:id="133"/>
      <w:bookmarkEnd w:id="134"/>
      <w:bookmarkEnd w:id="135"/>
      <w:bookmarkEnd w:id="136"/>
    </w:p>
    <w:p>
      <w:pPr>
        <w:spacing w:line="360" w:lineRule="auto"/>
        <w:ind w:firstLine="420" w:firstLineChars="200"/>
        <w:rPr>
          <w:rFonts w:ascii="宋体" w:hAnsi="宋体" w:cs="宋体"/>
        </w:rPr>
      </w:pPr>
      <w:r>
        <w:rPr>
          <w:rFonts w:hint="eastAsia" w:ascii="宋体" w:hAnsi="宋体" w:cs="宋体"/>
        </w:rPr>
        <w:t>1.10.1 投标人须知前附表规定召开投标预备会的，招标人按投标人须知前附表规定的时间和地点召开投标预备会，澄清投标人提出的问题。</w:t>
      </w:r>
    </w:p>
    <w:p>
      <w:pPr>
        <w:spacing w:line="360" w:lineRule="auto"/>
        <w:ind w:firstLine="420" w:firstLineChars="200"/>
        <w:rPr>
          <w:rFonts w:ascii="宋体" w:hAnsi="宋体" w:cs="宋体"/>
        </w:rPr>
      </w:pPr>
      <w:r>
        <w:rPr>
          <w:rFonts w:hint="eastAsia" w:ascii="宋体" w:hAnsi="宋体" w:cs="宋体"/>
        </w:rPr>
        <w:t>1.10.2 投标人应在投标人须知前附表规定的时间前，以书面形式将提出的问题送达招标人，以便招标人在会议期间澄清。</w:t>
      </w:r>
    </w:p>
    <w:p>
      <w:pPr>
        <w:spacing w:line="360" w:lineRule="auto"/>
        <w:ind w:firstLine="420" w:firstLineChars="200"/>
        <w:rPr>
          <w:rFonts w:ascii="宋体" w:hAnsi="宋体" w:cs="宋体"/>
        </w:rPr>
      </w:pPr>
      <w:r>
        <w:rPr>
          <w:rFonts w:hint="eastAsia" w:ascii="宋体" w:hAnsi="宋体" w:cs="宋体"/>
        </w:rPr>
        <w:t>1.10.3 投标预备会后，招标人在投标人须知前附表规定的时间内，将对投标人所提问题的澄清，以书面形式通知所有购买招标文件的投标人。该澄清内容为招标文件的组成部分。</w:t>
      </w:r>
    </w:p>
    <w:p>
      <w:pPr>
        <w:spacing w:line="360" w:lineRule="auto"/>
        <w:rPr>
          <w:rFonts w:ascii="宋体" w:hAnsi="宋体" w:cs="宋体"/>
          <w:b/>
          <w:sz w:val="24"/>
        </w:rPr>
      </w:pPr>
      <w:bookmarkStart w:id="137" w:name="_Toc144974509"/>
      <w:bookmarkStart w:id="138" w:name="_Toc436316946"/>
      <w:bookmarkStart w:id="139" w:name="_Toc247513964"/>
      <w:bookmarkStart w:id="140" w:name="_Toc435930042"/>
      <w:bookmarkStart w:id="141" w:name="_Toc152042317"/>
      <w:bookmarkStart w:id="142" w:name="_Toc436315336"/>
      <w:bookmarkStart w:id="143" w:name="_Toc11680"/>
      <w:bookmarkStart w:id="144" w:name="_Toc11628"/>
      <w:bookmarkStart w:id="145" w:name="_Toc152045541"/>
      <w:bookmarkStart w:id="146" w:name="_Toc247527565"/>
      <w:r>
        <w:rPr>
          <w:rFonts w:hint="eastAsia" w:ascii="宋体" w:hAnsi="宋体" w:cs="宋体"/>
          <w:b/>
          <w:sz w:val="24"/>
        </w:rPr>
        <w:t>1.11 分包</w:t>
      </w:r>
      <w:bookmarkEnd w:id="137"/>
      <w:bookmarkEnd w:id="138"/>
      <w:bookmarkEnd w:id="139"/>
      <w:bookmarkEnd w:id="140"/>
      <w:bookmarkEnd w:id="141"/>
      <w:bookmarkEnd w:id="142"/>
      <w:bookmarkEnd w:id="143"/>
      <w:bookmarkEnd w:id="144"/>
      <w:bookmarkEnd w:id="145"/>
      <w:bookmarkEnd w:id="146"/>
    </w:p>
    <w:p>
      <w:pPr>
        <w:spacing w:line="360" w:lineRule="auto"/>
        <w:ind w:firstLine="420" w:firstLineChars="200"/>
        <w:rPr>
          <w:rFonts w:ascii="宋体" w:hAnsi="宋体" w:cs="宋体"/>
        </w:rPr>
      </w:pPr>
      <w:r>
        <w:rPr>
          <w:rFonts w:hint="eastAsia" w:ascii="宋体" w:hAnsi="宋体" w:cs="宋体"/>
        </w:rPr>
        <w:t>不允许。</w:t>
      </w:r>
    </w:p>
    <w:p>
      <w:pPr>
        <w:spacing w:line="360" w:lineRule="auto"/>
        <w:rPr>
          <w:rFonts w:ascii="宋体" w:hAnsi="宋体" w:cs="宋体"/>
          <w:b/>
          <w:sz w:val="24"/>
        </w:rPr>
      </w:pPr>
      <w:bookmarkStart w:id="147" w:name="_Toc435930043"/>
      <w:bookmarkStart w:id="148" w:name="_Toc247527566"/>
      <w:bookmarkStart w:id="149" w:name="_Toc247513965"/>
      <w:bookmarkStart w:id="150" w:name="_Toc436316947"/>
      <w:bookmarkStart w:id="151" w:name="_Toc19301"/>
      <w:bookmarkStart w:id="152" w:name="_Toc30909"/>
      <w:bookmarkStart w:id="153" w:name="_Toc436315337"/>
      <w:r>
        <w:rPr>
          <w:rFonts w:hint="eastAsia" w:ascii="宋体" w:hAnsi="宋体" w:cs="宋体"/>
          <w:b/>
          <w:sz w:val="24"/>
        </w:rPr>
        <w:t>1.12 偏离</w:t>
      </w:r>
      <w:bookmarkEnd w:id="147"/>
      <w:bookmarkEnd w:id="148"/>
      <w:bookmarkEnd w:id="149"/>
      <w:bookmarkEnd w:id="150"/>
      <w:bookmarkEnd w:id="151"/>
      <w:bookmarkEnd w:id="152"/>
      <w:bookmarkEnd w:id="153"/>
    </w:p>
    <w:p>
      <w:pPr>
        <w:spacing w:line="360" w:lineRule="auto"/>
        <w:ind w:firstLine="359" w:firstLineChars="171"/>
        <w:rPr>
          <w:rFonts w:ascii="宋体" w:hAnsi="宋体" w:cs="宋体"/>
        </w:rPr>
      </w:pPr>
      <w:r>
        <w:rPr>
          <w:rFonts w:hint="eastAsia" w:ascii="宋体" w:hAnsi="宋体" w:cs="宋体"/>
        </w:rPr>
        <w:t>本项目不允许偏离。</w:t>
      </w:r>
    </w:p>
    <w:p>
      <w:pPr>
        <w:pStyle w:val="5"/>
        <w:keepNext w:val="0"/>
        <w:keepLines w:val="0"/>
        <w:spacing w:line="360" w:lineRule="auto"/>
        <w:rPr>
          <w:rFonts w:ascii="宋体" w:hAnsi="宋体" w:eastAsia="宋体" w:cs="宋体"/>
        </w:rPr>
      </w:pPr>
      <w:bookmarkStart w:id="154" w:name="_Toc152045542"/>
      <w:bookmarkStart w:id="155" w:name="_Toc3035"/>
      <w:bookmarkStart w:id="156" w:name="_Toc9595"/>
      <w:bookmarkStart w:id="157" w:name="_Toc15109"/>
      <w:bookmarkStart w:id="158" w:name="_Toc247513966"/>
      <w:bookmarkStart w:id="159" w:name="_Toc152042318"/>
      <w:bookmarkStart w:id="160" w:name="_Toc247527567"/>
      <w:bookmarkStart w:id="161" w:name="_Toc144974510"/>
      <w:bookmarkStart w:id="162" w:name="_Toc18906"/>
      <w:bookmarkStart w:id="163" w:name="_Toc21773"/>
      <w:r>
        <w:rPr>
          <w:rFonts w:hint="eastAsia" w:ascii="宋体" w:hAnsi="宋体" w:eastAsia="宋体" w:cs="宋体"/>
        </w:rPr>
        <w:t>2. 招标文件</w:t>
      </w:r>
      <w:bookmarkEnd w:id="154"/>
      <w:bookmarkEnd w:id="155"/>
      <w:bookmarkEnd w:id="156"/>
      <w:bookmarkEnd w:id="157"/>
      <w:bookmarkEnd w:id="158"/>
      <w:bookmarkEnd w:id="159"/>
      <w:bookmarkEnd w:id="160"/>
      <w:bookmarkEnd w:id="161"/>
      <w:bookmarkEnd w:id="162"/>
      <w:bookmarkEnd w:id="163"/>
    </w:p>
    <w:p>
      <w:pPr>
        <w:spacing w:line="360" w:lineRule="auto"/>
        <w:rPr>
          <w:rFonts w:ascii="宋体" w:hAnsi="宋体" w:cs="宋体"/>
          <w:b/>
          <w:sz w:val="24"/>
        </w:rPr>
      </w:pPr>
      <w:bookmarkStart w:id="164" w:name="_Toc291"/>
      <w:bookmarkStart w:id="165" w:name="_Toc152042319"/>
      <w:bookmarkStart w:id="166" w:name="_Toc31087"/>
      <w:bookmarkStart w:id="167" w:name="_Toc152045543"/>
      <w:bookmarkStart w:id="168" w:name="_Toc247513967"/>
      <w:bookmarkStart w:id="169" w:name="_Toc435930045"/>
      <w:bookmarkStart w:id="170" w:name="_Toc247527568"/>
      <w:bookmarkStart w:id="171" w:name="_Toc144974511"/>
      <w:bookmarkStart w:id="172" w:name="_Toc436316949"/>
      <w:bookmarkStart w:id="173" w:name="_Toc436315339"/>
      <w:r>
        <w:rPr>
          <w:rFonts w:hint="eastAsia" w:ascii="宋体" w:hAnsi="宋体" w:cs="宋体"/>
          <w:b/>
          <w:sz w:val="24"/>
        </w:rPr>
        <w:t>2.1 招标文件的组成</w:t>
      </w:r>
      <w:bookmarkEnd w:id="164"/>
      <w:bookmarkEnd w:id="165"/>
      <w:bookmarkEnd w:id="166"/>
      <w:bookmarkEnd w:id="167"/>
      <w:bookmarkEnd w:id="168"/>
      <w:bookmarkEnd w:id="169"/>
      <w:bookmarkEnd w:id="170"/>
      <w:bookmarkEnd w:id="171"/>
      <w:bookmarkEnd w:id="172"/>
      <w:bookmarkEnd w:id="173"/>
    </w:p>
    <w:p>
      <w:pPr>
        <w:spacing w:line="440" w:lineRule="exact"/>
        <w:rPr>
          <w:rFonts w:ascii="宋体" w:hAnsi="宋体" w:cs="宋体"/>
        </w:rPr>
      </w:pPr>
      <w:r>
        <w:rPr>
          <w:rFonts w:hint="eastAsia" w:ascii="宋体" w:hAnsi="宋体" w:cs="宋体"/>
        </w:rPr>
        <w:t>本招标文件包括：</w:t>
      </w:r>
    </w:p>
    <w:p>
      <w:pPr>
        <w:spacing w:line="440" w:lineRule="exact"/>
        <w:ind w:firstLine="420" w:firstLineChars="200"/>
        <w:rPr>
          <w:rFonts w:ascii="宋体" w:hAnsi="宋体" w:cs="宋体"/>
        </w:rPr>
      </w:pPr>
      <w:r>
        <w:rPr>
          <w:rFonts w:hint="eastAsia" w:ascii="宋体" w:hAnsi="宋体" w:cs="宋体"/>
        </w:rPr>
        <w:t>（1）招标公告；</w:t>
      </w:r>
    </w:p>
    <w:p>
      <w:pPr>
        <w:spacing w:line="440" w:lineRule="exact"/>
        <w:ind w:firstLine="420" w:firstLineChars="200"/>
        <w:rPr>
          <w:rFonts w:ascii="宋体" w:hAnsi="宋体" w:cs="宋体"/>
        </w:rPr>
      </w:pPr>
      <w:r>
        <w:rPr>
          <w:rFonts w:hint="eastAsia" w:ascii="宋体" w:hAnsi="宋体" w:cs="宋体"/>
        </w:rPr>
        <w:t>（2）投标人须知；</w:t>
      </w:r>
    </w:p>
    <w:p>
      <w:pPr>
        <w:spacing w:line="440" w:lineRule="exact"/>
        <w:ind w:firstLine="420" w:firstLineChars="200"/>
        <w:rPr>
          <w:rFonts w:ascii="宋体" w:hAnsi="宋体" w:cs="宋体"/>
        </w:rPr>
      </w:pPr>
      <w:r>
        <w:rPr>
          <w:rFonts w:hint="eastAsia" w:ascii="宋体" w:hAnsi="宋体" w:cs="宋体"/>
        </w:rPr>
        <w:t>（3）评标办法；</w:t>
      </w:r>
    </w:p>
    <w:p>
      <w:pPr>
        <w:spacing w:line="440" w:lineRule="exact"/>
        <w:ind w:firstLine="420" w:firstLineChars="20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（4）技术条件和技术规范；</w:t>
      </w:r>
    </w:p>
    <w:p>
      <w:pPr>
        <w:spacing w:line="440" w:lineRule="exact"/>
        <w:ind w:firstLine="420" w:firstLineChars="20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（5）合同条款及格式；</w:t>
      </w:r>
    </w:p>
    <w:p>
      <w:pPr>
        <w:spacing w:line="440" w:lineRule="exact"/>
        <w:ind w:firstLine="420" w:firstLineChars="20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（6）投标文件格式。</w:t>
      </w:r>
    </w:p>
    <w:p>
      <w:pPr>
        <w:spacing w:line="440" w:lineRule="exact"/>
        <w:ind w:firstLine="420" w:firstLineChars="200"/>
        <w:rPr>
          <w:rFonts w:ascii="宋体" w:hAnsi="宋体" w:cs="宋体"/>
        </w:rPr>
      </w:pPr>
      <w:r>
        <w:rPr>
          <w:rFonts w:hint="eastAsia" w:ascii="宋体" w:hAnsi="宋体" w:cs="宋体"/>
        </w:rPr>
        <w:t>根据本章第1.10 款、第2.2 款和第2.3 款对招标文件所作的澄清、修改，构成招标文件的组成部分。</w:t>
      </w:r>
    </w:p>
    <w:p>
      <w:pPr>
        <w:spacing w:line="440" w:lineRule="exact"/>
        <w:rPr>
          <w:rFonts w:ascii="宋体" w:hAnsi="宋体" w:cs="宋体"/>
          <w:b/>
          <w:sz w:val="24"/>
        </w:rPr>
      </w:pPr>
      <w:bookmarkStart w:id="174" w:name="_Toc435930046"/>
      <w:bookmarkStart w:id="175" w:name="_Toc247513968"/>
      <w:bookmarkStart w:id="176" w:name="_Toc21539"/>
      <w:bookmarkStart w:id="177" w:name="_Toc144974512"/>
      <w:bookmarkStart w:id="178" w:name="_Toc247527569"/>
      <w:bookmarkStart w:id="179" w:name="_Toc24890"/>
      <w:bookmarkStart w:id="180" w:name="_Toc152042320"/>
      <w:bookmarkStart w:id="181" w:name="_Toc436315340"/>
      <w:bookmarkStart w:id="182" w:name="_Toc436316950"/>
      <w:bookmarkStart w:id="183" w:name="_Toc152045544"/>
      <w:r>
        <w:rPr>
          <w:rFonts w:hint="eastAsia" w:ascii="宋体" w:hAnsi="宋体" w:cs="宋体"/>
          <w:b/>
          <w:sz w:val="24"/>
        </w:rPr>
        <w:t>2.2</w:t>
      </w:r>
      <w:bookmarkEnd w:id="174"/>
      <w:bookmarkEnd w:id="175"/>
      <w:bookmarkEnd w:id="176"/>
      <w:bookmarkEnd w:id="177"/>
      <w:bookmarkEnd w:id="178"/>
      <w:bookmarkEnd w:id="179"/>
      <w:bookmarkEnd w:id="180"/>
      <w:bookmarkEnd w:id="181"/>
      <w:bookmarkEnd w:id="182"/>
      <w:bookmarkEnd w:id="183"/>
      <w:r>
        <w:rPr>
          <w:rFonts w:hint="eastAsia" w:ascii="宋体" w:hAnsi="宋体" w:cs="宋体"/>
          <w:b/>
          <w:sz w:val="24"/>
        </w:rPr>
        <w:t xml:space="preserve"> 招标文件的澄清</w:t>
      </w:r>
    </w:p>
    <w:p>
      <w:pPr>
        <w:spacing w:line="440" w:lineRule="exact"/>
        <w:ind w:firstLine="420" w:firstLineChars="200"/>
        <w:rPr>
          <w:rFonts w:ascii="宋体" w:hAnsi="宋体" w:cs="宋体"/>
        </w:rPr>
      </w:pPr>
      <w:r>
        <w:rPr>
          <w:rFonts w:hint="eastAsia" w:ascii="宋体" w:hAnsi="宋体" w:cs="宋体"/>
        </w:rPr>
        <w:t>2.2.1投标人应仔细阅读和检查招标文件的全部内容。如发现缺页或附件不全，应及时向招标人提出，以便补齐。如有疑问，应在投标人须知前附表规定的时间前以书面形式（包括信函、电报、传真等可以有形地表现所载内容的形式，下同），要求招标人对招标文件予以澄清。否则由此引起的任何后果均由投标人自己承担，招标人与招标代理机构均不承担任何责任。</w:t>
      </w:r>
    </w:p>
    <w:p>
      <w:pPr>
        <w:spacing w:line="440" w:lineRule="exact"/>
        <w:ind w:firstLine="420" w:firstLineChars="200"/>
        <w:rPr>
          <w:rFonts w:ascii="宋体" w:hAnsi="宋体" w:cs="宋体"/>
        </w:rPr>
      </w:pPr>
      <w:r>
        <w:rPr>
          <w:rFonts w:hint="eastAsia" w:ascii="宋体" w:hAnsi="宋体" w:cs="宋体"/>
        </w:rPr>
        <w:t>2.2.2 招标文件的澄清将在投标人须知前附表规定的投标截止时间15天前以交易平台形式发布澄清公告，但不指明澄清问题的来源。如果澄清发出的时间距投标截止时间不足15天，相应延长投标截止时间。</w:t>
      </w:r>
    </w:p>
    <w:p>
      <w:pPr>
        <w:spacing w:line="440" w:lineRule="exact"/>
        <w:ind w:firstLine="420" w:firstLineChars="200"/>
        <w:rPr>
          <w:rFonts w:ascii="宋体" w:hAnsi="宋体" w:cs="宋体"/>
        </w:rPr>
      </w:pPr>
      <w:r>
        <w:rPr>
          <w:rFonts w:hint="eastAsia" w:ascii="宋体" w:hAnsi="宋体" w:cs="宋体"/>
        </w:rPr>
        <w:t>2.2.3 投标人在收到澄清后，应在投标人须知前附表规定的时间内以交易平台形式通知招标人，确认已收到该澄清。</w:t>
      </w:r>
    </w:p>
    <w:p>
      <w:pPr>
        <w:spacing w:line="360" w:lineRule="auto"/>
        <w:rPr>
          <w:rFonts w:ascii="宋体" w:hAnsi="宋体" w:cs="宋体"/>
          <w:b/>
          <w:sz w:val="24"/>
        </w:rPr>
      </w:pPr>
      <w:bookmarkStart w:id="184" w:name="_Toc152045545"/>
      <w:bookmarkStart w:id="185" w:name="_Toc247527570"/>
      <w:bookmarkStart w:id="186" w:name="_Toc144974513"/>
      <w:bookmarkStart w:id="187" w:name="_Toc247513969"/>
      <w:bookmarkStart w:id="188" w:name="_Toc18025"/>
      <w:bookmarkStart w:id="189" w:name="_Toc435930047"/>
      <w:bookmarkStart w:id="190" w:name="_Toc436316951"/>
      <w:bookmarkStart w:id="191" w:name="_Toc8210"/>
      <w:bookmarkStart w:id="192" w:name="_Toc436315341"/>
      <w:bookmarkStart w:id="193" w:name="_Toc152042321"/>
      <w:r>
        <w:rPr>
          <w:rFonts w:hint="eastAsia" w:ascii="宋体" w:hAnsi="宋体" w:cs="宋体"/>
          <w:b/>
          <w:sz w:val="24"/>
        </w:rPr>
        <w:t>2.3 招标文件的修改</w:t>
      </w:r>
      <w:bookmarkEnd w:id="184"/>
      <w:bookmarkEnd w:id="185"/>
      <w:bookmarkEnd w:id="186"/>
      <w:bookmarkEnd w:id="187"/>
      <w:bookmarkEnd w:id="188"/>
      <w:bookmarkEnd w:id="189"/>
      <w:bookmarkEnd w:id="190"/>
      <w:bookmarkEnd w:id="191"/>
      <w:bookmarkEnd w:id="192"/>
      <w:bookmarkEnd w:id="193"/>
    </w:p>
    <w:p>
      <w:pPr>
        <w:spacing w:line="440" w:lineRule="exact"/>
        <w:ind w:firstLine="420" w:firstLineChars="200"/>
        <w:rPr>
          <w:rFonts w:ascii="宋体" w:hAnsi="宋体" w:cs="宋体"/>
        </w:rPr>
      </w:pPr>
      <w:bookmarkStart w:id="194" w:name="_Toc7921"/>
      <w:bookmarkStart w:id="195" w:name="_Toc436315343"/>
      <w:bookmarkStart w:id="196" w:name="_Toc435930049"/>
      <w:bookmarkStart w:id="197" w:name="_Toc31130"/>
      <w:bookmarkStart w:id="198" w:name="_Toc247513971"/>
      <w:bookmarkStart w:id="199" w:name="_Toc144974515"/>
      <w:bookmarkStart w:id="200" w:name="_Toc247527572"/>
      <w:bookmarkStart w:id="201" w:name="_Toc436316953"/>
      <w:bookmarkStart w:id="202" w:name="_Toc152042323"/>
      <w:bookmarkStart w:id="203" w:name="_Toc152045547"/>
      <w:r>
        <w:rPr>
          <w:rFonts w:hint="eastAsia" w:ascii="宋体" w:hAnsi="宋体" w:cs="宋体"/>
        </w:rPr>
        <w:t xml:space="preserve">2.3.1 在投标截止时间15天前，招标人可以修改招标文件，如有修改，将在交易平台上发布变更公告。如果修改招标文件的时间距投标截止时间不足15天，相应延长投标截止时间。 </w:t>
      </w:r>
    </w:p>
    <w:p>
      <w:pPr>
        <w:spacing w:line="440" w:lineRule="exact"/>
        <w:ind w:firstLine="420" w:firstLineChars="200"/>
        <w:rPr>
          <w:rFonts w:ascii="宋体" w:hAnsi="宋体" w:cs="宋体"/>
        </w:rPr>
      </w:pPr>
      <w:r>
        <w:rPr>
          <w:rFonts w:hint="eastAsia" w:ascii="宋体" w:hAnsi="宋体" w:cs="宋体"/>
        </w:rPr>
        <w:t>2.3.2 投标人收到修改内容后，应在投标人须知前附表规定的时间内通知招标人，自招标文件修改在相关网站发布起，即默认为投标人收到。</w:t>
      </w:r>
    </w:p>
    <w:p>
      <w:pPr>
        <w:pStyle w:val="5"/>
        <w:keepNext w:val="0"/>
        <w:keepLines w:val="0"/>
        <w:spacing w:line="360" w:lineRule="auto"/>
        <w:rPr>
          <w:rFonts w:ascii="宋体" w:hAnsi="宋体" w:eastAsia="宋体" w:cs="宋体"/>
        </w:rPr>
      </w:pPr>
      <w:bookmarkStart w:id="204" w:name="_Toc24696"/>
      <w:bookmarkStart w:id="205" w:name="_Toc9026"/>
      <w:bookmarkStart w:id="206" w:name="_Toc763"/>
      <w:bookmarkStart w:id="207" w:name="_Toc14227"/>
      <w:bookmarkStart w:id="208" w:name="_Toc12823"/>
      <w:r>
        <w:rPr>
          <w:rFonts w:hint="eastAsia" w:ascii="宋体" w:hAnsi="宋体" w:eastAsia="宋体" w:cs="宋体"/>
        </w:rPr>
        <w:t>3. 投标文件</w:t>
      </w:r>
      <w:bookmarkEnd w:id="204"/>
      <w:bookmarkEnd w:id="205"/>
      <w:bookmarkEnd w:id="206"/>
      <w:bookmarkEnd w:id="207"/>
      <w:bookmarkEnd w:id="208"/>
    </w:p>
    <w:p>
      <w:pPr>
        <w:spacing w:line="360" w:lineRule="auto"/>
        <w:rPr>
          <w:rFonts w:ascii="宋体" w:hAnsi="宋体" w:cs="宋体"/>
          <w:b/>
          <w:sz w:val="24"/>
        </w:rPr>
      </w:pPr>
      <w:r>
        <w:rPr>
          <w:rFonts w:hint="eastAsia" w:ascii="宋体" w:hAnsi="宋体" w:cs="宋体"/>
          <w:b/>
          <w:sz w:val="24"/>
        </w:rPr>
        <w:t>3.1 投标文件的组成</w:t>
      </w:r>
      <w:bookmarkEnd w:id="194"/>
      <w:bookmarkEnd w:id="195"/>
      <w:bookmarkEnd w:id="196"/>
      <w:bookmarkEnd w:id="197"/>
      <w:bookmarkEnd w:id="198"/>
      <w:bookmarkEnd w:id="199"/>
      <w:bookmarkEnd w:id="200"/>
      <w:bookmarkEnd w:id="201"/>
      <w:bookmarkEnd w:id="202"/>
      <w:bookmarkEnd w:id="203"/>
    </w:p>
    <w:p>
      <w:pPr>
        <w:spacing w:line="360" w:lineRule="auto"/>
        <w:rPr>
          <w:rFonts w:ascii="宋体" w:hAnsi="宋体" w:cs="宋体"/>
        </w:rPr>
      </w:pPr>
      <w:r>
        <w:rPr>
          <w:rFonts w:hint="eastAsia" w:ascii="宋体" w:hAnsi="宋体" w:cs="宋体"/>
        </w:rPr>
        <w:t>　　3.1.1 投标文件应包括下列内容：</w:t>
      </w:r>
    </w:p>
    <w:p>
      <w:pPr>
        <w:spacing w:line="360" w:lineRule="auto"/>
        <w:ind w:firstLine="420" w:firstLineChars="200"/>
        <w:rPr>
          <w:rFonts w:ascii="宋体" w:hAnsi="宋体" w:cs="宋体"/>
        </w:rPr>
      </w:pPr>
      <w:bookmarkStart w:id="209" w:name="_Toc4853"/>
      <w:bookmarkStart w:id="210" w:name="_Toc247513972"/>
      <w:bookmarkStart w:id="211" w:name="_Toc436316954"/>
      <w:bookmarkStart w:id="212" w:name="_Toc152042324"/>
      <w:bookmarkStart w:id="213" w:name="_Toc152045548"/>
      <w:bookmarkStart w:id="214" w:name="_Toc144974516"/>
      <w:bookmarkStart w:id="215" w:name="_Toc435930050"/>
      <w:bookmarkStart w:id="216" w:name="_Toc247527573"/>
      <w:bookmarkStart w:id="217" w:name="_Toc436315344"/>
      <w:bookmarkStart w:id="218" w:name="_Toc16620"/>
      <w:r>
        <w:rPr>
          <w:rFonts w:hint="eastAsia" w:ascii="宋体" w:hAnsi="宋体" w:cs="宋体"/>
        </w:rPr>
        <w:t>（1）投标函及投标函附录</w:t>
      </w:r>
    </w:p>
    <w:p>
      <w:pPr>
        <w:spacing w:line="360" w:lineRule="auto"/>
        <w:ind w:firstLine="420" w:firstLineChars="200"/>
        <w:rPr>
          <w:rFonts w:ascii="宋体" w:hAnsi="宋体" w:cs="宋体"/>
        </w:rPr>
      </w:pPr>
      <w:r>
        <w:rPr>
          <w:rFonts w:hint="eastAsia" w:ascii="宋体" w:hAnsi="宋体" w:cs="宋体"/>
        </w:rPr>
        <w:t>（2）法定代表人身份证明</w:t>
      </w:r>
    </w:p>
    <w:p>
      <w:pPr>
        <w:spacing w:line="360" w:lineRule="auto"/>
        <w:ind w:firstLine="420" w:firstLineChars="200"/>
        <w:rPr>
          <w:rFonts w:ascii="宋体" w:hAnsi="宋体" w:cs="宋体"/>
        </w:rPr>
      </w:pPr>
      <w:r>
        <w:rPr>
          <w:rFonts w:hint="eastAsia" w:ascii="宋体" w:hAnsi="宋体" w:cs="宋体"/>
        </w:rPr>
        <w:t>（3）授权委托书</w:t>
      </w:r>
    </w:p>
    <w:p>
      <w:pPr>
        <w:spacing w:line="360" w:lineRule="auto"/>
        <w:ind w:firstLine="420" w:firstLineChars="200"/>
        <w:rPr>
          <w:rFonts w:ascii="宋体" w:hAnsi="宋体" w:cs="宋体"/>
        </w:rPr>
      </w:pPr>
      <w:r>
        <w:rPr>
          <w:rFonts w:hint="eastAsia" w:ascii="宋体" w:hAnsi="宋体" w:cs="宋体"/>
        </w:rPr>
        <w:t>（4）投标保证金</w:t>
      </w:r>
    </w:p>
    <w:p>
      <w:pPr>
        <w:spacing w:line="360" w:lineRule="auto"/>
        <w:ind w:firstLine="420" w:firstLineChars="200"/>
        <w:rPr>
          <w:rFonts w:ascii="宋体" w:hAnsi="宋体" w:cs="宋体"/>
        </w:rPr>
      </w:pPr>
      <w:r>
        <w:rPr>
          <w:rFonts w:hint="eastAsia" w:ascii="宋体" w:hAnsi="宋体" w:cs="宋体"/>
        </w:rPr>
        <w:t>（5）监理大纲</w:t>
      </w:r>
    </w:p>
    <w:p>
      <w:pPr>
        <w:spacing w:line="360" w:lineRule="auto"/>
        <w:ind w:firstLine="420" w:firstLineChars="200"/>
        <w:rPr>
          <w:rFonts w:ascii="宋体" w:hAnsi="宋体" w:cs="宋体"/>
        </w:rPr>
      </w:pPr>
      <w:r>
        <w:rPr>
          <w:rFonts w:hint="eastAsia" w:ascii="宋体" w:hAnsi="宋体" w:cs="宋体"/>
        </w:rPr>
        <w:t>（6）项目管理机构</w:t>
      </w:r>
    </w:p>
    <w:p>
      <w:pPr>
        <w:spacing w:line="360" w:lineRule="auto"/>
        <w:ind w:firstLine="420" w:firstLineChars="200"/>
        <w:rPr>
          <w:rFonts w:ascii="宋体" w:hAnsi="宋体" w:cs="宋体"/>
        </w:rPr>
      </w:pPr>
      <w:r>
        <w:rPr>
          <w:rFonts w:hint="eastAsia" w:ascii="宋体" w:hAnsi="宋体" w:cs="宋体"/>
        </w:rPr>
        <w:t>（7）资格审查资料</w:t>
      </w:r>
    </w:p>
    <w:p>
      <w:pPr>
        <w:spacing w:line="360" w:lineRule="auto"/>
        <w:ind w:firstLine="420" w:firstLineChars="200"/>
        <w:rPr>
          <w:rFonts w:ascii="宋体" w:hAnsi="宋体" w:cs="宋体"/>
        </w:rPr>
      </w:pPr>
      <w:r>
        <w:rPr>
          <w:rFonts w:hint="eastAsia" w:ascii="宋体" w:hAnsi="宋体" w:cs="宋体"/>
        </w:rPr>
        <w:t>（8）其他材料</w:t>
      </w:r>
    </w:p>
    <w:p>
      <w:pPr>
        <w:spacing w:line="360" w:lineRule="auto"/>
        <w:rPr>
          <w:rFonts w:ascii="宋体" w:hAnsi="宋体" w:cs="宋体"/>
          <w:b/>
          <w:sz w:val="24"/>
        </w:rPr>
      </w:pPr>
      <w:r>
        <w:rPr>
          <w:rFonts w:hint="eastAsia" w:ascii="宋体" w:hAnsi="宋体" w:cs="宋体"/>
          <w:b/>
          <w:sz w:val="24"/>
        </w:rPr>
        <w:t>3.2 投标报价</w:t>
      </w:r>
      <w:bookmarkEnd w:id="209"/>
      <w:bookmarkEnd w:id="210"/>
      <w:bookmarkEnd w:id="211"/>
      <w:bookmarkEnd w:id="212"/>
      <w:bookmarkEnd w:id="213"/>
      <w:bookmarkEnd w:id="214"/>
      <w:bookmarkEnd w:id="215"/>
      <w:bookmarkEnd w:id="216"/>
      <w:bookmarkEnd w:id="217"/>
      <w:bookmarkEnd w:id="218"/>
      <w:r>
        <w:rPr>
          <w:rFonts w:hint="eastAsia" w:ascii="宋体" w:hAnsi="宋体" w:cs="宋体"/>
          <w:b/>
          <w:sz w:val="24"/>
        </w:rPr>
        <w:t xml:space="preserve"> </w:t>
      </w:r>
    </w:p>
    <w:p>
      <w:pPr>
        <w:spacing w:line="360" w:lineRule="auto"/>
        <w:ind w:firstLine="420" w:firstLineChars="200"/>
        <w:rPr>
          <w:rFonts w:ascii="宋体" w:hAnsi="宋体" w:cs="宋体"/>
          <w:color w:val="000000" w:themeColor="text1"/>
          <w14:textFill>
            <w14:solidFill>
              <w14:schemeClr w14:val="tx1"/>
            </w14:solidFill>
          </w14:textFill>
        </w:rPr>
      </w:pPr>
      <w:r>
        <w:rPr>
          <w:rFonts w:hint="eastAsia" w:ascii="宋体" w:hAnsi="宋体" w:cs="宋体"/>
        </w:rPr>
        <w:t>3.2.1 投标人应按</w:t>
      </w:r>
      <w:r>
        <w:rPr>
          <w:rFonts w:hint="eastAsia" w:ascii="宋体" w:hAnsi="宋体" w:cs="宋体"/>
          <w:color w:val="000000" w:themeColor="text1"/>
          <w14:textFill>
            <w14:solidFill>
              <w14:schemeClr w14:val="tx1"/>
            </w14:solidFill>
          </w14:textFill>
        </w:rPr>
        <w:t>第六章“投标文件格式”的要求填写。</w:t>
      </w:r>
    </w:p>
    <w:p>
      <w:pPr>
        <w:spacing w:line="360" w:lineRule="auto"/>
        <w:ind w:firstLine="420" w:firstLineChars="200"/>
        <w:rPr>
          <w:rFonts w:ascii="宋体" w:hAnsi="宋体" w:cs="宋体"/>
        </w:rPr>
      </w:pPr>
      <w:r>
        <w:rPr>
          <w:rFonts w:hint="eastAsia" w:ascii="宋体" w:hAnsi="宋体" w:cs="宋体"/>
          <w:color w:val="000000" w:themeColor="text1"/>
          <w14:textFill>
            <w14:solidFill>
              <w14:schemeClr w14:val="tx1"/>
            </w14:solidFill>
          </w14:textFill>
        </w:rPr>
        <w:t>3.2.2投标报价应包括国家规定的增值税税金，除投标人须知前附表另有规定外，增值税税金按一般计税方法计算。投标人应按第六章“</w:t>
      </w:r>
      <w:r>
        <w:rPr>
          <w:rFonts w:hint="eastAsia" w:ascii="宋体" w:hAnsi="宋体" w:cs="宋体"/>
        </w:rPr>
        <w:t>投标文件格式”的要求在投标函中进行报价。</w:t>
      </w:r>
    </w:p>
    <w:p>
      <w:pPr>
        <w:spacing w:line="360" w:lineRule="auto"/>
        <w:ind w:firstLine="420" w:firstLineChars="200"/>
        <w:rPr>
          <w:rFonts w:ascii="宋体" w:hAnsi="宋体" w:cs="宋体"/>
        </w:rPr>
      </w:pPr>
      <w:r>
        <w:rPr>
          <w:rFonts w:hint="eastAsia" w:ascii="宋体" w:hAnsi="宋体" w:cs="宋体"/>
        </w:rPr>
        <w:t>3.2.3投标报价以人民币为计量币种报价，并以人民币币种签约、结算。</w:t>
      </w:r>
    </w:p>
    <w:p>
      <w:pPr>
        <w:spacing w:line="360" w:lineRule="auto"/>
        <w:ind w:firstLine="420" w:firstLineChars="200"/>
        <w:rPr>
          <w:rFonts w:ascii="宋体" w:hAnsi="宋体" w:cs="宋体"/>
        </w:rPr>
      </w:pPr>
      <w:r>
        <w:rPr>
          <w:rFonts w:hint="eastAsia" w:ascii="宋体" w:hAnsi="宋体" w:cs="宋体"/>
        </w:rPr>
        <w:t>3.2.4 投标人在投标截止时间前修改投标函中的投标报价总额，应同时修改投标文件“投标报价分析表”中的相应报价，投标报价总额为各分项金额之和。此修改须符合本章第4.3款的有关要求。</w:t>
      </w:r>
    </w:p>
    <w:p>
      <w:pPr>
        <w:spacing w:line="360" w:lineRule="auto"/>
        <w:ind w:firstLine="435"/>
        <w:rPr>
          <w:rFonts w:ascii="宋体" w:hAnsi="宋体" w:cs="宋体"/>
          <w:bCs/>
          <w:sz w:val="24"/>
        </w:rPr>
      </w:pPr>
      <w:r>
        <w:rPr>
          <w:rFonts w:hint="eastAsia" w:ascii="宋体" w:hAnsi="宋体" w:cs="宋体"/>
        </w:rPr>
        <w:t xml:space="preserve">3.2.5 </w:t>
      </w:r>
      <w:r>
        <w:rPr>
          <w:rFonts w:hint="eastAsia" w:ascii="宋体" w:hAnsi="宋体" w:cs="宋体"/>
          <w:bCs/>
        </w:rPr>
        <w:t>本项目设招标控制价，超过招标控制价的投标报价，招标人不予接受，按无效标处理。</w:t>
      </w:r>
    </w:p>
    <w:p>
      <w:pPr>
        <w:spacing w:line="360" w:lineRule="auto"/>
        <w:rPr>
          <w:rFonts w:ascii="宋体" w:hAnsi="宋体" w:cs="宋体"/>
          <w:b/>
          <w:sz w:val="24"/>
        </w:rPr>
      </w:pPr>
      <w:bookmarkStart w:id="219" w:name="_Toc152045549"/>
      <w:bookmarkStart w:id="220" w:name="_Toc152042325"/>
      <w:bookmarkStart w:id="221" w:name="_Toc435930051"/>
      <w:bookmarkStart w:id="222" w:name="_Toc28057"/>
      <w:bookmarkStart w:id="223" w:name="_Toc436315345"/>
      <w:bookmarkStart w:id="224" w:name="_Toc247513973"/>
      <w:bookmarkStart w:id="225" w:name="_Toc2197"/>
      <w:bookmarkStart w:id="226" w:name="_Toc436316955"/>
      <w:bookmarkStart w:id="227" w:name="_Toc247527574"/>
      <w:bookmarkStart w:id="228" w:name="_Toc144974517"/>
      <w:r>
        <w:rPr>
          <w:rFonts w:hint="eastAsia" w:ascii="宋体" w:hAnsi="宋体" w:cs="宋体"/>
          <w:b/>
          <w:sz w:val="24"/>
        </w:rPr>
        <w:t>3.3 投标有效期</w:t>
      </w:r>
      <w:bookmarkEnd w:id="219"/>
      <w:bookmarkEnd w:id="220"/>
      <w:bookmarkEnd w:id="221"/>
      <w:bookmarkEnd w:id="222"/>
      <w:bookmarkEnd w:id="223"/>
      <w:bookmarkEnd w:id="224"/>
      <w:bookmarkEnd w:id="225"/>
      <w:bookmarkEnd w:id="226"/>
      <w:bookmarkEnd w:id="227"/>
      <w:bookmarkEnd w:id="228"/>
    </w:p>
    <w:p>
      <w:pPr>
        <w:spacing w:line="360" w:lineRule="auto"/>
        <w:ind w:firstLine="420" w:firstLineChars="200"/>
        <w:rPr>
          <w:rFonts w:ascii="宋体" w:hAnsi="宋体" w:cs="宋体"/>
        </w:rPr>
      </w:pPr>
      <w:r>
        <w:rPr>
          <w:rFonts w:hint="eastAsia" w:ascii="宋体" w:hAnsi="宋体" w:cs="宋体"/>
        </w:rPr>
        <w:t>3.3.1 在投标人须知前附表规定的投标有效期内，投标人不得要求撤销或修改其投标文件。</w:t>
      </w:r>
    </w:p>
    <w:p>
      <w:pPr>
        <w:spacing w:line="360" w:lineRule="auto"/>
        <w:ind w:firstLine="420" w:firstLineChars="200"/>
        <w:rPr>
          <w:rFonts w:ascii="宋体" w:hAnsi="宋体" w:cs="宋体"/>
        </w:rPr>
      </w:pPr>
      <w:r>
        <w:rPr>
          <w:rFonts w:hint="eastAsia" w:ascii="宋体" w:hAnsi="宋体" w:cs="宋体"/>
        </w:rPr>
        <w:t xml:space="preserve">3.3.2出现特殊情况需要延长投标有效期的，招标人将通知所有投标人延长投标有效期。投标人同意延长的，应相应延长其投标保证金的有效期，但不得要求或被允许修改或撤销其投标文件；投标人拒绝延长的，其投标失效，但投标人有权收回其投标保证金。 </w:t>
      </w:r>
    </w:p>
    <w:p>
      <w:pPr>
        <w:spacing w:line="360" w:lineRule="auto"/>
        <w:rPr>
          <w:rFonts w:ascii="宋体" w:hAnsi="宋体" w:cs="宋体"/>
          <w:b/>
          <w:sz w:val="24"/>
        </w:rPr>
      </w:pPr>
      <w:bookmarkStart w:id="229" w:name="_Toc1549"/>
      <w:bookmarkStart w:id="230" w:name="_Toc152045550"/>
      <w:bookmarkStart w:id="231" w:name="_Toc144974518"/>
      <w:bookmarkStart w:id="232" w:name="_Toc152042326"/>
      <w:bookmarkStart w:id="233" w:name="_Toc12195"/>
      <w:bookmarkStart w:id="234" w:name="_Toc247527575"/>
      <w:bookmarkStart w:id="235" w:name="_Toc247513974"/>
      <w:bookmarkStart w:id="236" w:name="_Toc436315346"/>
      <w:bookmarkStart w:id="237" w:name="_Toc435930052"/>
      <w:bookmarkStart w:id="238" w:name="_Toc436316956"/>
      <w:r>
        <w:rPr>
          <w:rFonts w:hint="eastAsia" w:ascii="宋体" w:hAnsi="宋体" w:cs="宋体"/>
          <w:b/>
          <w:sz w:val="24"/>
        </w:rPr>
        <w:t>3.4 投标保证金</w:t>
      </w:r>
      <w:bookmarkEnd w:id="229"/>
      <w:bookmarkEnd w:id="230"/>
      <w:bookmarkEnd w:id="231"/>
      <w:bookmarkEnd w:id="232"/>
      <w:bookmarkEnd w:id="233"/>
      <w:bookmarkEnd w:id="234"/>
      <w:bookmarkEnd w:id="235"/>
      <w:bookmarkEnd w:id="236"/>
      <w:bookmarkEnd w:id="237"/>
      <w:bookmarkEnd w:id="238"/>
    </w:p>
    <w:p>
      <w:pPr>
        <w:spacing w:line="360" w:lineRule="auto"/>
        <w:ind w:firstLine="420" w:firstLineChars="200"/>
        <w:rPr>
          <w:rFonts w:ascii="宋体" w:hAnsi="宋体" w:cs="宋体"/>
        </w:rPr>
      </w:pPr>
      <w:r>
        <w:rPr>
          <w:rFonts w:hint="eastAsia" w:ascii="宋体" w:hAnsi="宋体" w:cs="宋体"/>
        </w:rPr>
        <w:t>3.4.1 投标人在递交投标文件的同时，应按投标人须知前附表规定的金额、担保形</w:t>
      </w:r>
      <w:r>
        <w:rPr>
          <w:rFonts w:hint="eastAsia" w:ascii="宋体" w:hAnsi="宋体" w:cs="宋体"/>
          <w:color w:val="000000" w:themeColor="text1"/>
          <w14:textFill>
            <w14:solidFill>
              <w14:schemeClr w14:val="tx1"/>
            </w14:solidFill>
          </w14:textFill>
        </w:rPr>
        <w:t>式和第六章</w:t>
      </w:r>
      <w:r>
        <w:rPr>
          <w:rFonts w:hint="eastAsia" w:ascii="宋体" w:hAnsi="宋体" w:cs="宋体"/>
        </w:rPr>
        <w:t>“投标文件格式”规定的投标保证金格式递交投标保证金，并作为其投标文件的组成部分。联合体投标的，其投标保证金由牵头人递交，并应符合投标人须知前附表的规定。</w:t>
      </w:r>
    </w:p>
    <w:p>
      <w:pPr>
        <w:spacing w:line="360" w:lineRule="auto"/>
        <w:ind w:firstLine="420" w:firstLineChars="200"/>
        <w:rPr>
          <w:rFonts w:ascii="宋体" w:hAnsi="宋体" w:cs="宋体"/>
        </w:rPr>
      </w:pPr>
      <w:r>
        <w:rPr>
          <w:rFonts w:hint="eastAsia" w:ascii="宋体" w:hAnsi="宋体" w:cs="宋体"/>
        </w:rPr>
        <w:t>3.4.2 投标人不按本章第3.4.1项要求提交投标保证金的，评标委员会将否决其投标。</w:t>
      </w:r>
    </w:p>
    <w:p>
      <w:pPr>
        <w:spacing w:line="360" w:lineRule="auto"/>
        <w:ind w:firstLine="420" w:firstLineChars="200"/>
        <w:rPr>
          <w:rFonts w:ascii="宋体" w:hAnsi="宋体" w:cs="宋体"/>
        </w:rPr>
      </w:pPr>
      <w:r>
        <w:rPr>
          <w:rFonts w:hint="eastAsia" w:ascii="宋体" w:hAnsi="宋体" w:cs="宋体"/>
        </w:rPr>
        <w:t>3.4.3 招标人与中标人签订合同后5个工作日内，向未中标的投标人和中标人退还投标保证金。</w:t>
      </w:r>
    </w:p>
    <w:p>
      <w:pPr>
        <w:spacing w:line="360" w:lineRule="auto"/>
        <w:ind w:firstLine="420" w:firstLineChars="200"/>
        <w:rPr>
          <w:rFonts w:ascii="宋体" w:hAnsi="宋体" w:cs="宋体"/>
        </w:rPr>
      </w:pPr>
      <w:r>
        <w:rPr>
          <w:rFonts w:hint="eastAsia" w:ascii="宋体" w:hAnsi="宋体" w:cs="宋体"/>
        </w:rPr>
        <w:t xml:space="preserve">3.4.4 有下列情形之一的，投标保证金将不予退还： </w:t>
      </w:r>
    </w:p>
    <w:p>
      <w:pPr>
        <w:spacing w:line="360" w:lineRule="auto"/>
        <w:ind w:firstLine="315" w:firstLineChars="150"/>
        <w:rPr>
          <w:rFonts w:ascii="宋体" w:hAnsi="宋体" w:cs="宋体"/>
        </w:rPr>
      </w:pPr>
      <w:r>
        <w:rPr>
          <w:rFonts w:hint="eastAsia" w:ascii="宋体" w:hAnsi="宋体" w:cs="宋体"/>
        </w:rPr>
        <w:t>（1）投标人在规定的投标有效期内撤销或修改其投标文件；</w:t>
      </w:r>
    </w:p>
    <w:p>
      <w:pPr>
        <w:spacing w:line="360" w:lineRule="auto"/>
        <w:ind w:firstLine="315" w:firstLineChars="150"/>
        <w:rPr>
          <w:rFonts w:ascii="宋体" w:hAnsi="宋体" w:cs="宋体"/>
        </w:rPr>
      </w:pPr>
      <w:r>
        <w:rPr>
          <w:rFonts w:hint="eastAsia" w:ascii="宋体" w:hAnsi="宋体" w:cs="宋体"/>
        </w:rPr>
        <w:t>（2）中标人在收到中标通知书后，无正当理由拒签合同或未按招标文件规定提交履约担保。</w:t>
      </w:r>
    </w:p>
    <w:p>
      <w:pPr>
        <w:spacing w:line="360" w:lineRule="auto"/>
        <w:ind w:firstLine="315" w:firstLineChars="150"/>
        <w:rPr>
          <w:rFonts w:ascii="宋体" w:hAnsi="宋体" w:cs="宋体"/>
        </w:rPr>
      </w:pPr>
      <w:r>
        <w:rPr>
          <w:rFonts w:hint="eastAsia" w:ascii="宋体" w:hAnsi="宋体" w:cs="宋体"/>
        </w:rPr>
        <w:t>（3）投标人在投标活动中提供虚假材料、弄虚作假、围标串标、挂靠借用资质等骗取中标并经招标投标监督机构调查核实的。</w:t>
      </w:r>
    </w:p>
    <w:p>
      <w:pPr>
        <w:spacing w:line="360" w:lineRule="auto"/>
        <w:rPr>
          <w:rFonts w:ascii="宋体" w:hAnsi="宋体" w:cs="宋体"/>
          <w:b/>
          <w:sz w:val="24"/>
        </w:rPr>
      </w:pPr>
      <w:bookmarkStart w:id="239" w:name="_Toc247513976"/>
      <w:bookmarkStart w:id="240" w:name="_Toc152042328"/>
      <w:bookmarkStart w:id="241" w:name="_Toc152045552"/>
      <w:bookmarkStart w:id="242" w:name="_Toc20862"/>
      <w:bookmarkStart w:id="243" w:name="_Toc18504"/>
      <w:bookmarkStart w:id="244" w:name="_Toc436315347"/>
      <w:bookmarkStart w:id="245" w:name="_Toc435930053"/>
      <w:bookmarkStart w:id="246" w:name="_Toc144974520"/>
      <w:bookmarkStart w:id="247" w:name="_Toc247527577"/>
      <w:bookmarkStart w:id="248" w:name="_Toc436316957"/>
      <w:r>
        <w:rPr>
          <w:rFonts w:hint="eastAsia" w:ascii="宋体" w:hAnsi="宋体" w:cs="宋体"/>
          <w:b/>
          <w:sz w:val="24"/>
        </w:rPr>
        <w:t>3.5 资格审查资料</w:t>
      </w:r>
      <w:bookmarkEnd w:id="239"/>
      <w:bookmarkEnd w:id="240"/>
      <w:bookmarkEnd w:id="241"/>
      <w:bookmarkEnd w:id="242"/>
      <w:bookmarkEnd w:id="243"/>
      <w:bookmarkEnd w:id="244"/>
      <w:bookmarkEnd w:id="245"/>
      <w:bookmarkEnd w:id="246"/>
      <w:bookmarkEnd w:id="247"/>
      <w:bookmarkEnd w:id="248"/>
    </w:p>
    <w:p>
      <w:pPr>
        <w:spacing w:line="360" w:lineRule="auto"/>
        <w:ind w:firstLine="420" w:firstLineChars="200"/>
        <w:rPr>
          <w:rFonts w:ascii="宋体" w:hAnsi="宋体" w:cs="宋体"/>
        </w:rPr>
      </w:pPr>
      <w:r>
        <w:rPr>
          <w:rFonts w:hint="eastAsia" w:ascii="宋体" w:hAnsi="宋体" w:cs="宋体"/>
        </w:rPr>
        <w:t>本工程投标单位资格审查为专家后审，专家审查时以投标文件中的扫描件为准。</w:t>
      </w:r>
    </w:p>
    <w:p>
      <w:pPr>
        <w:spacing w:line="360" w:lineRule="auto"/>
        <w:ind w:firstLine="420" w:firstLineChars="200"/>
        <w:rPr>
          <w:rFonts w:ascii="宋体" w:hAnsi="宋体" w:cs="宋体"/>
        </w:rPr>
      </w:pPr>
      <w:r>
        <w:rPr>
          <w:rFonts w:hint="eastAsia" w:ascii="宋体" w:hAnsi="宋体" w:cs="宋体"/>
        </w:rPr>
        <w:t>3.5.1 “投标人基本情况表”应附投标人营业执照、资质证书副本等材料的扫描件。</w:t>
      </w:r>
    </w:p>
    <w:p>
      <w:pPr>
        <w:spacing w:line="360" w:lineRule="auto"/>
        <w:ind w:firstLine="420" w:firstLineChars="200"/>
        <w:rPr>
          <w:rFonts w:ascii="宋体" w:hAnsi="宋体" w:cs="宋体"/>
        </w:rPr>
      </w:pPr>
      <w:r>
        <w:rPr>
          <w:rFonts w:hint="eastAsia" w:ascii="宋体" w:hAnsi="宋体" w:cs="宋体"/>
        </w:rPr>
        <w:t>3.5.2 “近年财务状况表”应附经会计师事务所或审计机构审计的财务会计报表，包括资产负债表、现金流量表、利润表和财务情况说明书的</w:t>
      </w:r>
      <w:r>
        <w:rPr>
          <w:rFonts w:hint="eastAsia" w:ascii="宋体" w:hAnsi="宋体" w:cs="宋体"/>
          <w:lang w:eastAsia="zh-CN"/>
        </w:rPr>
        <w:t>扫描件</w:t>
      </w:r>
      <w:r>
        <w:rPr>
          <w:rFonts w:hint="eastAsia" w:ascii="宋体" w:hAnsi="宋体" w:cs="宋体"/>
        </w:rPr>
        <w:t>，具体年份要求见投标人须知前附表。</w:t>
      </w:r>
    </w:p>
    <w:p>
      <w:pPr>
        <w:spacing w:line="360" w:lineRule="auto"/>
        <w:ind w:firstLine="420" w:firstLineChars="200"/>
        <w:rPr>
          <w:rFonts w:ascii="宋体" w:hAnsi="宋体" w:cs="宋体"/>
          <w:color w:val="000000" w:themeColor="text1"/>
          <w14:textFill>
            <w14:solidFill>
              <w14:schemeClr w14:val="tx1"/>
            </w14:solidFill>
          </w14:textFill>
        </w:rPr>
      </w:pPr>
      <w:r>
        <w:rPr>
          <w:rFonts w:hint="eastAsia" w:ascii="宋体" w:hAnsi="宋体" w:cs="宋体"/>
        </w:rPr>
        <w:t>3.5.3 “近年完成的类似项目情况表”应</w:t>
      </w:r>
      <w:r>
        <w:rPr>
          <w:rFonts w:hint="eastAsia" w:ascii="宋体" w:hAnsi="宋体" w:cs="宋体"/>
          <w:color w:val="000000" w:themeColor="text1"/>
          <w14:textFill>
            <w14:solidFill>
              <w14:schemeClr w14:val="tx1"/>
            </w14:solidFill>
          </w14:textFill>
        </w:rPr>
        <w:t>附</w:t>
      </w:r>
      <w:r>
        <w:rPr>
          <w:rFonts w:ascii="宋体" w:hAnsi="宋体" w:cs="宋体"/>
          <w:color w:val="000000" w:themeColor="text1"/>
          <w:shd w:val="clear" w:color="auto" w:fill="FFFFFF"/>
          <w14:textFill>
            <w14:solidFill>
              <w14:schemeClr w14:val="tx1"/>
            </w14:solidFill>
          </w14:textFill>
        </w:rPr>
        <w:t>中标通知书、</w:t>
      </w:r>
      <w:r>
        <w:rPr>
          <w:rFonts w:hint="eastAsia" w:ascii="宋体" w:hAnsi="宋体" w:cs="宋体"/>
          <w:color w:val="000000" w:themeColor="text1"/>
          <w:shd w:val="clear" w:color="auto" w:fill="FFFFFF"/>
          <w14:textFill>
            <w14:solidFill>
              <w14:schemeClr w14:val="tx1"/>
            </w14:solidFill>
          </w14:textFill>
        </w:rPr>
        <w:t>合同协议书</w:t>
      </w:r>
      <w:r>
        <w:rPr>
          <w:rFonts w:hint="eastAsia" w:ascii="宋体" w:hAnsi="宋体"/>
          <w:color w:val="000000" w:themeColor="text1"/>
          <w14:textFill>
            <w14:solidFill>
              <w14:schemeClr w14:val="tx1"/>
            </w14:solidFill>
          </w14:textFill>
        </w:rPr>
        <w:t>的扫描件</w:t>
      </w:r>
      <w:r>
        <w:rPr>
          <w:rFonts w:hint="eastAsia" w:ascii="宋体" w:hAnsi="宋体" w:cs="宋体"/>
          <w:color w:val="000000" w:themeColor="text1"/>
          <w14:textFill>
            <w14:solidFill>
              <w14:schemeClr w14:val="tx1"/>
            </w14:solidFill>
          </w14:textFill>
        </w:rPr>
        <w:t>，具体年份要求见投标人须知前附表。</w:t>
      </w:r>
    </w:p>
    <w:p>
      <w:pPr>
        <w:spacing w:line="360" w:lineRule="auto"/>
        <w:ind w:firstLine="420" w:firstLineChars="20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3.5.4“正在监理和新承接的项目情况表”应附</w:t>
      </w:r>
      <w:r>
        <w:rPr>
          <w:rFonts w:hint="eastAsia" w:ascii="宋体" w:hAnsi="宋体"/>
          <w:color w:val="000000" w:themeColor="text1"/>
          <w14:textFill>
            <w14:solidFill>
              <w14:schemeClr w14:val="tx1"/>
            </w14:solidFill>
          </w14:textFill>
        </w:rPr>
        <w:t>合同协议书</w:t>
      </w:r>
      <w:r>
        <w:rPr>
          <w:rFonts w:hint="eastAsia" w:ascii="宋体" w:hAnsi="宋体" w:cs="宋体"/>
          <w:color w:val="000000" w:themeColor="text1"/>
          <w14:textFill>
            <w14:solidFill>
              <w14:schemeClr w14:val="tx1"/>
            </w14:solidFill>
          </w14:textFill>
        </w:rPr>
        <w:t>。每张表格只填写一个项目，并标明序号。</w:t>
      </w:r>
    </w:p>
    <w:p>
      <w:pPr>
        <w:spacing w:line="440" w:lineRule="exact"/>
        <w:rPr>
          <w:rFonts w:ascii="宋体" w:hAnsi="宋体" w:cs="宋体"/>
        </w:rPr>
      </w:pPr>
      <w:r>
        <w:rPr>
          <w:rFonts w:hint="eastAsia" w:ascii="宋体" w:hAnsi="宋体" w:cs="宋体"/>
        </w:rPr>
        <w:t xml:space="preserve">    3.5.5“近年发生的诉讼及仲裁情况” 以单位提供的证明为准，具体年份要求见投标人须知前附表。</w:t>
      </w:r>
    </w:p>
    <w:p>
      <w:pPr>
        <w:spacing w:line="360" w:lineRule="auto"/>
        <w:ind w:firstLine="420" w:firstLineChars="200"/>
        <w:rPr>
          <w:rFonts w:ascii="宋体" w:hAnsi="宋体" w:cs="宋体"/>
        </w:rPr>
      </w:pPr>
      <w:r>
        <w:rPr>
          <w:rFonts w:hint="eastAsia" w:ascii="宋体" w:hAnsi="宋体" w:cs="宋体"/>
        </w:rPr>
        <w:t>3.5.6投标人须知前附表规定接受联合体投标的，本章第3.5.1项至第3.5.5项规定的表格和资料应包括联合体各方相关情况。</w:t>
      </w:r>
    </w:p>
    <w:p>
      <w:pPr>
        <w:spacing w:line="360" w:lineRule="auto"/>
        <w:rPr>
          <w:rFonts w:ascii="宋体" w:hAnsi="宋体" w:cs="宋体"/>
          <w:b/>
          <w:sz w:val="24"/>
        </w:rPr>
      </w:pPr>
      <w:bookmarkStart w:id="249" w:name="_Toc152042329"/>
      <w:bookmarkStart w:id="250" w:name="_Toc247513977"/>
      <w:bookmarkStart w:id="251" w:name="_Toc144974521"/>
      <w:bookmarkStart w:id="252" w:name="_Toc152045553"/>
      <w:bookmarkStart w:id="253" w:name="_Toc247527578"/>
      <w:bookmarkStart w:id="254" w:name="_Toc13170"/>
      <w:bookmarkStart w:id="255" w:name="_Toc436316958"/>
      <w:bookmarkStart w:id="256" w:name="_Toc435930054"/>
      <w:bookmarkStart w:id="257" w:name="_Toc436315348"/>
      <w:bookmarkStart w:id="258" w:name="_Toc4254"/>
      <w:r>
        <w:rPr>
          <w:rFonts w:hint="eastAsia" w:ascii="宋体" w:hAnsi="宋体" w:cs="宋体"/>
          <w:b/>
          <w:sz w:val="24"/>
        </w:rPr>
        <w:t>3.6 备选投标方案</w:t>
      </w:r>
      <w:bookmarkEnd w:id="249"/>
      <w:bookmarkEnd w:id="250"/>
      <w:bookmarkEnd w:id="251"/>
      <w:bookmarkEnd w:id="252"/>
      <w:bookmarkEnd w:id="253"/>
      <w:r>
        <w:rPr>
          <w:rFonts w:hint="eastAsia" w:ascii="宋体" w:hAnsi="宋体" w:cs="宋体"/>
          <w:b/>
          <w:sz w:val="24"/>
        </w:rPr>
        <w:t>（不适用于本项目）</w:t>
      </w:r>
      <w:bookmarkEnd w:id="254"/>
      <w:bookmarkEnd w:id="255"/>
      <w:bookmarkEnd w:id="256"/>
      <w:bookmarkEnd w:id="257"/>
      <w:bookmarkEnd w:id="258"/>
    </w:p>
    <w:p>
      <w:pPr>
        <w:spacing w:line="360" w:lineRule="auto"/>
        <w:ind w:firstLine="420" w:firstLineChars="200"/>
        <w:rPr>
          <w:rFonts w:ascii="宋体" w:hAnsi="宋体" w:cs="宋体"/>
        </w:rPr>
      </w:pPr>
      <w:r>
        <w:rPr>
          <w:rFonts w:hint="eastAsia" w:ascii="宋体" w:hAnsi="宋体" w:cs="宋体"/>
        </w:rPr>
        <w:t>除投标人须知前附表另有规定外，投标人不得递交备选投标方案。允许投标人递交备选投标方案的，只有中标人所递交的备选投标方案方可予以考虑。评标委员会认为中标人的备选投标方案优于其按照招标文件要求编制的投标方案的，招标人可以接受该备选投标方案。</w:t>
      </w:r>
    </w:p>
    <w:p>
      <w:pPr>
        <w:spacing w:line="360" w:lineRule="auto"/>
        <w:rPr>
          <w:rFonts w:ascii="宋体" w:hAnsi="宋体" w:cs="宋体"/>
          <w:b/>
          <w:sz w:val="24"/>
        </w:rPr>
      </w:pPr>
      <w:bookmarkStart w:id="259" w:name="_Toc247513978"/>
      <w:bookmarkStart w:id="260" w:name="_Toc436315349"/>
      <w:bookmarkStart w:id="261" w:name="_Toc152045554"/>
      <w:bookmarkStart w:id="262" w:name="_Toc30904"/>
      <w:bookmarkStart w:id="263" w:name="_Toc152042330"/>
      <w:bookmarkStart w:id="264" w:name="_Toc3512"/>
      <w:bookmarkStart w:id="265" w:name="_Toc247527579"/>
      <w:bookmarkStart w:id="266" w:name="_Toc435930055"/>
      <w:bookmarkStart w:id="267" w:name="_Toc144974522"/>
      <w:bookmarkStart w:id="268" w:name="_Toc436316959"/>
      <w:r>
        <w:rPr>
          <w:rFonts w:hint="eastAsia" w:ascii="宋体" w:hAnsi="宋体" w:cs="宋体"/>
          <w:b/>
          <w:sz w:val="24"/>
        </w:rPr>
        <w:t>3.7 投标文件的编制</w:t>
      </w:r>
      <w:bookmarkEnd w:id="259"/>
      <w:bookmarkEnd w:id="260"/>
      <w:bookmarkEnd w:id="261"/>
      <w:bookmarkEnd w:id="262"/>
      <w:bookmarkEnd w:id="263"/>
      <w:bookmarkEnd w:id="264"/>
      <w:bookmarkEnd w:id="265"/>
      <w:bookmarkEnd w:id="266"/>
      <w:bookmarkEnd w:id="267"/>
      <w:bookmarkEnd w:id="268"/>
    </w:p>
    <w:p>
      <w:pPr>
        <w:spacing w:line="360" w:lineRule="auto"/>
        <w:ind w:firstLine="420" w:firstLineChars="200"/>
        <w:rPr>
          <w:rFonts w:ascii="宋体" w:hAnsi="宋体" w:cs="宋体"/>
        </w:rPr>
      </w:pPr>
      <w:bookmarkStart w:id="269" w:name="_Toc152042331"/>
      <w:bookmarkStart w:id="270" w:name="_Toc144974523"/>
      <w:bookmarkStart w:id="271" w:name="_Toc247513979"/>
      <w:bookmarkStart w:id="272" w:name="_Toc152045555"/>
      <w:bookmarkStart w:id="273" w:name="_Toc247527580"/>
      <w:r>
        <w:rPr>
          <w:rFonts w:hint="eastAsia" w:ascii="宋体" w:hAnsi="宋体" w:cs="宋体"/>
        </w:rPr>
        <w:t>3.7.1 投标文件应按第六章“投标文件格式”使用焦作市公共资源交易系统投标文件制作专用工具软件编制。其中，投标函附录在满足招标文件实质性要求的基础上，可以提出比招标文件要求更有利于招标人的承诺。</w:t>
      </w:r>
    </w:p>
    <w:p>
      <w:pPr>
        <w:spacing w:line="360" w:lineRule="auto"/>
        <w:ind w:firstLine="420" w:firstLineChars="200"/>
        <w:rPr>
          <w:rFonts w:ascii="宋体" w:hAnsi="宋体" w:cs="宋体"/>
        </w:rPr>
      </w:pPr>
      <w:r>
        <w:rPr>
          <w:rFonts w:hint="eastAsia" w:ascii="宋体" w:hAnsi="宋体" w:cs="宋体"/>
        </w:rPr>
        <w:t>3.7.2 投标文件应当对招标文件有关监理工作范围、投标有效期、工期控制目标、质量控制目标、安全控制目标等实质性内容作出响应。</w:t>
      </w:r>
    </w:p>
    <w:p>
      <w:pPr>
        <w:spacing w:line="360" w:lineRule="auto"/>
        <w:ind w:firstLine="420" w:firstLineChars="200"/>
        <w:rPr>
          <w:rFonts w:ascii="宋体" w:hAnsi="宋体" w:cs="宋体"/>
        </w:rPr>
      </w:pPr>
      <w:r>
        <w:rPr>
          <w:rFonts w:hint="eastAsia" w:ascii="宋体" w:hAnsi="宋体" w:cs="宋体"/>
        </w:rPr>
        <w:t>3.7.3 以电子投标文件上传件为准，签字或盖章的具体要求见投标人须知前附表。</w:t>
      </w:r>
    </w:p>
    <w:p>
      <w:pPr>
        <w:spacing w:line="360" w:lineRule="auto"/>
        <w:ind w:firstLine="420" w:firstLineChars="200"/>
        <w:rPr>
          <w:rFonts w:ascii="宋体" w:hAnsi="宋体" w:cs="宋体"/>
        </w:rPr>
      </w:pPr>
      <w:r>
        <w:rPr>
          <w:rFonts w:hint="eastAsia" w:ascii="宋体" w:hAnsi="宋体" w:cs="宋体"/>
        </w:rPr>
        <w:t>3.7.4 加密的电子投标文件壹份（*.jztf 格式在会员系统指定位置上传）；自备非加密的电子投标文件壹份，如有紧急情况，在不见面开标按要求上传。</w:t>
      </w:r>
    </w:p>
    <w:p>
      <w:pPr>
        <w:pStyle w:val="5"/>
        <w:keepNext w:val="0"/>
        <w:keepLines w:val="0"/>
        <w:spacing w:line="360" w:lineRule="auto"/>
        <w:rPr>
          <w:rFonts w:ascii="宋体" w:hAnsi="宋体" w:eastAsia="宋体" w:cs="宋体"/>
        </w:rPr>
      </w:pPr>
      <w:bookmarkStart w:id="274" w:name="_Toc11080"/>
      <w:bookmarkStart w:id="275" w:name="_Toc737"/>
      <w:bookmarkStart w:id="276" w:name="_Toc19114"/>
      <w:bookmarkStart w:id="277" w:name="_Toc10628"/>
      <w:bookmarkStart w:id="278" w:name="_Toc15934"/>
      <w:r>
        <w:rPr>
          <w:rFonts w:hint="eastAsia" w:ascii="宋体" w:hAnsi="宋体" w:eastAsia="宋体" w:cs="宋体"/>
        </w:rPr>
        <w:t>4. 投标</w:t>
      </w:r>
      <w:bookmarkEnd w:id="269"/>
      <w:bookmarkEnd w:id="270"/>
      <w:bookmarkEnd w:id="271"/>
      <w:bookmarkEnd w:id="272"/>
      <w:bookmarkEnd w:id="273"/>
      <w:bookmarkEnd w:id="274"/>
      <w:bookmarkEnd w:id="275"/>
      <w:bookmarkEnd w:id="276"/>
      <w:bookmarkEnd w:id="277"/>
      <w:bookmarkEnd w:id="278"/>
    </w:p>
    <w:p>
      <w:pPr>
        <w:spacing w:line="360" w:lineRule="auto"/>
        <w:rPr>
          <w:rFonts w:ascii="宋体" w:hAnsi="宋体" w:cs="宋体"/>
          <w:b/>
          <w:sz w:val="24"/>
        </w:rPr>
      </w:pPr>
      <w:bookmarkStart w:id="279" w:name="_Toc247513980"/>
      <w:bookmarkStart w:id="280" w:name="_Toc435930057"/>
      <w:bookmarkStart w:id="281" w:name="_Toc144974524"/>
      <w:bookmarkStart w:id="282" w:name="_Toc18393"/>
      <w:bookmarkStart w:id="283" w:name="_Toc152045556"/>
      <w:bookmarkStart w:id="284" w:name="_Toc5221"/>
      <w:bookmarkStart w:id="285" w:name="_Toc152042332"/>
      <w:bookmarkStart w:id="286" w:name="_Toc436316961"/>
      <w:bookmarkStart w:id="287" w:name="_Toc436315351"/>
      <w:bookmarkStart w:id="288" w:name="_Toc247527581"/>
      <w:r>
        <w:rPr>
          <w:rFonts w:hint="eastAsia" w:ascii="宋体" w:hAnsi="宋体" w:cs="宋体"/>
          <w:b/>
          <w:sz w:val="24"/>
        </w:rPr>
        <w:t>4.1 投标文件的密封和标记</w:t>
      </w:r>
      <w:bookmarkEnd w:id="279"/>
      <w:bookmarkEnd w:id="280"/>
      <w:bookmarkEnd w:id="281"/>
      <w:bookmarkEnd w:id="282"/>
      <w:bookmarkEnd w:id="283"/>
      <w:bookmarkEnd w:id="284"/>
      <w:bookmarkEnd w:id="285"/>
      <w:bookmarkEnd w:id="286"/>
      <w:bookmarkEnd w:id="287"/>
      <w:bookmarkEnd w:id="288"/>
    </w:p>
    <w:p>
      <w:pPr>
        <w:spacing w:line="360" w:lineRule="auto"/>
        <w:ind w:firstLine="420" w:firstLineChars="200"/>
        <w:rPr>
          <w:rFonts w:ascii="宋体" w:hAnsi="宋体" w:cs="宋体"/>
        </w:rPr>
      </w:pPr>
      <w:bookmarkStart w:id="289" w:name="4.1.1_网上上传的电子投标文件应使用数字证书认证并加密。"/>
      <w:bookmarkEnd w:id="289"/>
      <w:bookmarkStart w:id="290" w:name="_Toc8142"/>
      <w:bookmarkStart w:id="291" w:name="_Toc602"/>
      <w:bookmarkStart w:id="292" w:name="_Toc152045557"/>
      <w:bookmarkStart w:id="293" w:name="_Toc436315352"/>
      <w:bookmarkStart w:id="294" w:name="_Toc152042333"/>
      <w:bookmarkStart w:id="295" w:name="_Toc247513981"/>
      <w:bookmarkStart w:id="296" w:name="_Toc435930058"/>
      <w:bookmarkStart w:id="297" w:name="_Toc436316962"/>
      <w:bookmarkStart w:id="298" w:name="_Toc144974525"/>
      <w:bookmarkStart w:id="299" w:name="_Toc247527582"/>
      <w:r>
        <w:rPr>
          <w:rFonts w:hint="eastAsia" w:ascii="宋体" w:hAnsi="宋体" w:cs="宋体"/>
        </w:rPr>
        <w:t>4.1.1网上上传的电子投标文件应使用数字证书认证并加密。</w:t>
      </w:r>
    </w:p>
    <w:p>
      <w:pPr>
        <w:spacing w:line="360" w:lineRule="auto"/>
        <w:rPr>
          <w:rFonts w:ascii="宋体" w:hAnsi="宋体" w:cs="宋体"/>
          <w:b/>
          <w:sz w:val="24"/>
        </w:rPr>
      </w:pPr>
      <w:r>
        <w:rPr>
          <w:rFonts w:hint="eastAsia" w:ascii="宋体" w:hAnsi="宋体" w:cs="宋体"/>
          <w:b/>
          <w:sz w:val="24"/>
        </w:rPr>
        <w:t>4.2投标文件的递交</w:t>
      </w:r>
    </w:p>
    <w:p>
      <w:pPr>
        <w:spacing w:line="360" w:lineRule="auto"/>
        <w:ind w:firstLine="420" w:firstLineChars="200"/>
        <w:rPr>
          <w:rFonts w:ascii="宋体" w:hAnsi="宋体" w:cs="宋体"/>
        </w:rPr>
      </w:pPr>
      <w:r>
        <w:rPr>
          <w:rFonts w:hint="eastAsia" w:ascii="宋体" w:hAnsi="宋体" w:cs="宋体"/>
        </w:rPr>
        <w:t>4.2.1 投标人应在投标人须知前附表规定的投标截止时间前递交投标文件。</w:t>
      </w:r>
    </w:p>
    <w:p>
      <w:pPr>
        <w:spacing w:line="360" w:lineRule="auto"/>
        <w:ind w:firstLine="420" w:firstLineChars="200"/>
        <w:rPr>
          <w:rFonts w:ascii="宋体" w:hAnsi="宋体" w:cs="宋体"/>
        </w:rPr>
      </w:pPr>
      <w:r>
        <w:rPr>
          <w:rFonts w:hint="eastAsia" w:ascii="宋体" w:hAnsi="宋体" w:cs="宋体"/>
        </w:rPr>
        <w:t>4.2.2上传的电子版投标人通过下载招标文件的电子招标投标交易平台递交电子投标文件。</w:t>
      </w:r>
    </w:p>
    <w:p>
      <w:pPr>
        <w:spacing w:line="360" w:lineRule="auto"/>
        <w:ind w:firstLine="420" w:firstLineChars="200"/>
        <w:rPr>
          <w:rFonts w:ascii="宋体" w:hAnsi="宋体" w:cs="宋体"/>
        </w:rPr>
      </w:pPr>
      <w:r>
        <w:rPr>
          <w:rFonts w:hint="eastAsia" w:ascii="宋体" w:hAnsi="宋体" w:cs="宋体"/>
        </w:rPr>
        <w:t>4.2.3投标人完成电子投标文件上传后，电子招标投标交易平台即时向投标人发出递交回执通知。递交时间以递交回执通知载明的传输完成时间为准。</w:t>
      </w:r>
    </w:p>
    <w:p>
      <w:pPr>
        <w:spacing w:line="360" w:lineRule="auto"/>
        <w:ind w:firstLine="420" w:firstLineChars="200"/>
        <w:rPr>
          <w:rFonts w:ascii="宋体" w:hAnsi="宋体" w:cs="宋体"/>
        </w:rPr>
      </w:pPr>
      <w:r>
        <w:rPr>
          <w:rFonts w:hint="eastAsia" w:ascii="宋体" w:hAnsi="宋体" w:cs="宋体"/>
        </w:rPr>
        <w:t>4.2.4逾期送达的投标文件，电子招标投标交易平台将予以拒收。</w:t>
      </w:r>
    </w:p>
    <w:bookmarkEnd w:id="290"/>
    <w:bookmarkEnd w:id="291"/>
    <w:bookmarkEnd w:id="292"/>
    <w:bookmarkEnd w:id="293"/>
    <w:bookmarkEnd w:id="294"/>
    <w:bookmarkEnd w:id="295"/>
    <w:bookmarkEnd w:id="296"/>
    <w:bookmarkEnd w:id="297"/>
    <w:bookmarkEnd w:id="298"/>
    <w:bookmarkEnd w:id="299"/>
    <w:p>
      <w:pPr>
        <w:spacing w:line="360" w:lineRule="auto"/>
        <w:rPr>
          <w:rFonts w:ascii="宋体" w:hAnsi="宋体" w:cs="宋体"/>
          <w:b/>
          <w:sz w:val="24"/>
        </w:rPr>
      </w:pPr>
      <w:bookmarkStart w:id="300" w:name="_Toc247527583"/>
      <w:bookmarkStart w:id="301" w:name="_Toc436315353"/>
      <w:bookmarkStart w:id="302" w:name="_Toc436316963"/>
      <w:bookmarkStart w:id="303" w:name="_Toc144974526"/>
      <w:bookmarkStart w:id="304" w:name="_Toc247513982"/>
      <w:bookmarkStart w:id="305" w:name="_Toc23385"/>
      <w:bookmarkStart w:id="306" w:name="_Toc152045558"/>
      <w:bookmarkStart w:id="307" w:name="_Toc17621"/>
      <w:bookmarkStart w:id="308" w:name="_Toc152042334"/>
      <w:bookmarkStart w:id="309" w:name="_Toc435930059"/>
      <w:r>
        <w:rPr>
          <w:rFonts w:hint="eastAsia" w:ascii="宋体" w:hAnsi="宋体" w:cs="宋体"/>
          <w:b/>
          <w:sz w:val="24"/>
        </w:rPr>
        <w:t>4.3投标文件的修改与撤回</w:t>
      </w:r>
      <w:bookmarkEnd w:id="300"/>
      <w:bookmarkEnd w:id="301"/>
      <w:bookmarkEnd w:id="302"/>
      <w:bookmarkEnd w:id="303"/>
      <w:bookmarkEnd w:id="304"/>
      <w:bookmarkEnd w:id="305"/>
      <w:bookmarkEnd w:id="306"/>
      <w:bookmarkEnd w:id="307"/>
      <w:bookmarkEnd w:id="308"/>
      <w:bookmarkEnd w:id="309"/>
    </w:p>
    <w:p>
      <w:pPr>
        <w:spacing w:line="360" w:lineRule="auto"/>
        <w:ind w:firstLine="420" w:firstLineChars="200"/>
        <w:rPr>
          <w:rFonts w:ascii="宋体" w:hAnsi="宋体" w:cs="宋体"/>
        </w:rPr>
      </w:pPr>
      <w:r>
        <w:rPr>
          <w:rFonts w:hint="eastAsia" w:ascii="宋体" w:hAnsi="宋体" w:cs="宋体"/>
        </w:rPr>
        <w:t>4.3.1</w:t>
      </w:r>
      <w:r>
        <w:rPr>
          <w:rFonts w:hint="eastAsia" w:ascii="宋体" w:hAnsi="宋体" w:cs="宋体"/>
          <w:color w:val="000000" w:themeColor="text1"/>
          <w14:textFill>
            <w14:solidFill>
              <w14:schemeClr w14:val="tx1"/>
            </w14:solidFill>
          </w14:textFill>
        </w:rPr>
        <w:t xml:space="preserve"> 在投标人须知前附表第2.2.2</w:t>
      </w:r>
      <w:r>
        <w:rPr>
          <w:rFonts w:hint="eastAsia" w:ascii="宋体" w:hAnsi="宋体" w:cs="宋体"/>
        </w:rPr>
        <w:t>项规定的投标截止时间前，投标人可以修改或撤回已递交的投标文件，</w:t>
      </w:r>
      <w:r>
        <w:rPr>
          <w:rFonts w:hint="eastAsia" w:ascii="宋体" w:hAnsi="宋体" w:cs="宋体"/>
          <w:spacing w:val="-3"/>
        </w:rPr>
        <w:t>最终投标文件以投标截至时间前完成上传至焦作市公共资源交易系统最后一份投标文件为准。</w:t>
      </w:r>
    </w:p>
    <w:p>
      <w:pPr>
        <w:spacing w:line="360" w:lineRule="auto"/>
        <w:ind w:firstLine="420" w:firstLineChars="200"/>
        <w:rPr>
          <w:rFonts w:ascii="宋体" w:hAnsi="宋体" w:cs="宋体"/>
        </w:rPr>
      </w:pPr>
      <w:r>
        <w:rPr>
          <w:rFonts w:hint="eastAsia" w:ascii="宋体" w:hAnsi="宋体" w:cs="宋体"/>
        </w:rPr>
        <w:t xml:space="preserve">4.3.2 </w:t>
      </w:r>
      <w:r>
        <w:rPr>
          <w:rFonts w:hint="eastAsia" w:ascii="宋体" w:hAnsi="宋体" w:cs="宋体"/>
          <w:spacing w:val="-7"/>
        </w:rPr>
        <w:t xml:space="preserve">修改的投标文件应按照本章第 </w:t>
      </w:r>
      <w:r>
        <w:rPr>
          <w:rFonts w:hint="eastAsia" w:ascii="宋体" w:hAnsi="宋体" w:cs="宋体"/>
        </w:rPr>
        <w:t>3</w:t>
      </w:r>
      <w:r>
        <w:rPr>
          <w:rFonts w:hint="eastAsia" w:ascii="宋体" w:hAnsi="宋体" w:cs="宋体"/>
          <w:spacing w:val="-23"/>
        </w:rPr>
        <w:t xml:space="preserve"> 条、第 </w:t>
      </w:r>
      <w:r>
        <w:rPr>
          <w:rFonts w:hint="eastAsia" w:ascii="宋体" w:hAnsi="宋体" w:cs="宋体"/>
        </w:rPr>
        <w:t>4</w:t>
      </w:r>
      <w:r>
        <w:rPr>
          <w:rFonts w:hint="eastAsia" w:ascii="宋体" w:hAnsi="宋体" w:cs="宋体"/>
          <w:spacing w:val="-9"/>
        </w:rPr>
        <w:t xml:space="preserve"> 条规定进行编制和递交。</w:t>
      </w:r>
    </w:p>
    <w:p>
      <w:pPr>
        <w:pStyle w:val="5"/>
        <w:spacing w:line="360" w:lineRule="auto"/>
        <w:rPr>
          <w:rFonts w:ascii="宋体" w:hAnsi="宋体" w:eastAsia="宋体" w:cs="宋体"/>
        </w:rPr>
      </w:pPr>
      <w:bookmarkStart w:id="310" w:name="_Toc152045559"/>
      <w:bookmarkStart w:id="311" w:name="_Toc1421"/>
      <w:bookmarkStart w:id="312" w:name="_Toc9882"/>
      <w:bookmarkStart w:id="313" w:name="_Toc29725"/>
      <w:bookmarkStart w:id="314" w:name="_Toc31720"/>
      <w:bookmarkStart w:id="315" w:name="_Toc29715"/>
      <w:bookmarkStart w:id="316" w:name="_Toc247527584"/>
      <w:bookmarkStart w:id="317" w:name="_Toc152042335"/>
      <w:bookmarkStart w:id="318" w:name="_Toc144974527"/>
      <w:bookmarkStart w:id="319" w:name="_Toc247513983"/>
      <w:r>
        <w:rPr>
          <w:rFonts w:hint="eastAsia" w:ascii="宋体" w:hAnsi="宋体" w:eastAsia="宋体" w:cs="宋体"/>
        </w:rPr>
        <w:t>5. 开标</w:t>
      </w:r>
      <w:bookmarkEnd w:id="310"/>
      <w:bookmarkEnd w:id="311"/>
      <w:bookmarkEnd w:id="312"/>
      <w:bookmarkEnd w:id="313"/>
      <w:bookmarkEnd w:id="314"/>
      <w:bookmarkEnd w:id="315"/>
      <w:bookmarkEnd w:id="316"/>
      <w:bookmarkEnd w:id="317"/>
      <w:bookmarkEnd w:id="318"/>
      <w:bookmarkEnd w:id="319"/>
    </w:p>
    <w:p>
      <w:pPr>
        <w:spacing w:line="360" w:lineRule="auto"/>
        <w:rPr>
          <w:rFonts w:ascii="宋体" w:hAnsi="宋体" w:cs="宋体"/>
          <w:b/>
          <w:sz w:val="24"/>
        </w:rPr>
      </w:pPr>
      <w:bookmarkStart w:id="320" w:name="_Toc436316965"/>
      <w:bookmarkStart w:id="321" w:name="_Toc247527585"/>
      <w:bookmarkStart w:id="322" w:name="_Toc355"/>
      <w:bookmarkStart w:id="323" w:name="_Toc247513984"/>
      <w:bookmarkStart w:id="324" w:name="_Toc144974528"/>
      <w:bookmarkStart w:id="325" w:name="_Toc436315355"/>
      <w:bookmarkStart w:id="326" w:name="_Toc152045560"/>
      <w:bookmarkStart w:id="327" w:name="_Toc17465"/>
      <w:bookmarkStart w:id="328" w:name="_Toc435930061"/>
      <w:bookmarkStart w:id="329" w:name="_Toc152042336"/>
      <w:r>
        <w:rPr>
          <w:rFonts w:hint="eastAsia" w:ascii="宋体" w:hAnsi="宋体" w:cs="宋体"/>
          <w:b/>
          <w:sz w:val="24"/>
        </w:rPr>
        <w:t>5.1 开标时间和地点</w:t>
      </w:r>
      <w:bookmarkEnd w:id="320"/>
      <w:bookmarkEnd w:id="321"/>
      <w:bookmarkEnd w:id="322"/>
      <w:bookmarkEnd w:id="323"/>
      <w:bookmarkEnd w:id="324"/>
      <w:bookmarkEnd w:id="325"/>
      <w:bookmarkEnd w:id="326"/>
      <w:bookmarkEnd w:id="327"/>
      <w:bookmarkEnd w:id="328"/>
      <w:bookmarkEnd w:id="329"/>
    </w:p>
    <w:p>
      <w:pPr>
        <w:spacing w:line="400" w:lineRule="exact"/>
        <w:ind w:firstLine="420" w:firstLineChars="200"/>
        <w:rPr>
          <w:rFonts w:ascii="宋体" w:hAnsi="宋体" w:cs="宋体"/>
        </w:rPr>
      </w:pPr>
      <w:r>
        <w:rPr>
          <w:rFonts w:hint="eastAsia" w:ascii="宋体" w:hAnsi="宋体" w:cs="宋体"/>
        </w:rPr>
        <w:t>5.1.1 招标人在投标人须知前附表第 2.2.2 项规定的投标截止时间（开标时间）和投标人须知前附表规定的地点进行公开开标。</w:t>
      </w:r>
    </w:p>
    <w:p>
      <w:pPr>
        <w:spacing w:line="400" w:lineRule="exact"/>
        <w:ind w:firstLine="420" w:firstLineChars="200"/>
        <w:rPr>
          <w:rFonts w:ascii="宋体" w:hAnsi="宋体" w:cs="宋体"/>
        </w:rPr>
      </w:pPr>
      <w:r>
        <w:rPr>
          <w:rFonts w:hint="eastAsia" w:ascii="宋体" w:hAnsi="宋体" w:cs="宋体"/>
        </w:rPr>
        <w:t>5.1.2 投标人须在投标人须知前附表规定的时间内完成解密。由投标人的自身原因，在规定时间内解密不成功的，作为无效标处理。</w:t>
      </w:r>
    </w:p>
    <w:p>
      <w:pPr>
        <w:pStyle w:val="44"/>
        <w:rPr>
          <w:rFonts w:hAnsi="宋体" w:cs="宋体"/>
          <w:color w:val="auto"/>
        </w:rPr>
      </w:pPr>
    </w:p>
    <w:p>
      <w:pPr>
        <w:spacing w:line="360" w:lineRule="auto"/>
        <w:rPr>
          <w:rFonts w:ascii="宋体" w:hAnsi="宋体" w:cs="宋体"/>
          <w:b/>
          <w:sz w:val="24"/>
        </w:rPr>
      </w:pPr>
      <w:bookmarkStart w:id="330" w:name="_Toc28411"/>
      <w:bookmarkStart w:id="331" w:name="_Toc152042337"/>
      <w:bookmarkStart w:id="332" w:name="_Toc436316966"/>
      <w:bookmarkStart w:id="333" w:name="_Toc247527586"/>
      <w:bookmarkStart w:id="334" w:name="_Toc435930062"/>
      <w:bookmarkStart w:id="335" w:name="_Toc144974529"/>
      <w:bookmarkStart w:id="336" w:name="_Toc28237"/>
      <w:bookmarkStart w:id="337" w:name="_Toc436315356"/>
      <w:bookmarkStart w:id="338" w:name="_Toc247513985"/>
      <w:bookmarkStart w:id="339" w:name="_Toc152045561"/>
      <w:r>
        <w:rPr>
          <w:rFonts w:hint="eastAsia" w:ascii="宋体" w:hAnsi="宋体" w:cs="宋体"/>
          <w:b/>
          <w:sz w:val="24"/>
        </w:rPr>
        <w:t>5.2 开标程序</w:t>
      </w:r>
      <w:bookmarkEnd w:id="330"/>
      <w:bookmarkEnd w:id="331"/>
      <w:bookmarkEnd w:id="332"/>
      <w:bookmarkEnd w:id="333"/>
      <w:bookmarkEnd w:id="334"/>
      <w:bookmarkEnd w:id="335"/>
      <w:bookmarkEnd w:id="336"/>
      <w:bookmarkEnd w:id="337"/>
      <w:bookmarkEnd w:id="338"/>
      <w:bookmarkEnd w:id="339"/>
    </w:p>
    <w:p>
      <w:pPr>
        <w:spacing w:line="400" w:lineRule="exact"/>
        <w:ind w:firstLine="420" w:firstLineChars="200"/>
        <w:rPr>
          <w:rFonts w:ascii="宋体" w:hAnsi="宋体" w:cs="宋体"/>
        </w:rPr>
      </w:pPr>
      <w:bookmarkStart w:id="340" w:name="_Toc435930063"/>
      <w:bookmarkStart w:id="341" w:name="_Toc436315357"/>
      <w:bookmarkStart w:id="342" w:name="_Toc436316967"/>
      <w:bookmarkStart w:id="343" w:name="_Toc16020"/>
      <w:bookmarkStart w:id="344" w:name="_Toc22282"/>
      <w:r>
        <w:rPr>
          <w:rFonts w:hint="eastAsia" w:ascii="宋体" w:hAnsi="宋体" w:cs="宋体"/>
        </w:rPr>
        <w:t>5.2.1本项目采用电子开标。到投标截止时间止，各投标人对电子投标文件进行解密。解密完成后各投标人的电子投标文件的实质性内容将自动显示在网页中。投标人在投标截止时间前未上传电子投标文件的将视为放弃投标。</w:t>
      </w:r>
    </w:p>
    <w:p>
      <w:pPr>
        <w:spacing w:line="400" w:lineRule="exact"/>
        <w:ind w:firstLine="420" w:firstLineChars="200"/>
        <w:rPr>
          <w:rFonts w:ascii="宋体" w:hAnsi="宋体" w:cs="宋体"/>
        </w:rPr>
      </w:pPr>
      <w:r>
        <w:rPr>
          <w:rFonts w:hint="eastAsia" w:ascii="宋体" w:hAnsi="宋体" w:cs="宋体"/>
        </w:rPr>
        <w:t>主持人按下列程序进行开标：</w:t>
      </w:r>
    </w:p>
    <w:p>
      <w:pPr>
        <w:spacing w:line="400" w:lineRule="exact"/>
        <w:ind w:firstLine="420" w:firstLineChars="200"/>
        <w:rPr>
          <w:rFonts w:ascii="宋体" w:hAnsi="宋体" w:cs="宋体"/>
        </w:rPr>
      </w:pPr>
      <w:r>
        <w:rPr>
          <w:rFonts w:hint="eastAsia" w:ascii="宋体" w:hAnsi="宋体" w:cs="宋体"/>
        </w:rPr>
        <w:t>（1）电子投标文件解密；</w:t>
      </w:r>
    </w:p>
    <w:p>
      <w:pPr>
        <w:spacing w:line="400" w:lineRule="exact"/>
        <w:ind w:firstLine="420" w:firstLineChars="200"/>
        <w:rPr>
          <w:rFonts w:ascii="宋体" w:hAnsi="宋体" w:cs="宋体"/>
        </w:rPr>
      </w:pPr>
      <w:r>
        <w:rPr>
          <w:rFonts w:hint="eastAsia" w:ascii="宋体" w:hAnsi="宋体" w:cs="宋体"/>
        </w:rPr>
        <w:t>（2）开标并显示开标记录；</w:t>
      </w:r>
    </w:p>
    <w:p>
      <w:pPr>
        <w:spacing w:line="400" w:lineRule="exact"/>
        <w:ind w:firstLine="420" w:firstLineChars="200"/>
        <w:rPr>
          <w:rFonts w:ascii="宋体" w:hAnsi="宋体" w:cs="宋体"/>
        </w:rPr>
      </w:pPr>
      <w:r>
        <w:rPr>
          <w:rFonts w:hint="eastAsia" w:ascii="宋体" w:hAnsi="宋体" w:cs="宋体"/>
        </w:rPr>
        <w:t>（3）开标结束。</w:t>
      </w:r>
    </w:p>
    <w:p>
      <w:pPr>
        <w:spacing w:line="400" w:lineRule="exact"/>
        <w:ind w:firstLine="420" w:firstLineChars="200"/>
        <w:rPr>
          <w:rFonts w:ascii="宋体" w:hAnsi="宋体" w:cs="宋体"/>
        </w:rPr>
      </w:pPr>
      <w:r>
        <w:rPr>
          <w:rFonts w:hint="eastAsia" w:ascii="宋体" w:hAnsi="宋体" w:cs="宋体"/>
        </w:rPr>
        <w:t>5.2.2 开标时出现下列情况的，招标人将拒绝其开标。</w:t>
      </w:r>
    </w:p>
    <w:p>
      <w:pPr>
        <w:spacing w:line="400" w:lineRule="exact"/>
        <w:ind w:firstLine="420" w:firstLineChars="200"/>
        <w:rPr>
          <w:rFonts w:ascii="宋体" w:hAnsi="宋体" w:cs="宋体"/>
        </w:rPr>
      </w:pPr>
      <w:r>
        <w:rPr>
          <w:rFonts w:hint="eastAsia" w:ascii="宋体" w:hAnsi="宋体" w:cs="宋体"/>
        </w:rPr>
        <w:t>投标人未按投标人须知表5.1项规定的时间内解密投标文件的.</w:t>
      </w:r>
    </w:p>
    <w:bookmarkEnd w:id="340"/>
    <w:bookmarkEnd w:id="341"/>
    <w:bookmarkEnd w:id="342"/>
    <w:bookmarkEnd w:id="343"/>
    <w:bookmarkEnd w:id="344"/>
    <w:p>
      <w:pPr>
        <w:pStyle w:val="5"/>
        <w:spacing w:line="360" w:lineRule="auto"/>
        <w:rPr>
          <w:rFonts w:ascii="宋体" w:hAnsi="宋体" w:eastAsia="宋体" w:cs="宋体"/>
        </w:rPr>
      </w:pPr>
      <w:bookmarkStart w:id="345" w:name="_Toc144974530"/>
      <w:bookmarkStart w:id="346" w:name="_Toc247527587"/>
      <w:bookmarkStart w:id="347" w:name="_Toc152045562"/>
      <w:bookmarkStart w:id="348" w:name="_Toc247513986"/>
      <w:bookmarkStart w:id="349" w:name="_Toc152042338"/>
      <w:bookmarkStart w:id="350" w:name="_Toc22900"/>
      <w:bookmarkStart w:id="351" w:name="_Toc8425"/>
      <w:bookmarkStart w:id="352" w:name="_Toc19454"/>
      <w:bookmarkStart w:id="353" w:name="_Toc21617"/>
      <w:bookmarkStart w:id="354" w:name="_Toc2231"/>
      <w:r>
        <w:rPr>
          <w:rFonts w:hint="eastAsia" w:ascii="宋体" w:hAnsi="宋体" w:eastAsia="宋体" w:cs="宋体"/>
        </w:rPr>
        <w:t>6. 评标</w:t>
      </w:r>
      <w:bookmarkEnd w:id="345"/>
      <w:bookmarkEnd w:id="346"/>
      <w:bookmarkEnd w:id="347"/>
      <w:bookmarkEnd w:id="348"/>
      <w:bookmarkEnd w:id="349"/>
      <w:bookmarkEnd w:id="350"/>
      <w:bookmarkEnd w:id="351"/>
      <w:bookmarkEnd w:id="352"/>
      <w:bookmarkEnd w:id="353"/>
      <w:bookmarkEnd w:id="354"/>
    </w:p>
    <w:p>
      <w:pPr>
        <w:spacing w:line="360" w:lineRule="auto"/>
        <w:rPr>
          <w:rFonts w:ascii="宋体" w:hAnsi="宋体" w:cs="宋体"/>
          <w:b/>
          <w:sz w:val="24"/>
        </w:rPr>
      </w:pPr>
      <w:bookmarkStart w:id="355" w:name="_Toc435930065"/>
      <w:bookmarkStart w:id="356" w:name="_Toc144974531"/>
      <w:bookmarkStart w:id="357" w:name="_Toc247527588"/>
      <w:bookmarkStart w:id="358" w:name="_Toc9937"/>
      <w:bookmarkStart w:id="359" w:name="_Toc436315359"/>
      <w:bookmarkStart w:id="360" w:name="_Toc19506"/>
      <w:bookmarkStart w:id="361" w:name="_Toc247513987"/>
      <w:bookmarkStart w:id="362" w:name="_Toc152042339"/>
      <w:bookmarkStart w:id="363" w:name="_Toc152045563"/>
      <w:bookmarkStart w:id="364" w:name="_Toc436316969"/>
      <w:r>
        <w:rPr>
          <w:rFonts w:hint="eastAsia" w:ascii="宋体" w:hAnsi="宋体" w:cs="宋体"/>
          <w:b/>
          <w:sz w:val="24"/>
        </w:rPr>
        <w:t>6.1 评标委员会</w:t>
      </w:r>
      <w:bookmarkEnd w:id="355"/>
      <w:bookmarkEnd w:id="356"/>
      <w:bookmarkEnd w:id="357"/>
      <w:bookmarkEnd w:id="358"/>
      <w:bookmarkEnd w:id="359"/>
      <w:bookmarkEnd w:id="360"/>
      <w:bookmarkEnd w:id="361"/>
      <w:bookmarkEnd w:id="362"/>
      <w:bookmarkEnd w:id="363"/>
      <w:bookmarkEnd w:id="364"/>
    </w:p>
    <w:p>
      <w:pPr>
        <w:spacing w:line="360" w:lineRule="auto"/>
        <w:ind w:firstLine="420" w:firstLineChars="200"/>
        <w:rPr>
          <w:rFonts w:ascii="宋体" w:hAnsi="宋体" w:cs="宋体"/>
        </w:rPr>
      </w:pPr>
      <w:r>
        <w:rPr>
          <w:rFonts w:hint="eastAsia" w:ascii="宋体" w:hAnsi="宋体" w:cs="宋体"/>
        </w:rPr>
        <w:t>6.1.1 评标由招标人依法组建的评标委员会负责。评标委员会由招标人，以及有关技术、经济等方面的专家组成。评标委员会成员人数以及技术、经济等方面专家的确定方式见投标人须知前附表。</w:t>
      </w:r>
    </w:p>
    <w:p>
      <w:pPr>
        <w:spacing w:line="360" w:lineRule="auto"/>
        <w:ind w:firstLine="420" w:firstLineChars="200"/>
        <w:rPr>
          <w:rFonts w:ascii="宋体" w:hAnsi="宋体" w:cs="宋体"/>
        </w:rPr>
      </w:pPr>
      <w:r>
        <w:rPr>
          <w:rFonts w:hint="eastAsia" w:ascii="宋体" w:hAnsi="宋体" w:cs="宋体"/>
        </w:rPr>
        <w:t>6.1.2 评标委员会成员有下列情形之一的，应当回避：</w:t>
      </w:r>
    </w:p>
    <w:p>
      <w:pPr>
        <w:spacing w:line="360" w:lineRule="auto"/>
        <w:ind w:firstLine="420" w:firstLineChars="200"/>
        <w:rPr>
          <w:rFonts w:ascii="宋体" w:hAnsi="宋体" w:cs="宋体"/>
        </w:rPr>
      </w:pPr>
      <w:r>
        <w:rPr>
          <w:rFonts w:hint="eastAsia" w:ascii="宋体" w:hAnsi="宋体" w:cs="宋体"/>
        </w:rPr>
        <w:t>（1）投标人或投标人主要负责人的近亲属；</w:t>
      </w:r>
    </w:p>
    <w:p>
      <w:pPr>
        <w:spacing w:line="360" w:lineRule="auto"/>
        <w:ind w:firstLine="420" w:firstLineChars="200"/>
        <w:rPr>
          <w:rFonts w:ascii="宋体" w:hAnsi="宋体" w:cs="宋体"/>
        </w:rPr>
      </w:pPr>
      <w:r>
        <w:rPr>
          <w:rFonts w:hint="eastAsia" w:ascii="宋体" w:hAnsi="宋体" w:cs="宋体"/>
        </w:rPr>
        <w:t>（2）项目主管部门或者行政监督部门的人员；</w:t>
      </w:r>
    </w:p>
    <w:p>
      <w:pPr>
        <w:spacing w:line="360" w:lineRule="auto"/>
        <w:ind w:firstLine="420" w:firstLineChars="200"/>
        <w:rPr>
          <w:rFonts w:ascii="宋体" w:hAnsi="宋体" w:cs="宋体"/>
        </w:rPr>
      </w:pPr>
      <w:r>
        <w:rPr>
          <w:rFonts w:hint="eastAsia" w:ascii="宋体" w:hAnsi="宋体" w:cs="宋体"/>
        </w:rPr>
        <w:t>（3）与投标人有经济利益关系，可能影响对投标公正评审的；</w:t>
      </w:r>
    </w:p>
    <w:p>
      <w:pPr>
        <w:spacing w:line="360" w:lineRule="auto"/>
        <w:ind w:firstLine="420" w:firstLineChars="200"/>
        <w:rPr>
          <w:rFonts w:ascii="宋体" w:hAnsi="宋体" w:cs="宋体"/>
        </w:rPr>
      </w:pPr>
      <w:r>
        <w:rPr>
          <w:rFonts w:hint="eastAsia" w:ascii="宋体" w:hAnsi="宋体" w:cs="宋体"/>
        </w:rPr>
        <w:t>（4）曾因在招标、评标以及其他与招标投标有关活动中从事违法行为而受过行政处罚或刑事处罚的；</w:t>
      </w:r>
    </w:p>
    <w:p>
      <w:pPr>
        <w:spacing w:line="400" w:lineRule="exact"/>
        <w:ind w:firstLine="420" w:firstLineChars="200"/>
        <w:jc w:val="left"/>
        <w:rPr>
          <w:rFonts w:ascii="宋体" w:hAnsi="宋体" w:cs="宋体"/>
        </w:rPr>
      </w:pPr>
      <w:r>
        <w:rPr>
          <w:rFonts w:hint="eastAsia" w:ascii="宋体" w:hAnsi="宋体" w:cs="宋体"/>
        </w:rPr>
        <w:t>6.1.3评标过程中，评标委员会成员有回避事由，擅离职守或因健康原因不能继续评标的应该及时更换。被更换的评标委员会成员作出的评审结论无效，由更换后的评标委员会成员重新进行评审。</w:t>
      </w:r>
    </w:p>
    <w:p>
      <w:pPr>
        <w:spacing w:line="360" w:lineRule="auto"/>
        <w:rPr>
          <w:rFonts w:ascii="宋体" w:hAnsi="宋体" w:cs="宋体"/>
          <w:b/>
          <w:sz w:val="24"/>
        </w:rPr>
      </w:pPr>
      <w:bookmarkStart w:id="365" w:name="_Toc152042340"/>
      <w:bookmarkStart w:id="366" w:name="_Toc247513988"/>
      <w:bookmarkStart w:id="367" w:name="_Toc152045564"/>
      <w:bookmarkStart w:id="368" w:name="_Toc436316970"/>
      <w:bookmarkStart w:id="369" w:name="_Toc27869"/>
      <w:bookmarkStart w:id="370" w:name="_Toc23372"/>
      <w:bookmarkStart w:id="371" w:name="_Toc247527589"/>
      <w:bookmarkStart w:id="372" w:name="_Toc436315360"/>
      <w:bookmarkStart w:id="373" w:name="_Toc144974532"/>
      <w:bookmarkStart w:id="374" w:name="_Toc435930066"/>
      <w:r>
        <w:rPr>
          <w:rFonts w:hint="eastAsia" w:ascii="宋体" w:hAnsi="宋体" w:cs="宋体"/>
          <w:b/>
          <w:sz w:val="24"/>
        </w:rPr>
        <w:t>6.2 评标原则</w:t>
      </w:r>
      <w:bookmarkEnd w:id="365"/>
      <w:bookmarkEnd w:id="366"/>
      <w:bookmarkEnd w:id="367"/>
      <w:bookmarkEnd w:id="368"/>
      <w:bookmarkEnd w:id="369"/>
      <w:bookmarkEnd w:id="370"/>
      <w:bookmarkEnd w:id="371"/>
      <w:bookmarkEnd w:id="372"/>
      <w:bookmarkEnd w:id="373"/>
      <w:bookmarkEnd w:id="374"/>
      <w:r>
        <w:rPr>
          <w:rFonts w:hint="eastAsia" w:ascii="宋体" w:hAnsi="宋体" w:cs="宋体"/>
          <w:b/>
          <w:sz w:val="24"/>
        </w:rPr>
        <w:tab/>
      </w:r>
    </w:p>
    <w:p>
      <w:pPr>
        <w:spacing w:line="360" w:lineRule="auto"/>
        <w:ind w:firstLine="420" w:firstLineChars="200"/>
        <w:rPr>
          <w:rFonts w:ascii="宋体" w:hAnsi="宋体" w:cs="宋体"/>
        </w:rPr>
      </w:pPr>
      <w:r>
        <w:rPr>
          <w:rFonts w:hint="eastAsia" w:ascii="宋体" w:hAnsi="宋体" w:cs="宋体"/>
        </w:rPr>
        <w:t>评标活动遵循公平、公正、科学和择优的原则。</w:t>
      </w:r>
    </w:p>
    <w:p>
      <w:pPr>
        <w:spacing w:line="360" w:lineRule="auto"/>
        <w:rPr>
          <w:rFonts w:ascii="宋体" w:hAnsi="宋体" w:cs="宋体"/>
          <w:b/>
          <w:sz w:val="24"/>
        </w:rPr>
      </w:pPr>
      <w:bookmarkStart w:id="375" w:name="_Toc152045565"/>
      <w:bookmarkStart w:id="376" w:name="_Toc436315361"/>
      <w:bookmarkStart w:id="377" w:name="_Toc247513989"/>
      <w:bookmarkStart w:id="378" w:name="_Toc11181"/>
      <w:bookmarkStart w:id="379" w:name="_Toc247527590"/>
      <w:bookmarkStart w:id="380" w:name="_Toc144974533"/>
      <w:bookmarkStart w:id="381" w:name="_Toc17560"/>
      <w:bookmarkStart w:id="382" w:name="_Toc152042341"/>
      <w:bookmarkStart w:id="383" w:name="_Toc435930067"/>
      <w:bookmarkStart w:id="384" w:name="_Toc436316971"/>
      <w:r>
        <w:rPr>
          <w:rFonts w:hint="eastAsia" w:ascii="宋体" w:hAnsi="宋体" w:cs="宋体"/>
          <w:b/>
          <w:sz w:val="24"/>
        </w:rPr>
        <w:t>6.3 评标</w:t>
      </w:r>
      <w:bookmarkEnd w:id="375"/>
      <w:bookmarkEnd w:id="376"/>
      <w:bookmarkEnd w:id="377"/>
      <w:bookmarkEnd w:id="378"/>
      <w:bookmarkEnd w:id="379"/>
      <w:bookmarkEnd w:id="380"/>
      <w:bookmarkEnd w:id="381"/>
      <w:bookmarkEnd w:id="382"/>
      <w:bookmarkEnd w:id="383"/>
      <w:bookmarkEnd w:id="384"/>
    </w:p>
    <w:p>
      <w:pPr>
        <w:spacing w:line="360" w:lineRule="auto"/>
        <w:ind w:firstLine="420" w:firstLineChars="200"/>
        <w:rPr>
          <w:rFonts w:ascii="宋体" w:hAnsi="宋体" w:cs="宋体"/>
        </w:rPr>
      </w:pPr>
      <w:r>
        <w:rPr>
          <w:rFonts w:hint="eastAsia" w:ascii="宋体" w:hAnsi="宋体" w:cs="宋体"/>
        </w:rPr>
        <w:t>评标委员会按照第三章“评标办法”规定的方法、评审因素、标准和程序对投标文件进行评审。第三章“评标办法”没有规定的方法、评审因素和标准，不作为评标依据。</w:t>
      </w:r>
    </w:p>
    <w:p>
      <w:pPr>
        <w:pStyle w:val="5"/>
        <w:keepNext w:val="0"/>
        <w:keepLines w:val="0"/>
        <w:spacing w:line="360" w:lineRule="auto"/>
        <w:rPr>
          <w:rFonts w:ascii="宋体" w:hAnsi="宋体" w:eastAsia="宋体" w:cs="宋体"/>
        </w:rPr>
      </w:pPr>
      <w:bookmarkStart w:id="385" w:name="_Toc8135"/>
      <w:bookmarkStart w:id="386" w:name="_Toc152045566"/>
      <w:bookmarkStart w:id="387" w:name="_Toc24279"/>
      <w:bookmarkStart w:id="388" w:name="_Toc152042342"/>
      <w:bookmarkStart w:id="389" w:name="_Toc247527591"/>
      <w:bookmarkStart w:id="390" w:name="_Toc2101"/>
      <w:bookmarkStart w:id="391" w:name="_Toc144974534"/>
      <w:bookmarkStart w:id="392" w:name="_Toc3587"/>
      <w:bookmarkStart w:id="393" w:name="_Toc247513990"/>
      <w:bookmarkStart w:id="394" w:name="_Toc17547"/>
      <w:r>
        <w:rPr>
          <w:rFonts w:hint="eastAsia" w:ascii="宋体" w:hAnsi="宋体" w:eastAsia="宋体" w:cs="宋体"/>
        </w:rPr>
        <w:t>7. 合同授予</w:t>
      </w:r>
      <w:bookmarkEnd w:id="385"/>
      <w:bookmarkEnd w:id="386"/>
      <w:bookmarkEnd w:id="387"/>
      <w:bookmarkEnd w:id="388"/>
      <w:bookmarkEnd w:id="389"/>
      <w:bookmarkEnd w:id="390"/>
      <w:bookmarkEnd w:id="391"/>
      <w:bookmarkEnd w:id="392"/>
      <w:bookmarkEnd w:id="393"/>
      <w:bookmarkEnd w:id="394"/>
    </w:p>
    <w:p>
      <w:pPr>
        <w:spacing w:line="360" w:lineRule="auto"/>
        <w:rPr>
          <w:rFonts w:ascii="宋体" w:hAnsi="宋体" w:cs="宋体"/>
          <w:b/>
          <w:sz w:val="24"/>
        </w:rPr>
      </w:pPr>
      <w:bookmarkStart w:id="395" w:name="_Toc435930069"/>
      <w:bookmarkStart w:id="396" w:name="_Toc29026"/>
      <w:bookmarkStart w:id="397" w:name="_Toc152042343"/>
      <w:bookmarkStart w:id="398" w:name="_Toc144974535"/>
      <w:bookmarkStart w:id="399" w:name="_Toc152045567"/>
      <w:bookmarkStart w:id="400" w:name="_Toc436316973"/>
      <w:bookmarkStart w:id="401" w:name="_Toc247513991"/>
      <w:bookmarkStart w:id="402" w:name="_Toc247527592"/>
      <w:bookmarkStart w:id="403" w:name="_Toc26102"/>
      <w:bookmarkStart w:id="404" w:name="_Toc436315363"/>
      <w:r>
        <w:rPr>
          <w:rFonts w:hint="eastAsia" w:ascii="宋体" w:hAnsi="宋体" w:cs="宋体"/>
          <w:b/>
          <w:sz w:val="24"/>
        </w:rPr>
        <w:t>7.1 定标方式</w:t>
      </w:r>
      <w:bookmarkEnd w:id="395"/>
      <w:bookmarkEnd w:id="396"/>
      <w:bookmarkEnd w:id="397"/>
      <w:bookmarkEnd w:id="398"/>
      <w:bookmarkEnd w:id="399"/>
      <w:bookmarkEnd w:id="400"/>
      <w:bookmarkEnd w:id="401"/>
      <w:bookmarkEnd w:id="402"/>
      <w:bookmarkEnd w:id="403"/>
      <w:bookmarkEnd w:id="404"/>
    </w:p>
    <w:p>
      <w:pPr>
        <w:spacing w:line="440" w:lineRule="exact"/>
        <w:ind w:firstLine="420" w:firstLineChars="200"/>
        <w:rPr>
          <w:rFonts w:ascii="宋体" w:hAnsi="宋体" w:cs="宋体"/>
        </w:rPr>
      </w:pPr>
      <w:bookmarkStart w:id="405" w:name="_Toc29566"/>
      <w:bookmarkStart w:id="406" w:name="_Toc436316974"/>
      <w:bookmarkStart w:id="407" w:name="_Toc27318"/>
      <w:bookmarkStart w:id="408" w:name="_Toc435930070"/>
      <w:bookmarkStart w:id="409" w:name="_Toc436315364"/>
      <w:r>
        <w:rPr>
          <w:rFonts w:hint="eastAsia" w:ascii="宋体" w:hAnsi="宋体" w:cs="宋体"/>
        </w:rPr>
        <w:t>除投标人须知前附表规定评标委员会直接确定中标单位外，招标人依据评标委员会推荐的中标候选单位中确定中标单位，评标委员会推荐中标候选人的人数见投标人须知前附表。</w:t>
      </w:r>
    </w:p>
    <w:p>
      <w:pPr>
        <w:spacing w:line="360" w:lineRule="auto"/>
        <w:rPr>
          <w:rFonts w:ascii="宋体" w:hAnsi="宋体" w:cs="宋体"/>
          <w:b/>
          <w:sz w:val="24"/>
        </w:rPr>
      </w:pPr>
      <w:r>
        <w:rPr>
          <w:rFonts w:hint="eastAsia" w:ascii="宋体" w:hAnsi="宋体" w:cs="宋体"/>
          <w:b/>
          <w:sz w:val="24"/>
        </w:rPr>
        <w:t>7.2 中标候选人公示</w:t>
      </w:r>
      <w:bookmarkEnd w:id="405"/>
      <w:bookmarkEnd w:id="406"/>
      <w:bookmarkEnd w:id="407"/>
      <w:bookmarkEnd w:id="408"/>
      <w:bookmarkEnd w:id="409"/>
    </w:p>
    <w:p>
      <w:pPr>
        <w:spacing w:line="360" w:lineRule="auto"/>
        <w:ind w:firstLine="420" w:firstLineChars="200"/>
        <w:rPr>
          <w:rFonts w:ascii="宋体" w:hAnsi="宋体" w:cs="宋体"/>
        </w:rPr>
      </w:pPr>
      <w:r>
        <w:rPr>
          <w:rFonts w:hint="eastAsia" w:ascii="宋体" w:hAnsi="宋体" w:cs="宋体"/>
        </w:rPr>
        <w:t>招标人在投标人须知前附表规定的媒介公示中标候选人。</w:t>
      </w:r>
    </w:p>
    <w:p>
      <w:pPr>
        <w:spacing w:line="360" w:lineRule="auto"/>
        <w:rPr>
          <w:rFonts w:ascii="宋体" w:hAnsi="宋体" w:cs="宋体"/>
          <w:b/>
          <w:sz w:val="24"/>
        </w:rPr>
      </w:pPr>
      <w:bookmarkStart w:id="410" w:name="_Toc436316975"/>
      <w:bookmarkStart w:id="411" w:name="_Toc31501"/>
      <w:bookmarkStart w:id="412" w:name="_Toc435930071"/>
      <w:bookmarkStart w:id="413" w:name="_Toc436315365"/>
      <w:bookmarkStart w:id="414" w:name="_Toc247513992"/>
      <w:bookmarkStart w:id="415" w:name="_Toc247527593"/>
      <w:bookmarkStart w:id="416" w:name="_Toc152045568"/>
      <w:bookmarkStart w:id="417" w:name="_Toc152042344"/>
      <w:bookmarkStart w:id="418" w:name="_Toc18033"/>
      <w:bookmarkStart w:id="419" w:name="_Toc144974536"/>
      <w:r>
        <w:rPr>
          <w:rFonts w:hint="eastAsia" w:ascii="宋体" w:hAnsi="宋体" w:cs="宋体"/>
          <w:b/>
          <w:sz w:val="24"/>
        </w:rPr>
        <w:t>7.3 中标通知</w:t>
      </w:r>
      <w:bookmarkEnd w:id="410"/>
      <w:bookmarkEnd w:id="411"/>
      <w:bookmarkEnd w:id="412"/>
      <w:bookmarkEnd w:id="413"/>
      <w:bookmarkEnd w:id="414"/>
      <w:bookmarkEnd w:id="415"/>
      <w:bookmarkEnd w:id="416"/>
      <w:bookmarkEnd w:id="417"/>
      <w:bookmarkEnd w:id="418"/>
      <w:bookmarkEnd w:id="419"/>
      <w:r>
        <w:rPr>
          <w:rFonts w:hint="eastAsia" w:ascii="宋体" w:hAnsi="宋体" w:cs="宋体"/>
          <w:b/>
          <w:sz w:val="24"/>
        </w:rPr>
        <w:t>书</w:t>
      </w:r>
    </w:p>
    <w:p>
      <w:pPr>
        <w:spacing w:line="360" w:lineRule="auto"/>
        <w:ind w:firstLine="420" w:firstLineChars="200"/>
        <w:rPr>
          <w:rFonts w:ascii="宋体" w:hAnsi="宋体" w:cs="宋体"/>
        </w:rPr>
      </w:pPr>
      <w:r>
        <w:rPr>
          <w:rFonts w:hint="eastAsia" w:ascii="宋体" w:hAnsi="宋体" w:cs="宋体"/>
        </w:rPr>
        <w:t>在本章第3.3款规定的投标有效期内，招标人以书面形式向中标人发出中标通知书，同时将中标结果通知未中标的投标人。</w:t>
      </w:r>
    </w:p>
    <w:p>
      <w:pPr>
        <w:spacing w:line="360" w:lineRule="auto"/>
        <w:rPr>
          <w:rFonts w:ascii="宋体" w:hAnsi="宋体" w:cs="宋体"/>
          <w:b/>
          <w:sz w:val="24"/>
        </w:rPr>
      </w:pPr>
      <w:bookmarkStart w:id="420" w:name="_Toc144974537"/>
      <w:bookmarkStart w:id="421" w:name="_Toc152045569"/>
      <w:bookmarkStart w:id="422" w:name="_Toc247527594"/>
      <w:bookmarkStart w:id="423" w:name="_Toc152042345"/>
      <w:bookmarkStart w:id="424" w:name="_Toc2232"/>
      <w:bookmarkStart w:id="425" w:name="_Toc436315366"/>
      <w:bookmarkStart w:id="426" w:name="_Toc20662"/>
      <w:bookmarkStart w:id="427" w:name="_Toc436316976"/>
      <w:bookmarkStart w:id="428" w:name="_Toc247513993"/>
      <w:bookmarkStart w:id="429" w:name="_Toc435930072"/>
      <w:r>
        <w:rPr>
          <w:rFonts w:hint="eastAsia" w:ascii="宋体" w:hAnsi="宋体" w:cs="宋体"/>
          <w:b/>
          <w:sz w:val="24"/>
        </w:rPr>
        <w:t>7.4 履约担保</w:t>
      </w:r>
      <w:bookmarkEnd w:id="420"/>
      <w:bookmarkEnd w:id="421"/>
      <w:bookmarkEnd w:id="422"/>
      <w:bookmarkEnd w:id="423"/>
      <w:bookmarkEnd w:id="424"/>
      <w:bookmarkEnd w:id="425"/>
      <w:bookmarkEnd w:id="426"/>
      <w:bookmarkEnd w:id="427"/>
      <w:bookmarkEnd w:id="428"/>
      <w:bookmarkEnd w:id="429"/>
    </w:p>
    <w:p>
      <w:pPr>
        <w:spacing w:line="400" w:lineRule="exact"/>
        <w:ind w:firstLine="420" w:firstLineChars="200"/>
        <w:rPr>
          <w:rFonts w:ascii="宋体" w:hAnsi="宋体" w:cs="宋体"/>
        </w:rPr>
      </w:pPr>
      <w:r>
        <w:rPr>
          <w:rFonts w:hint="eastAsia" w:ascii="宋体" w:hAnsi="宋体" w:cs="宋体"/>
        </w:rPr>
        <w:t>7.4.1 在签订合同前，中标人应按投标人须知前附表规定的金额、担保形式和招标文件第四章“合同条款及格式”规定的履约担保形式向招标人提交履约担保。联合体中标的，其履约担保由牵头人递交，并应符合投标人须知前附表规定的金额、担保形式和招标文</w:t>
      </w:r>
      <w:r>
        <w:rPr>
          <w:rFonts w:hint="eastAsia" w:ascii="宋体" w:hAnsi="宋体" w:cs="宋体"/>
          <w:color w:val="000000" w:themeColor="text1"/>
          <w14:textFill>
            <w14:solidFill>
              <w14:schemeClr w14:val="tx1"/>
            </w14:solidFill>
          </w14:textFill>
        </w:rPr>
        <w:t>件第五章“合同条款及格式”规定的履约担保形式要求。</w:t>
      </w:r>
    </w:p>
    <w:p>
      <w:pPr>
        <w:spacing w:line="360" w:lineRule="auto"/>
        <w:ind w:firstLine="420" w:firstLineChars="200"/>
        <w:rPr>
          <w:rFonts w:ascii="宋体" w:hAnsi="宋体" w:cs="宋体"/>
        </w:rPr>
      </w:pPr>
      <w:r>
        <w:rPr>
          <w:rFonts w:hint="eastAsia" w:ascii="宋体" w:hAnsi="宋体" w:cs="宋体"/>
        </w:rPr>
        <w:t>7.4.2 中标人不能按本章第7.4.1项要求提交履约担保的，视为放弃中标，其投标保证金不予退还，给招标人造成的损失超过投标保证金数额的，中标人还应当对超过部分予以赔偿。</w:t>
      </w:r>
    </w:p>
    <w:p>
      <w:pPr>
        <w:spacing w:line="360" w:lineRule="auto"/>
        <w:rPr>
          <w:rFonts w:ascii="宋体" w:hAnsi="宋体" w:cs="宋体"/>
          <w:b/>
          <w:sz w:val="24"/>
        </w:rPr>
      </w:pPr>
      <w:bookmarkStart w:id="430" w:name="_Toc152045570"/>
      <w:bookmarkStart w:id="431" w:name="_Toc21600"/>
      <w:bookmarkStart w:id="432" w:name="_Toc247527595"/>
      <w:bookmarkStart w:id="433" w:name="_Toc435930073"/>
      <w:bookmarkStart w:id="434" w:name="_Toc152042346"/>
      <w:bookmarkStart w:id="435" w:name="_Toc31664"/>
      <w:bookmarkStart w:id="436" w:name="_Toc144974538"/>
      <w:bookmarkStart w:id="437" w:name="_Toc436316977"/>
      <w:bookmarkStart w:id="438" w:name="_Toc436315367"/>
      <w:bookmarkStart w:id="439" w:name="_Toc247513994"/>
      <w:r>
        <w:rPr>
          <w:rFonts w:hint="eastAsia" w:ascii="宋体" w:hAnsi="宋体" w:cs="宋体"/>
          <w:b/>
          <w:sz w:val="24"/>
        </w:rPr>
        <w:t>7.5 签订合同</w:t>
      </w:r>
      <w:bookmarkEnd w:id="430"/>
      <w:bookmarkEnd w:id="431"/>
      <w:bookmarkEnd w:id="432"/>
      <w:bookmarkEnd w:id="433"/>
      <w:bookmarkEnd w:id="434"/>
      <w:bookmarkEnd w:id="435"/>
      <w:bookmarkEnd w:id="436"/>
      <w:bookmarkEnd w:id="437"/>
      <w:bookmarkEnd w:id="438"/>
      <w:bookmarkEnd w:id="439"/>
    </w:p>
    <w:p>
      <w:pPr>
        <w:spacing w:line="360" w:lineRule="auto"/>
        <w:ind w:firstLine="420" w:firstLineChars="200"/>
        <w:rPr>
          <w:rFonts w:ascii="宋体" w:hAnsi="宋体" w:cs="宋体"/>
        </w:rPr>
      </w:pPr>
      <w:r>
        <w:rPr>
          <w:rFonts w:hint="eastAsia" w:ascii="宋体" w:hAnsi="宋体" w:cs="宋体"/>
        </w:rPr>
        <w:t xml:space="preserve">7.5.1招标人和中标单位应当自中标通知书发出之日起30天内，根据招标文件和中标单位的投标文件订立书面合同并由中标人上传交易系统中。中标单位无正当理由拒签合同的，招标人取消其中标资格，其投标保证金不予退还；给招标人造成的损失超过投标保证金数额的，中标单位还应当对超过部分予以赔偿。 </w:t>
      </w:r>
    </w:p>
    <w:p>
      <w:pPr>
        <w:spacing w:line="360" w:lineRule="auto"/>
        <w:ind w:firstLine="420" w:firstLineChars="200"/>
        <w:rPr>
          <w:rFonts w:ascii="宋体" w:hAnsi="宋体" w:cs="宋体"/>
        </w:rPr>
      </w:pPr>
      <w:r>
        <w:rPr>
          <w:rFonts w:hint="eastAsia" w:ascii="宋体" w:hAnsi="宋体" w:cs="宋体"/>
        </w:rPr>
        <w:t xml:space="preserve">7.5.2 发出中标通知书后，招标人无正当理由拒签合同的，招标人向中标单位退还投标保证金；给中标单位造成损失的，还应当赔偿损失。 </w:t>
      </w:r>
    </w:p>
    <w:p>
      <w:pPr>
        <w:pStyle w:val="5"/>
        <w:numPr>
          <w:ilvl w:val="0"/>
          <w:numId w:val="1"/>
        </w:numPr>
        <w:spacing w:line="360" w:lineRule="auto"/>
        <w:rPr>
          <w:rFonts w:ascii="宋体" w:hAnsi="宋体" w:eastAsia="宋体" w:cs="宋体"/>
        </w:rPr>
      </w:pPr>
      <w:bookmarkStart w:id="440" w:name="_Toc26290"/>
      <w:bookmarkStart w:id="441" w:name="_Toc29195"/>
      <w:bookmarkStart w:id="442" w:name="_Toc9141"/>
      <w:bookmarkStart w:id="443" w:name="_Toc18094"/>
      <w:bookmarkStart w:id="444" w:name="_Toc25184"/>
      <w:r>
        <w:rPr>
          <w:rFonts w:hint="eastAsia" w:ascii="宋体" w:hAnsi="宋体" w:eastAsia="宋体" w:cs="宋体"/>
        </w:rPr>
        <w:t>重新招标和不再招标</w:t>
      </w:r>
      <w:bookmarkEnd w:id="440"/>
      <w:bookmarkEnd w:id="441"/>
      <w:bookmarkEnd w:id="442"/>
      <w:bookmarkEnd w:id="443"/>
      <w:bookmarkEnd w:id="444"/>
    </w:p>
    <w:p>
      <w:pPr>
        <w:spacing w:line="360" w:lineRule="auto"/>
        <w:rPr>
          <w:rFonts w:ascii="宋体" w:hAnsi="宋体" w:cs="宋体"/>
          <w:b/>
          <w:sz w:val="24"/>
        </w:rPr>
      </w:pPr>
      <w:r>
        <w:rPr>
          <w:rFonts w:hint="eastAsia" w:ascii="宋体" w:hAnsi="宋体" w:cs="宋体"/>
          <w:b/>
          <w:sz w:val="24"/>
        </w:rPr>
        <w:t xml:space="preserve"> 8.1 重新招标</w:t>
      </w:r>
    </w:p>
    <w:p>
      <w:pPr>
        <w:spacing w:line="360" w:lineRule="auto"/>
        <w:ind w:firstLine="420" w:firstLineChars="200"/>
        <w:rPr>
          <w:rFonts w:ascii="宋体" w:hAnsi="宋体" w:cs="宋体"/>
        </w:rPr>
      </w:pPr>
      <w:r>
        <w:rPr>
          <w:rFonts w:hint="eastAsia" w:ascii="宋体" w:hAnsi="宋体" w:cs="宋体"/>
        </w:rPr>
        <w:t>有下列情形之一的，招标人将重新招标：</w:t>
      </w:r>
    </w:p>
    <w:p>
      <w:pPr>
        <w:spacing w:line="360" w:lineRule="auto"/>
        <w:ind w:firstLine="420" w:firstLineChars="200"/>
        <w:rPr>
          <w:rFonts w:ascii="宋体" w:hAnsi="宋体" w:cs="宋体"/>
        </w:rPr>
      </w:pPr>
      <w:r>
        <w:rPr>
          <w:rFonts w:hint="eastAsia" w:ascii="宋体" w:hAnsi="宋体" w:cs="宋体"/>
        </w:rPr>
        <w:t>(1)投标截止时间止，投标人少于3个的；</w:t>
      </w:r>
    </w:p>
    <w:p>
      <w:pPr>
        <w:spacing w:line="360" w:lineRule="auto"/>
        <w:ind w:firstLine="420" w:firstLineChars="200"/>
        <w:rPr>
          <w:rFonts w:ascii="宋体" w:hAnsi="宋体" w:cs="宋体"/>
        </w:rPr>
      </w:pPr>
      <w:r>
        <w:rPr>
          <w:rFonts w:hint="eastAsia" w:ascii="宋体" w:hAnsi="宋体" w:cs="宋体"/>
        </w:rPr>
        <w:t>(2)经评标委员会评审后否决所有投标的；</w:t>
      </w:r>
    </w:p>
    <w:p>
      <w:pPr>
        <w:spacing w:line="360" w:lineRule="auto"/>
        <w:rPr>
          <w:rFonts w:ascii="宋体" w:hAnsi="宋体" w:cs="宋体"/>
          <w:b/>
          <w:sz w:val="24"/>
        </w:rPr>
      </w:pPr>
      <w:r>
        <w:rPr>
          <w:rFonts w:hint="eastAsia" w:ascii="宋体" w:hAnsi="宋体" w:cs="宋体"/>
          <w:b/>
          <w:sz w:val="24"/>
        </w:rPr>
        <w:t xml:space="preserve"> 8.2 不再招标</w:t>
      </w:r>
    </w:p>
    <w:p>
      <w:pPr>
        <w:spacing w:line="360" w:lineRule="auto"/>
        <w:ind w:firstLine="420" w:firstLineChars="200"/>
        <w:rPr>
          <w:rFonts w:ascii="宋体" w:hAnsi="宋体" w:cs="宋体"/>
        </w:rPr>
      </w:pPr>
      <w:r>
        <w:rPr>
          <w:rFonts w:hint="eastAsia" w:ascii="宋体" w:hAnsi="宋体" w:cs="宋体"/>
        </w:rPr>
        <w:t xml:space="preserve"> 重新招标后投标人仍少于3个或者所有投标被否决的，属于必须审批或核准的工程建设项目，经原审批或核准部门批准后不再进行招标。</w:t>
      </w:r>
    </w:p>
    <w:p>
      <w:pPr>
        <w:pStyle w:val="5"/>
        <w:keepNext w:val="0"/>
        <w:keepLines w:val="0"/>
        <w:spacing w:line="360" w:lineRule="auto"/>
        <w:rPr>
          <w:rFonts w:ascii="宋体" w:hAnsi="宋体" w:eastAsia="宋体" w:cs="宋体"/>
        </w:rPr>
      </w:pPr>
      <w:bookmarkStart w:id="445" w:name="_Toc152042347"/>
      <w:bookmarkStart w:id="446" w:name="_Toc152045571"/>
      <w:bookmarkStart w:id="447" w:name="_Toc144974539"/>
      <w:bookmarkStart w:id="448" w:name="_Toc247513995"/>
      <w:bookmarkStart w:id="449" w:name="_Toc247527596"/>
      <w:bookmarkStart w:id="450" w:name="_Toc28915"/>
      <w:bookmarkStart w:id="451" w:name="_Toc8320"/>
      <w:bookmarkStart w:id="452" w:name="_Toc26233"/>
      <w:bookmarkStart w:id="453" w:name="_Toc23301"/>
      <w:bookmarkStart w:id="454" w:name="_Toc12021"/>
      <w:r>
        <w:rPr>
          <w:rFonts w:hint="eastAsia" w:ascii="宋体" w:hAnsi="宋体" w:eastAsia="宋体" w:cs="宋体"/>
        </w:rPr>
        <w:t>9.</w:t>
      </w:r>
      <w:bookmarkEnd w:id="445"/>
      <w:bookmarkEnd w:id="446"/>
      <w:bookmarkEnd w:id="447"/>
      <w:bookmarkEnd w:id="448"/>
      <w:bookmarkEnd w:id="449"/>
      <w:bookmarkStart w:id="455" w:name="_Toc247527599"/>
      <w:bookmarkStart w:id="456" w:name="_Toc152045574"/>
      <w:bookmarkStart w:id="457" w:name="_Toc144974542"/>
      <w:bookmarkStart w:id="458" w:name="_Toc247513998"/>
      <w:bookmarkStart w:id="459" w:name="_Toc152042350"/>
      <w:r>
        <w:rPr>
          <w:rFonts w:hint="eastAsia" w:ascii="宋体" w:hAnsi="宋体" w:eastAsia="宋体" w:cs="宋体"/>
        </w:rPr>
        <w:t xml:space="preserve"> 纪律和监督</w:t>
      </w:r>
      <w:bookmarkEnd w:id="450"/>
      <w:bookmarkEnd w:id="451"/>
      <w:bookmarkEnd w:id="452"/>
      <w:bookmarkEnd w:id="453"/>
      <w:bookmarkEnd w:id="454"/>
      <w:bookmarkEnd w:id="455"/>
      <w:bookmarkEnd w:id="456"/>
      <w:bookmarkEnd w:id="457"/>
      <w:bookmarkEnd w:id="458"/>
      <w:bookmarkEnd w:id="459"/>
    </w:p>
    <w:p>
      <w:pPr>
        <w:spacing w:line="360" w:lineRule="auto"/>
        <w:rPr>
          <w:rFonts w:ascii="宋体" w:hAnsi="宋体" w:cs="宋体"/>
          <w:b/>
          <w:sz w:val="24"/>
        </w:rPr>
      </w:pPr>
      <w:bookmarkStart w:id="460" w:name="_Toc27686"/>
      <w:bookmarkStart w:id="461" w:name="_Toc247527600"/>
      <w:bookmarkStart w:id="462" w:name="_Toc152042351"/>
      <w:bookmarkStart w:id="463" w:name="_Toc436316980"/>
      <w:bookmarkStart w:id="464" w:name="_Toc7848"/>
      <w:bookmarkStart w:id="465" w:name="_Toc436315370"/>
      <w:bookmarkStart w:id="466" w:name="_Toc435930076"/>
      <w:bookmarkStart w:id="467" w:name="_Toc152045575"/>
      <w:bookmarkStart w:id="468" w:name="_Toc144974543"/>
      <w:bookmarkStart w:id="469" w:name="_Toc247513999"/>
      <w:r>
        <w:rPr>
          <w:rFonts w:hint="eastAsia" w:ascii="宋体" w:hAnsi="宋体" w:cs="宋体"/>
          <w:b/>
          <w:sz w:val="24"/>
        </w:rPr>
        <w:t>9.1 对招标人的纪律要求</w:t>
      </w:r>
      <w:bookmarkEnd w:id="460"/>
      <w:bookmarkEnd w:id="461"/>
      <w:bookmarkEnd w:id="462"/>
      <w:bookmarkEnd w:id="463"/>
      <w:bookmarkEnd w:id="464"/>
      <w:bookmarkEnd w:id="465"/>
      <w:bookmarkEnd w:id="466"/>
      <w:bookmarkEnd w:id="467"/>
      <w:bookmarkEnd w:id="468"/>
      <w:bookmarkEnd w:id="469"/>
    </w:p>
    <w:p>
      <w:pPr>
        <w:spacing w:line="360" w:lineRule="auto"/>
        <w:ind w:firstLine="420" w:firstLineChars="200"/>
        <w:rPr>
          <w:rFonts w:ascii="宋体" w:hAnsi="宋体" w:cs="宋体"/>
        </w:rPr>
      </w:pPr>
      <w:bookmarkStart w:id="470" w:name="_Toc247527601"/>
      <w:bookmarkStart w:id="471" w:name="_Toc144974544"/>
      <w:bookmarkStart w:id="472" w:name="_Toc436316981"/>
      <w:bookmarkStart w:id="473" w:name="_Toc435930077"/>
      <w:bookmarkStart w:id="474" w:name="_Toc19524"/>
      <w:bookmarkStart w:id="475" w:name="_Toc152045576"/>
      <w:bookmarkStart w:id="476" w:name="_Toc152042352"/>
      <w:bookmarkStart w:id="477" w:name="_Toc436315371"/>
      <w:bookmarkStart w:id="478" w:name="_Toc247514000"/>
      <w:bookmarkStart w:id="479" w:name="_Toc9821"/>
      <w:r>
        <w:rPr>
          <w:rFonts w:hint="eastAsia" w:ascii="宋体" w:hAnsi="宋体" w:cs="宋体"/>
        </w:rPr>
        <w:t>招标人不得泄漏招标投标活动中应当保密的情况和资料，不得与投标人串通损害国家利益、社会公共利益或者他人合法权益。</w:t>
      </w:r>
    </w:p>
    <w:p>
      <w:pPr>
        <w:spacing w:line="360" w:lineRule="auto"/>
        <w:rPr>
          <w:rFonts w:ascii="宋体" w:hAnsi="宋体" w:cs="宋体"/>
          <w:b/>
          <w:sz w:val="24"/>
        </w:rPr>
      </w:pPr>
      <w:r>
        <w:rPr>
          <w:rFonts w:hint="eastAsia" w:ascii="宋体" w:hAnsi="宋体" w:cs="宋体"/>
          <w:b/>
          <w:sz w:val="24"/>
        </w:rPr>
        <w:t>9.2 对投标人的纪律要求</w:t>
      </w:r>
      <w:bookmarkEnd w:id="470"/>
      <w:bookmarkEnd w:id="471"/>
      <w:bookmarkEnd w:id="472"/>
      <w:bookmarkEnd w:id="473"/>
      <w:bookmarkEnd w:id="474"/>
      <w:bookmarkEnd w:id="475"/>
      <w:bookmarkEnd w:id="476"/>
      <w:bookmarkEnd w:id="477"/>
      <w:bookmarkEnd w:id="478"/>
      <w:bookmarkEnd w:id="479"/>
    </w:p>
    <w:p>
      <w:pPr>
        <w:spacing w:line="360" w:lineRule="auto"/>
        <w:ind w:firstLine="420" w:firstLineChars="200"/>
        <w:rPr>
          <w:rFonts w:ascii="宋体" w:hAnsi="宋体" w:cs="宋体"/>
        </w:rPr>
      </w:pPr>
      <w:bookmarkStart w:id="480" w:name="_Toc152042353"/>
      <w:bookmarkStart w:id="481" w:name="_Toc144974545"/>
      <w:bookmarkStart w:id="482" w:name="_Toc247527602"/>
      <w:bookmarkStart w:id="483" w:name="_Toc152045577"/>
      <w:bookmarkStart w:id="484" w:name="_Toc247514001"/>
      <w:r>
        <w:rPr>
          <w:rFonts w:hint="eastAsia" w:ascii="宋体" w:hAnsi="宋体" w:cs="宋体"/>
        </w:rPr>
        <w:t>投标人不得相互串通投标或者与招标人串通投标，不得向招标人或者评标委员会成员行贿谋取中标，不得以他人名义投标或者以其它方式弄虚作假骗取中标；投标人不得以任何方式干扰、影响评标工作。</w:t>
      </w:r>
    </w:p>
    <w:p>
      <w:pPr>
        <w:spacing w:line="360" w:lineRule="auto"/>
        <w:rPr>
          <w:rFonts w:ascii="宋体" w:hAnsi="宋体" w:cs="宋体"/>
          <w:b/>
          <w:sz w:val="24"/>
        </w:rPr>
      </w:pPr>
      <w:bookmarkStart w:id="485" w:name="_Toc435930078"/>
      <w:bookmarkStart w:id="486" w:name="_Toc16372"/>
      <w:bookmarkStart w:id="487" w:name="_Toc27945"/>
      <w:bookmarkStart w:id="488" w:name="_Toc436315372"/>
      <w:bookmarkStart w:id="489" w:name="_Toc436316982"/>
      <w:r>
        <w:rPr>
          <w:rFonts w:hint="eastAsia" w:ascii="宋体" w:hAnsi="宋体" w:cs="宋体"/>
          <w:b/>
          <w:sz w:val="24"/>
        </w:rPr>
        <w:t>9.3 对评标委员会成员的纪律要求</w:t>
      </w:r>
      <w:bookmarkEnd w:id="480"/>
      <w:bookmarkEnd w:id="481"/>
      <w:bookmarkEnd w:id="482"/>
      <w:bookmarkEnd w:id="483"/>
      <w:bookmarkEnd w:id="484"/>
      <w:bookmarkEnd w:id="485"/>
      <w:bookmarkEnd w:id="486"/>
      <w:bookmarkEnd w:id="487"/>
      <w:bookmarkEnd w:id="488"/>
      <w:bookmarkEnd w:id="489"/>
    </w:p>
    <w:p>
      <w:pPr>
        <w:spacing w:line="360" w:lineRule="auto"/>
        <w:ind w:firstLine="420" w:firstLineChars="200"/>
        <w:rPr>
          <w:rFonts w:ascii="宋体" w:hAnsi="宋体" w:cs="宋体"/>
        </w:rPr>
      </w:pPr>
      <w:r>
        <w:rPr>
          <w:rFonts w:hint="eastAsia" w:ascii="宋体" w:hAnsi="宋体" w:cs="宋体"/>
        </w:rPr>
        <w:t>评标委员会成员不得收受他人的财物或者其他好处，不得向他人透漏对投标文件的评审和比较、中标候选人的推荐情况以及评标有关的其他情况。在评标活动中，评标委员会成员应当客观、公正地履行职责，遵守职业道德，不得擅离职守，影响评标程序正常进行，不得使用第三章“评标办法”没有规定的评审因素和标准进行评标。</w:t>
      </w:r>
    </w:p>
    <w:p>
      <w:pPr>
        <w:spacing w:line="360" w:lineRule="auto"/>
        <w:rPr>
          <w:rFonts w:ascii="宋体" w:hAnsi="宋体" w:cs="宋体"/>
          <w:b/>
          <w:sz w:val="24"/>
        </w:rPr>
      </w:pPr>
      <w:bookmarkStart w:id="490" w:name="_Toc152045578"/>
      <w:bookmarkStart w:id="491" w:name="_Toc247527603"/>
      <w:bookmarkStart w:id="492" w:name="_Toc29420"/>
      <w:bookmarkStart w:id="493" w:name="_Toc18683"/>
      <w:bookmarkStart w:id="494" w:name="_Toc435930079"/>
      <w:bookmarkStart w:id="495" w:name="_Toc436316983"/>
      <w:bookmarkStart w:id="496" w:name="_Toc152042354"/>
      <w:bookmarkStart w:id="497" w:name="_Toc436315373"/>
      <w:bookmarkStart w:id="498" w:name="_Toc247514002"/>
      <w:bookmarkStart w:id="499" w:name="_Toc144974546"/>
      <w:r>
        <w:rPr>
          <w:rFonts w:hint="eastAsia" w:ascii="宋体" w:hAnsi="宋体" w:cs="宋体"/>
          <w:b/>
          <w:sz w:val="24"/>
        </w:rPr>
        <w:t>9.4 对与评标活动有关的工作人员的纪律要求</w:t>
      </w:r>
      <w:bookmarkEnd w:id="490"/>
      <w:bookmarkEnd w:id="491"/>
      <w:bookmarkEnd w:id="492"/>
      <w:bookmarkEnd w:id="493"/>
      <w:bookmarkEnd w:id="494"/>
      <w:bookmarkEnd w:id="495"/>
      <w:bookmarkEnd w:id="496"/>
      <w:bookmarkEnd w:id="497"/>
      <w:bookmarkEnd w:id="498"/>
    </w:p>
    <w:p>
      <w:pPr>
        <w:spacing w:line="360" w:lineRule="auto"/>
        <w:ind w:firstLine="420" w:firstLineChars="200"/>
        <w:rPr>
          <w:rFonts w:ascii="宋体" w:hAnsi="宋体" w:cs="宋体"/>
        </w:rPr>
      </w:pPr>
      <w:bookmarkStart w:id="500" w:name="_Toc152042355"/>
      <w:r>
        <w:rPr>
          <w:rFonts w:hint="eastAsia" w:ascii="宋体" w:hAnsi="宋体" w:cs="宋体"/>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bookmarkEnd w:id="500"/>
    </w:p>
    <w:p>
      <w:pPr>
        <w:spacing w:line="360" w:lineRule="auto"/>
        <w:rPr>
          <w:rFonts w:ascii="宋体" w:hAnsi="宋体" w:cs="宋体"/>
          <w:b/>
          <w:sz w:val="24"/>
        </w:rPr>
      </w:pPr>
      <w:bookmarkStart w:id="501" w:name="_Toc247527604"/>
      <w:bookmarkStart w:id="502" w:name="_Toc1786"/>
      <w:bookmarkStart w:id="503" w:name="_Toc152045579"/>
      <w:bookmarkStart w:id="504" w:name="_Toc247514003"/>
      <w:bookmarkStart w:id="505" w:name="_Toc435930080"/>
      <w:bookmarkStart w:id="506" w:name="_Toc436316984"/>
      <w:bookmarkStart w:id="507" w:name="_Toc4473"/>
      <w:bookmarkStart w:id="508" w:name="_Toc436315374"/>
      <w:bookmarkStart w:id="509" w:name="_Toc152042356"/>
      <w:r>
        <w:rPr>
          <w:rFonts w:hint="eastAsia" w:ascii="宋体" w:hAnsi="宋体" w:cs="宋体"/>
          <w:b/>
          <w:sz w:val="24"/>
        </w:rPr>
        <w:t>9.5 投诉</w:t>
      </w:r>
      <w:bookmarkEnd w:id="499"/>
      <w:bookmarkEnd w:id="501"/>
      <w:bookmarkEnd w:id="502"/>
      <w:bookmarkEnd w:id="503"/>
      <w:bookmarkEnd w:id="504"/>
      <w:bookmarkEnd w:id="505"/>
      <w:bookmarkEnd w:id="506"/>
      <w:bookmarkEnd w:id="507"/>
      <w:bookmarkEnd w:id="508"/>
      <w:bookmarkEnd w:id="509"/>
    </w:p>
    <w:p>
      <w:pPr>
        <w:spacing w:line="360" w:lineRule="auto"/>
        <w:ind w:firstLine="420" w:firstLineChars="200"/>
        <w:rPr>
          <w:rFonts w:ascii="宋体" w:hAnsi="宋体" w:cs="宋体"/>
        </w:rPr>
      </w:pPr>
      <w:r>
        <w:rPr>
          <w:rFonts w:hint="eastAsia" w:ascii="宋体" w:hAnsi="宋体" w:cs="宋体"/>
        </w:rPr>
        <w:t>投标人和其他利害关系人认为本次招标活动违反法律、法规和规章规定的，有权向有关行政监督部门投诉。</w:t>
      </w:r>
    </w:p>
    <w:p>
      <w:pPr>
        <w:pStyle w:val="5"/>
        <w:spacing w:line="360" w:lineRule="auto"/>
        <w:rPr>
          <w:rFonts w:ascii="宋体" w:hAnsi="宋体" w:eastAsia="宋体" w:cs="宋体"/>
        </w:rPr>
      </w:pPr>
      <w:bookmarkStart w:id="510" w:name="_Toc152042357"/>
      <w:bookmarkStart w:id="511" w:name="_Toc247514004"/>
      <w:bookmarkStart w:id="512" w:name="_Toc17800"/>
      <w:bookmarkStart w:id="513" w:name="_Toc3411"/>
      <w:bookmarkStart w:id="514" w:name="_Toc20049"/>
      <w:bookmarkStart w:id="515" w:name="_Toc247527605"/>
      <w:bookmarkStart w:id="516" w:name="_Toc29369"/>
      <w:bookmarkStart w:id="517" w:name="_Toc144974547"/>
      <w:bookmarkStart w:id="518" w:name="_Toc14517"/>
      <w:bookmarkStart w:id="519" w:name="_Toc152045580"/>
      <w:r>
        <w:rPr>
          <w:rFonts w:hint="eastAsia" w:ascii="宋体" w:hAnsi="宋体" w:eastAsia="宋体" w:cs="宋体"/>
        </w:rPr>
        <w:t>10. 需要补充的其他内容</w:t>
      </w:r>
      <w:bookmarkEnd w:id="510"/>
      <w:bookmarkEnd w:id="511"/>
      <w:bookmarkEnd w:id="512"/>
      <w:bookmarkEnd w:id="513"/>
      <w:bookmarkEnd w:id="514"/>
      <w:bookmarkEnd w:id="515"/>
      <w:bookmarkEnd w:id="516"/>
      <w:bookmarkEnd w:id="517"/>
      <w:bookmarkEnd w:id="518"/>
      <w:bookmarkEnd w:id="519"/>
    </w:p>
    <w:p>
      <w:pPr>
        <w:spacing w:line="360" w:lineRule="auto"/>
        <w:ind w:firstLine="420" w:firstLineChars="200"/>
        <w:rPr>
          <w:rFonts w:ascii="宋体" w:hAnsi="宋体" w:cs="宋体"/>
        </w:rPr>
      </w:pPr>
      <w:r>
        <w:rPr>
          <w:rFonts w:hint="eastAsia" w:ascii="宋体" w:hAnsi="宋体" w:cs="宋体"/>
        </w:rPr>
        <w:t>需要补充的其他内容：见投标人须知前附表。</w:t>
      </w:r>
    </w:p>
    <w:p>
      <w:pPr>
        <w:spacing w:line="400" w:lineRule="exact"/>
        <w:rPr>
          <w:rFonts w:ascii="宋体" w:hAnsi="宋体" w:cs="宋体"/>
        </w:rPr>
      </w:pPr>
    </w:p>
    <w:p>
      <w:pPr>
        <w:pStyle w:val="6"/>
        <w:pageBreakBefore/>
        <w:spacing w:line="400" w:lineRule="exact"/>
        <w:rPr>
          <w:rFonts w:ascii="宋体" w:hAnsi="宋体" w:cs="宋体"/>
        </w:rPr>
      </w:pPr>
      <w:bookmarkStart w:id="520" w:name="_Toc8331"/>
      <w:bookmarkStart w:id="521" w:name="_Toc2539"/>
      <w:bookmarkStart w:id="522" w:name="_Toc17583"/>
      <w:bookmarkStart w:id="523" w:name="_Toc10720"/>
      <w:bookmarkStart w:id="524" w:name="_Toc23426"/>
      <w:bookmarkStart w:id="525" w:name="_Toc152042359"/>
      <w:bookmarkStart w:id="526" w:name="_Toc23439"/>
      <w:bookmarkStart w:id="527" w:name="_Toc429577397"/>
      <w:bookmarkStart w:id="528" w:name="_Toc9041"/>
      <w:bookmarkStart w:id="529" w:name="_Toc30695"/>
      <w:bookmarkStart w:id="530" w:name="_Toc20433"/>
      <w:bookmarkStart w:id="531" w:name="_Toc144974549"/>
      <w:bookmarkStart w:id="532" w:name="_Toc13499"/>
      <w:bookmarkStart w:id="533" w:name="_Toc25293"/>
      <w:bookmarkStart w:id="534" w:name="_Toc5299"/>
      <w:bookmarkStart w:id="535" w:name="_Toc367957519"/>
      <w:bookmarkStart w:id="536" w:name="_Toc152045582"/>
      <w:bookmarkStart w:id="537" w:name="_Toc25010"/>
      <w:r>
        <w:rPr>
          <w:rFonts w:hint="eastAsia" w:ascii="宋体" w:hAnsi="宋体" w:cs="宋体"/>
        </w:rPr>
        <w:t>附表一：问题澄清通知</w:t>
      </w:r>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p>
    <w:p>
      <w:pPr>
        <w:spacing w:line="440" w:lineRule="exact"/>
        <w:jc w:val="center"/>
        <w:rPr>
          <w:rFonts w:ascii="宋体" w:hAnsi="宋体" w:cs="宋体"/>
        </w:rPr>
      </w:pPr>
    </w:p>
    <w:p>
      <w:pPr>
        <w:spacing w:line="440" w:lineRule="exact"/>
        <w:jc w:val="center"/>
        <w:rPr>
          <w:rFonts w:ascii="宋体" w:hAnsi="宋体" w:cs="宋体"/>
          <w:sz w:val="28"/>
        </w:rPr>
      </w:pPr>
      <w:r>
        <w:rPr>
          <w:rFonts w:hint="eastAsia" w:ascii="宋体" w:hAnsi="宋体" w:cs="宋体"/>
          <w:sz w:val="28"/>
        </w:rPr>
        <w:t>问题澄清通知</w:t>
      </w:r>
    </w:p>
    <w:p>
      <w:pPr>
        <w:spacing w:line="440" w:lineRule="exact"/>
        <w:rPr>
          <w:rFonts w:ascii="宋体" w:hAnsi="宋体" w:cs="宋体"/>
        </w:rPr>
      </w:pPr>
      <w:r>
        <w:rPr>
          <w:rFonts w:hint="eastAsia" w:ascii="宋体" w:hAnsi="宋体" w:cs="宋体"/>
        </w:rPr>
        <w:t xml:space="preserve">                                编号：</w:t>
      </w:r>
    </w:p>
    <w:p>
      <w:pPr>
        <w:spacing w:line="440" w:lineRule="exact"/>
        <w:rPr>
          <w:rFonts w:ascii="宋体" w:hAnsi="宋体" w:cs="宋体"/>
        </w:rPr>
      </w:pPr>
      <w:r>
        <w:rPr>
          <w:rFonts w:hint="eastAsia" w:ascii="宋体" w:hAnsi="宋体" w:cs="宋体"/>
        </w:rPr>
        <w:t xml:space="preserve">  </w:t>
      </w:r>
      <w:r>
        <w:rPr>
          <w:rFonts w:hint="eastAsia" w:ascii="宋体" w:hAnsi="宋体" w:cs="宋体"/>
          <w:u w:val="single"/>
        </w:rPr>
        <w:t xml:space="preserve">            </w:t>
      </w:r>
      <w:r>
        <w:rPr>
          <w:rFonts w:hint="eastAsia" w:ascii="宋体" w:hAnsi="宋体" w:cs="宋体"/>
        </w:rPr>
        <w:t>（投标人名称）：</w:t>
      </w:r>
    </w:p>
    <w:p>
      <w:pPr>
        <w:spacing w:line="440" w:lineRule="exact"/>
        <w:rPr>
          <w:rFonts w:ascii="宋体" w:hAnsi="宋体" w:cs="宋体"/>
        </w:rPr>
      </w:pPr>
      <w:r>
        <w:rPr>
          <w:rFonts w:hint="eastAsia" w:ascii="宋体" w:hAnsi="宋体" w:cs="宋体"/>
        </w:rPr>
        <w:t xml:space="preserve">　　  </w:t>
      </w:r>
      <w:r>
        <w:rPr>
          <w:rFonts w:hint="eastAsia" w:ascii="宋体" w:hAnsi="宋体" w:cs="宋体"/>
          <w:u w:val="single"/>
        </w:rPr>
        <w:t xml:space="preserve">　             </w:t>
      </w:r>
      <w:r>
        <w:rPr>
          <w:rFonts w:hint="eastAsia" w:ascii="宋体" w:hAnsi="宋体" w:cs="宋体"/>
        </w:rPr>
        <w:t xml:space="preserve"> （项目名称）招标的评标委员会，对你方的投标文件进行了仔细的审查，现需你方对下列问题以书面形式予以澄清：</w:t>
      </w:r>
    </w:p>
    <w:p>
      <w:pPr>
        <w:spacing w:line="440" w:lineRule="exact"/>
        <w:rPr>
          <w:rFonts w:ascii="宋体" w:hAnsi="宋体" w:cs="宋体"/>
        </w:rPr>
      </w:pPr>
      <w:r>
        <w:rPr>
          <w:rFonts w:hint="eastAsia" w:ascii="宋体" w:hAnsi="宋体" w:cs="宋体"/>
        </w:rPr>
        <w:t>　　</w:t>
      </w:r>
    </w:p>
    <w:p>
      <w:pPr>
        <w:spacing w:line="440" w:lineRule="exact"/>
        <w:rPr>
          <w:rFonts w:ascii="宋体" w:hAnsi="宋体" w:cs="宋体"/>
        </w:rPr>
      </w:pPr>
      <w:r>
        <w:rPr>
          <w:rFonts w:hint="eastAsia" w:ascii="宋体" w:hAnsi="宋体" w:cs="宋体"/>
        </w:rPr>
        <w:t xml:space="preserve">    1.</w:t>
      </w:r>
    </w:p>
    <w:p>
      <w:pPr>
        <w:spacing w:line="440" w:lineRule="exact"/>
        <w:rPr>
          <w:rFonts w:ascii="宋体" w:hAnsi="宋体" w:cs="宋体"/>
        </w:rPr>
      </w:pPr>
      <w:r>
        <w:rPr>
          <w:rFonts w:hint="eastAsia" w:ascii="宋体" w:hAnsi="宋体" w:cs="宋体"/>
        </w:rPr>
        <w:t xml:space="preserve">    2.</w:t>
      </w:r>
    </w:p>
    <w:p>
      <w:pPr>
        <w:spacing w:line="440" w:lineRule="exact"/>
        <w:rPr>
          <w:rFonts w:ascii="宋体" w:hAnsi="宋体" w:cs="宋体"/>
        </w:rPr>
      </w:pPr>
      <w:r>
        <w:rPr>
          <w:rFonts w:hint="eastAsia" w:ascii="宋体" w:hAnsi="宋体" w:cs="宋体"/>
        </w:rPr>
        <w:t xml:space="preserve">     ......   </w:t>
      </w:r>
    </w:p>
    <w:p>
      <w:pPr>
        <w:spacing w:line="440" w:lineRule="exact"/>
        <w:rPr>
          <w:rFonts w:ascii="宋体" w:hAnsi="宋体" w:cs="宋体"/>
        </w:rPr>
      </w:pPr>
      <w:r>
        <w:rPr>
          <w:rFonts w:hint="eastAsia" w:ascii="宋体" w:hAnsi="宋体" w:cs="宋体"/>
        </w:rPr>
        <w:t>　　请将上述问题的澄清于</w:t>
      </w:r>
      <w:r>
        <w:rPr>
          <w:rFonts w:hint="eastAsia" w:ascii="宋体" w:hAnsi="宋体" w:cs="宋体"/>
          <w:u w:val="single"/>
        </w:rPr>
        <w:t xml:space="preserve">     </w:t>
      </w:r>
      <w:r>
        <w:rPr>
          <w:rFonts w:hint="eastAsia" w:ascii="宋体" w:hAnsi="宋体" w:cs="宋体"/>
        </w:rPr>
        <w:t>年</w:t>
      </w:r>
      <w:r>
        <w:rPr>
          <w:rFonts w:hint="eastAsia" w:ascii="宋体" w:hAnsi="宋体" w:cs="宋体"/>
          <w:u w:val="single"/>
        </w:rPr>
        <w:t xml:space="preserve">     </w:t>
      </w:r>
      <w:r>
        <w:rPr>
          <w:rFonts w:hint="eastAsia" w:ascii="宋体" w:hAnsi="宋体" w:cs="宋体"/>
        </w:rPr>
        <w:t>月</w:t>
      </w:r>
      <w:r>
        <w:rPr>
          <w:rFonts w:hint="eastAsia" w:ascii="宋体" w:hAnsi="宋体" w:cs="宋体"/>
          <w:u w:val="single"/>
        </w:rPr>
        <w:t xml:space="preserve">     </w:t>
      </w:r>
      <w:r>
        <w:rPr>
          <w:rFonts w:hint="eastAsia" w:ascii="宋体" w:hAnsi="宋体" w:cs="宋体"/>
        </w:rPr>
        <w:t>日</w:t>
      </w:r>
      <w:r>
        <w:rPr>
          <w:rFonts w:hint="eastAsia" w:ascii="宋体" w:hAnsi="宋体" w:cs="宋体"/>
          <w:u w:val="single"/>
        </w:rPr>
        <w:t xml:space="preserve">     </w:t>
      </w:r>
      <w:r>
        <w:rPr>
          <w:rFonts w:hint="eastAsia" w:ascii="宋体" w:hAnsi="宋体" w:cs="宋体"/>
        </w:rPr>
        <w:t>时前递交至</w:t>
      </w:r>
      <w:r>
        <w:rPr>
          <w:rFonts w:hint="eastAsia" w:ascii="宋体" w:hAnsi="宋体" w:cs="宋体"/>
          <w:u w:val="single"/>
        </w:rPr>
        <w:t xml:space="preserve">         </w:t>
      </w:r>
      <w:r>
        <w:rPr>
          <w:rFonts w:hint="eastAsia" w:ascii="宋体" w:hAnsi="宋体" w:cs="宋体"/>
        </w:rPr>
        <w:t>（详细地址）或传真至</w:t>
      </w:r>
      <w:r>
        <w:rPr>
          <w:rFonts w:hint="eastAsia" w:ascii="宋体" w:hAnsi="宋体" w:cs="宋体"/>
          <w:u w:val="single"/>
        </w:rPr>
        <w:t xml:space="preserve">         </w:t>
      </w:r>
      <w:r>
        <w:rPr>
          <w:rFonts w:hint="eastAsia" w:ascii="宋体" w:hAnsi="宋体" w:cs="宋体"/>
        </w:rPr>
        <w:t>（传真号码）。采用传真方式的，应在</w:t>
      </w:r>
      <w:r>
        <w:rPr>
          <w:rFonts w:hint="eastAsia" w:ascii="宋体" w:hAnsi="宋体" w:cs="宋体"/>
          <w:u w:val="single"/>
        </w:rPr>
        <w:t xml:space="preserve">     </w:t>
      </w:r>
      <w:r>
        <w:rPr>
          <w:rFonts w:hint="eastAsia" w:ascii="宋体" w:hAnsi="宋体" w:cs="宋体"/>
        </w:rPr>
        <w:t>年</w:t>
      </w:r>
      <w:r>
        <w:rPr>
          <w:rFonts w:hint="eastAsia" w:ascii="宋体" w:hAnsi="宋体" w:cs="宋体"/>
          <w:u w:val="single"/>
        </w:rPr>
        <w:t xml:space="preserve">     </w:t>
      </w:r>
      <w:r>
        <w:rPr>
          <w:rFonts w:hint="eastAsia" w:ascii="宋体" w:hAnsi="宋体" w:cs="宋体"/>
        </w:rPr>
        <w:t>月</w:t>
      </w:r>
      <w:r>
        <w:rPr>
          <w:rFonts w:hint="eastAsia" w:ascii="宋体" w:hAnsi="宋体" w:cs="宋体"/>
          <w:u w:val="single"/>
        </w:rPr>
        <w:t xml:space="preserve">     </w:t>
      </w:r>
      <w:r>
        <w:rPr>
          <w:rFonts w:hint="eastAsia" w:ascii="宋体" w:hAnsi="宋体" w:cs="宋体"/>
        </w:rPr>
        <w:t>日</w:t>
      </w:r>
      <w:r>
        <w:rPr>
          <w:rFonts w:hint="eastAsia" w:ascii="宋体" w:hAnsi="宋体" w:cs="宋体"/>
          <w:u w:val="single"/>
        </w:rPr>
        <w:t xml:space="preserve">     </w:t>
      </w:r>
      <w:r>
        <w:rPr>
          <w:rFonts w:hint="eastAsia" w:ascii="宋体" w:hAnsi="宋体" w:cs="宋体"/>
        </w:rPr>
        <w:t>时前将原件递交至</w:t>
      </w:r>
      <w:r>
        <w:rPr>
          <w:rFonts w:hint="eastAsia" w:ascii="宋体" w:hAnsi="宋体" w:cs="宋体"/>
          <w:u w:val="single"/>
        </w:rPr>
        <w:t xml:space="preserve">         </w:t>
      </w:r>
      <w:r>
        <w:rPr>
          <w:rFonts w:hint="eastAsia" w:ascii="宋体" w:hAnsi="宋体" w:cs="宋体"/>
        </w:rPr>
        <w:t>（详细地址）。</w:t>
      </w:r>
    </w:p>
    <w:p>
      <w:pPr>
        <w:spacing w:line="440" w:lineRule="exact"/>
        <w:rPr>
          <w:rFonts w:ascii="宋体" w:hAnsi="宋体" w:cs="宋体"/>
        </w:rPr>
      </w:pPr>
    </w:p>
    <w:p>
      <w:pPr>
        <w:spacing w:line="440" w:lineRule="exact"/>
        <w:rPr>
          <w:rFonts w:ascii="宋体" w:hAnsi="宋体" w:cs="宋体"/>
        </w:rPr>
      </w:pPr>
    </w:p>
    <w:p>
      <w:pPr>
        <w:spacing w:line="440" w:lineRule="exact"/>
        <w:jc w:val="right"/>
        <w:rPr>
          <w:rFonts w:ascii="宋体" w:hAnsi="宋体" w:cs="宋体"/>
        </w:rPr>
      </w:pPr>
      <w:r>
        <w:rPr>
          <w:rFonts w:hint="eastAsia" w:ascii="宋体" w:hAnsi="宋体" w:cs="宋体"/>
        </w:rPr>
        <w:t xml:space="preserve">                               评标工作组负责人：</w:t>
      </w:r>
      <w:r>
        <w:rPr>
          <w:rFonts w:hint="eastAsia" w:ascii="宋体" w:hAnsi="宋体" w:cs="宋体"/>
          <w:u w:val="single"/>
        </w:rPr>
        <w:t xml:space="preserve">           </w:t>
      </w:r>
      <w:r>
        <w:rPr>
          <w:rFonts w:hint="eastAsia" w:ascii="宋体" w:hAnsi="宋体" w:cs="宋体"/>
        </w:rPr>
        <w:t>（签字）</w:t>
      </w:r>
    </w:p>
    <w:p>
      <w:pPr>
        <w:spacing w:line="440" w:lineRule="exact"/>
        <w:jc w:val="right"/>
        <w:rPr>
          <w:rFonts w:ascii="宋体" w:hAnsi="宋体" w:cs="宋体"/>
        </w:rPr>
      </w:pPr>
      <w:r>
        <w:rPr>
          <w:rFonts w:hint="eastAsia" w:ascii="宋体" w:hAnsi="宋体" w:cs="宋体"/>
        </w:rPr>
        <w:t xml:space="preserve">                                  </w:t>
      </w:r>
      <w:r>
        <w:rPr>
          <w:rFonts w:hint="eastAsia" w:ascii="宋体" w:hAnsi="宋体" w:cs="宋体"/>
          <w:u w:val="single"/>
        </w:rPr>
        <w:t xml:space="preserve">        </w:t>
      </w:r>
      <w:r>
        <w:rPr>
          <w:rFonts w:hint="eastAsia" w:ascii="宋体" w:hAnsi="宋体" w:cs="宋体"/>
        </w:rPr>
        <w:t xml:space="preserve"> 年 </w:t>
      </w:r>
      <w:r>
        <w:rPr>
          <w:rFonts w:hint="eastAsia" w:ascii="宋体" w:hAnsi="宋体" w:cs="宋体"/>
          <w:u w:val="single"/>
        </w:rPr>
        <w:t xml:space="preserve">        </w:t>
      </w:r>
      <w:r>
        <w:rPr>
          <w:rFonts w:hint="eastAsia" w:ascii="宋体" w:hAnsi="宋体" w:cs="宋体"/>
        </w:rPr>
        <w:t xml:space="preserve">月 </w:t>
      </w:r>
      <w:r>
        <w:rPr>
          <w:rFonts w:hint="eastAsia" w:ascii="宋体" w:hAnsi="宋体" w:cs="宋体"/>
          <w:u w:val="single"/>
        </w:rPr>
        <w:t xml:space="preserve">        </w:t>
      </w:r>
      <w:r>
        <w:rPr>
          <w:rFonts w:hint="eastAsia" w:ascii="宋体" w:hAnsi="宋体" w:cs="宋体"/>
        </w:rPr>
        <w:t>日</w:t>
      </w:r>
    </w:p>
    <w:p>
      <w:pPr>
        <w:pStyle w:val="6"/>
        <w:pageBreakBefore/>
        <w:spacing w:line="400" w:lineRule="exact"/>
        <w:rPr>
          <w:rFonts w:ascii="宋体" w:hAnsi="宋体" w:cs="宋体"/>
        </w:rPr>
      </w:pPr>
      <w:bookmarkStart w:id="538" w:name="_Toc11745"/>
      <w:bookmarkStart w:id="539" w:name="_Toc27663"/>
      <w:bookmarkStart w:id="540" w:name="_Toc144974550"/>
      <w:bookmarkStart w:id="541" w:name="_Toc8192"/>
      <w:bookmarkStart w:id="542" w:name="_Toc367957520"/>
      <w:bookmarkStart w:id="543" w:name="_Toc14381"/>
      <w:bookmarkStart w:id="544" w:name="_Toc18308"/>
      <w:bookmarkStart w:id="545" w:name="_Toc12137"/>
      <w:bookmarkStart w:id="546" w:name="_Toc9221"/>
      <w:bookmarkStart w:id="547" w:name="_Toc24452"/>
      <w:bookmarkStart w:id="548" w:name="_Toc12341"/>
      <w:bookmarkStart w:id="549" w:name="_Toc26695"/>
      <w:bookmarkStart w:id="550" w:name="_Toc429577398"/>
      <w:bookmarkStart w:id="551" w:name="_Toc14397"/>
      <w:bookmarkStart w:id="552" w:name="_Toc10042"/>
      <w:bookmarkStart w:id="553" w:name="_Toc152045583"/>
      <w:bookmarkStart w:id="554" w:name="_Toc152042360"/>
      <w:bookmarkStart w:id="555" w:name="_Toc6364"/>
      <w:r>
        <w:rPr>
          <w:rFonts w:hint="eastAsia" w:ascii="宋体" w:hAnsi="宋体" w:cs="宋体"/>
        </w:rPr>
        <w:t>附表二：问题的澄清</w:t>
      </w:r>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p>
    <w:p>
      <w:pPr>
        <w:spacing w:line="400" w:lineRule="exact"/>
        <w:jc w:val="center"/>
        <w:rPr>
          <w:rFonts w:ascii="宋体" w:hAnsi="宋体" w:cs="宋体"/>
          <w:sz w:val="28"/>
        </w:rPr>
      </w:pPr>
    </w:p>
    <w:p>
      <w:pPr>
        <w:spacing w:line="400" w:lineRule="exact"/>
        <w:jc w:val="center"/>
        <w:rPr>
          <w:rFonts w:ascii="宋体" w:hAnsi="宋体" w:cs="宋体"/>
          <w:sz w:val="28"/>
        </w:rPr>
      </w:pPr>
      <w:r>
        <w:rPr>
          <w:rFonts w:hint="eastAsia" w:ascii="宋体" w:hAnsi="宋体" w:cs="宋体"/>
          <w:sz w:val="28"/>
        </w:rPr>
        <w:t>问题的澄清</w:t>
      </w:r>
    </w:p>
    <w:p>
      <w:pPr>
        <w:spacing w:line="400" w:lineRule="exact"/>
        <w:ind w:firstLine="3465" w:firstLineChars="1650"/>
        <w:rPr>
          <w:rFonts w:ascii="宋体" w:hAnsi="宋体" w:cs="宋体"/>
        </w:rPr>
      </w:pPr>
      <w:r>
        <w:rPr>
          <w:rFonts w:hint="eastAsia" w:ascii="宋体" w:hAnsi="宋体" w:cs="宋体"/>
        </w:rPr>
        <w:t xml:space="preserve">编号： </w:t>
      </w:r>
    </w:p>
    <w:p>
      <w:pPr>
        <w:spacing w:line="440" w:lineRule="exact"/>
        <w:rPr>
          <w:rFonts w:ascii="宋体" w:hAnsi="宋体" w:cs="宋体"/>
        </w:rPr>
      </w:pPr>
      <w:r>
        <w:rPr>
          <w:rFonts w:hint="eastAsia" w:ascii="宋体" w:hAnsi="宋体" w:cs="宋体"/>
          <w:u w:val="single"/>
        </w:rPr>
        <w:t xml:space="preserve">          </w:t>
      </w:r>
      <w:r>
        <w:rPr>
          <w:rFonts w:hint="eastAsia" w:ascii="宋体" w:hAnsi="宋体" w:cs="宋体"/>
        </w:rPr>
        <w:t>（项目名称）招标评标委员会：</w:t>
      </w:r>
    </w:p>
    <w:p>
      <w:pPr>
        <w:spacing w:line="440" w:lineRule="exact"/>
        <w:rPr>
          <w:rFonts w:ascii="宋体" w:hAnsi="宋体" w:cs="宋体"/>
        </w:rPr>
      </w:pPr>
      <w:r>
        <w:rPr>
          <w:rFonts w:hint="eastAsia" w:ascii="宋体" w:hAnsi="宋体" w:cs="宋体"/>
        </w:rPr>
        <w:t>　　问题澄清通知（编号：</w:t>
      </w:r>
      <w:r>
        <w:rPr>
          <w:rFonts w:hint="eastAsia" w:ascii="宋体" w:hAnsi="宋体" w:cs="宋体"/>
          <w:u w:val="single"/>
        </w:rPr>
        <w:t xml:space="preserve">        </w:t>
      </w:r>
      <w:r>
        <w:rPr>
          <w:rFonts w:hint="eastAsia" w:ascii="宋体" w:hAnsi="宋体" w:cs="宋体"/>
        </w:rPr>
        <w:t>）已收悉，现澄清如下：</w:t>
      </w:r>
    </w:p>
    <w:p>
      <w:pPr>
        <w:spacing w:line="440" w:lineRule="exact"/>
        <w:rPr>
          <w:rFonts w:ascii="宋体" w:hAnsi="宋体" w:cs="宋体"/>
        </w:rPr>
      </w:pPr>
      <w:r>
        <w:rPr>
          <w:rFonts w:hint="eastAsia" w:ascii="宋体" w:hAnsi="宋体" w:cs="宋体"/>
        </w:rPr>
        <w:t>　     1.</w:t>
      </w:r>
    </w:p>
    <w:p>
      <w:pPr>
        <w:spacing w:line="440" w:lineRule="exact"/>
        <w:rPr>
          <w:rFonts w:ascii="宋体" w:hAnsi="宋体" w:cs="宋体"/>
        </w:rPr>
      </w:pPr>
      <w:r>
        <w:rPr>
          <w:rFonts w:hint="eastAsia" w:ascii="宋体" w:hAnsi="宋体" w:cs="宋体"/>
        </w:rPr>
        <w:t>　     2.</w:t>
      </w:r>
    </w:p>
    <w:p>
      <w:pPr>
        <w:spacing w:line="440" w:lineRule="exact"/>
        <w:rPr>
          <w:rFonts w:ascii="宋体" w:hAnsi="宋体" w:cs="宋体"/>
        </w:rPr>
      </w:pPr>
      <w:r>
        <w:rPr>
          <w:rFonts w:hint="eastAsia" w:ascii="宋体" w:hAnsi="宋体" w:cs="宋体"/>
        </w:rPr>
        <w:t>　    .....</w:t>
      </w:r>
    </w:p>
    <w:p>
      <w:pPr>
        <w:spacing w:line="440" w:lineRule="exact"/>
        <w:jc w:val="right"/>
        <w:rPr>
          <w:rFonts w:ascii="宋体" w:hAnsi="宋体" w:cs="宋体"/>
        </w:rPr>
      </w:pPr>
      <w:r>
        <w:rPr>
          <w:rFonts w:hint="eastAsia" w:ascii="宋体" w:hAnsi="宋体" w:cs="宋体"/>
        </w:rPr>
        <w:t>　　　　　　　　　　　　　　　投标人：</w:t>
      </w:r>
      <w:r>
        <w:rPr>
          <w:rFonts w:hint="eastAsia" w:ascii="宋体" w:hAnsi="宋体" w:cs="宋体"/>
          <w:u w:val="single"/>
        </w:rPr>
        <w:t xml:space="preserve">                        </w:t>
      </w:r>
      <w:r>
        <w:rPr>
          <w:rFonts w:hint="eastAsia" w:ascii="宋体" w:hAnsi="宋体" w:cs="宋体"/>
        </w:rPr>
        <w:t>（单位全称）</w:t>
      </w:r>
    </w:p>
    <w:p>
      <w:pPr>
        <w:spacing w:line="440" w:lineRule="exact"/>
        <w:jc w:val="right"/>
        <w:rPr>
          <w:rFonts w:ascii="宋体" w:hAnsi="宋体" w:cs="宋体"/>
        </w:rPr>
      </w:pPr>
      <w:r>
        <w:rPr>
          <w:rFonts w:hint="eastAsia" w:ascii="宋体" w:hAnsi="宋体" w:cs="宋体"/>
        </w:rPr>
        <w:t>　　　　　　　　　　　　　　　法定代表人或其委托代理人：</w:t>
      </w:r>
      <w:r>
        <w:rPr>
          <w:rFonts w:hint="eastAsia" w:ascii="宋体" w:hAnsi="宋体" w:cs="宋体"/>
          <w:u w:val="single"/>
        </w:rPr>
        <w:t xml:space="preserve">          </w:t>
      </w:r>
      <w:r>
        <w:rPr>
          <w:rFonts w:hint="eastAsia" w:ascii="宋体" w:hAnsi="宋体" w:cs="宋体"/>
        </w:rPr>
        <w:t>（签字）</w:t>
      </w:r>
    </w:p>
    <w:p>
      <w:pPr>
        <w:spacing w:line="440" w:lineRule="exact"/>
        <w:jc w:val="right"/>
        <w:rPr>
          <w:rFonts w:ascii="宋体" w:hAnsi="宋体" w:cs="宋体"/>
        </w:rPr>
      </w:pPr>
      <w:r>
        <w:rPr>
          <w:rFonts w:hint="eastAsia" w:ascii="宋体" w:hAnsi="宋体" w:cs="宋体"/>
        </w:rPr>
        <w:t xml:space="preserve">　　　　　　　　　　　　　　　            </w:t>
      </w:r>
      <w:r>
        <w:rPr>
          <w:rFonts w:hint="eastAsia" w:ascii="宋体" w:hAnsi="宋体" w:cs="宋体"/>
          <w:u w:val="single"/>
        </w:rPr>
        <w:t xml:space="preserve">        </w:t>
      </w:r>
      <w:r>
        <w:rPr>
          <w:rFonts w:hint="eastAsia" w:ascii="宋体" w:hAnsi="宋体" w:cs="宋体"/>
        </w:rPr>
        <w:t>年</w:t>
      </w:r>
      <w:r>
        <w:rPr>
          <w:rFonts w:hint="eastAsia" w:ascii="宋体" w:hAnsi="宋体" w:cs="宋体"/>
          <w:u w:val="single"/>
        </w:rPr>
        <w:t xml:space="preserve">        </w:t>
      </w:r>
      <w:r>
        <w:rPr>
          <w:rFonts w:hint="eastAsia" w:ascii="宋体" w:hAnsi="宋体" w:cs="宋体"/>
        </w:rPr>
        <w:t>月</w:t>
      </w:r>
      <w:r>
        <w:rPr>
          <w:rFonts w:hint="eastAsia" w:ascii="宋体" w:hAnsi="宋体" w:cs="宋体"/>
          <w:u w:val="single"/>
        </w:rPr>
        <w:t xml:space="preserve">        </w:t>
      </w:r>
      <w:r>
        <w:rPr>
          <w:rFonts w:hint="eastAsia" w:ascii="宋体" w:hAnsi="宋体" w:cs="宋体"/>
        </w:rPr>
        <w:t>日</w:t>
      </w:r>
    </w:p>
    <w:p>
      <w:pPr>
        <w:spacing w:line="400" w:lineRule="exact"/>
        <w:rPr>
          <w:rFonts w:ascii="宋体" w:hAnsi="宋体" w:cs="宋体"/>
        </w:rPr>
      </w:pPr>
    </w:p>
    <w:p>
      <w:pPr>
        <w:pStyle w:val="4"/>
        <w:pageBreakBefore/>
        <w:jc w:val="center"/>
        <w:rPr>
          <w:rFonts w:ascii="宋体" w:hAnsi="宋体" w:cs="宋体"/>
        </w:rPr>
      </w:pPr>
      <w:bookmarkStart w:id="556" w:name="_Toc247514022"/>
      <w:bookmarkStart w:id="557" w:name="_Toc152045598"/>
      <w:bookmarkStart w:id="558" w:name="_Toc24114"/>
      <w:bookmarkStart w:id="559" w:name="_Toc247527623"/>
      <w:bookmarkStart w:id="560" w:name="_Toc152042375"/>
      <w:bookmarkStart w:id="561" w:name="_Toc4757"/>
      <w:bookmarkStart w:id="562" w:name="_Toc144974565"/>
      <w:bookmarkStart w:id="563" w:name="_Toc13551"/>
      <w:bookmarkStart w:id="564" w:name="_Toc14882"/>
      <w:bookmarkStart w:id="565" w:name="_Toc1342"/>
      <w:bookmarkStart w:id="566" w:name="_Toc152045609"/>
      <w:bookmarkStart w:id="567" w:name="_Toc247527634"/>
      <w:bookmarkStart w:id="568" w:name="_Toc144974577"/>
      <w:bookmarkStart w:id="569" w:name="_Toc152042387"/>
      <w:bookmarkStart w:id="570" w:name="_Toc247514033"/>
      <w:r>
        <w:rPr>
          <w:rFonts w:hint="eastAsia" w:ascii="宋体" w:hAnsi="宋体" w:cs="宋体"/>
        </w:rPr>
        <w:t>第三章 评标办法（综合评估法）</w:t>
      </w:r>
      <w:bookmarkEnd w:id="556"/>
      <w:bookmarkEnd w:id="557"/>
      <w:bookmarkEnd w:id="558"/>
      <w:bookmarkEnd w:id="559"/>
      <w:bookmarkEnd w:id="560"/>
      <w:bookmarkEnd w:id="561"/>
      <w:bookmarkEnd w:id="562"/>
      <w:bookmarkEnd w:id="563"/>
      <w:bookmarkEnd w:id="564"/>
      <w:bookmarkEnd w:id="565"/>
      <w:bookmarkStart w:id="571" w:name="_Toc152045599"/>
      <w:bookmarkStart w:id="572" w:name="_Toc152042376"/>
      <w:bookmarkStart w:id="573" w:name="_Toc247514023"/>
      <w:bookmarkStart w:id="574" w:name="_Toc144974566"/>
      <w:bookmarkStart w:id="575" w:name="_Toc247527624"/>
    </w:p>
    <w:p>
      <w:pPr>
        <w:pStyle w:val="5"/>
        <w:spacing w:before="0" w:after="0" w:line="360" w:lineRule="auto"/>
        <w:jc w:val="center"/>
        <w:rPr>
          <w:rFonts w:ascii="宋体" w:hAnsi="宋体" w:cs="宋体"/>
        </w:rPr>
      </w:pPr>
      <w:bookmarkStart w:id="576" w:name="_Toc6301"/>
      <w:bookmarkStart w:id="577" w:name="_Toc17153"/>
      <w:bookmarkStart w:id="578" w:name="_Toc2198"/>
      <w:bookmarkStart w:id="579" w:name="_Toc23601"/>
      <w:bookmarkStart w:id="580" w:name="_Toc16049"/>
      <w:r>
        <w:rPr>
          <w:rFonts w:hint="eastAsia" w:ascii="宋体" w:hAnsi="宋体" w:eastAsia="宋体" w:cs="宋体"/>
        </w:rPr>
        <w:t>评标办法前附表</w:t>
      </w:r>
      <w:bookmarkEnd w:id="571"/>
      <w:bookmarkEnd w:id="572"/>
      <w:bookmarkEnd w:id="573"/>
      <w:bookmarkEnd w:id="574"/>
      <w:bookmarkEnd w:id="575"/>
      <w:bookmarkEnd w:id="576"/>
      <w:bookmarkEnd w:id="577"/>
      <w:bookmarkEnd w:id="578"/>
      <w:bookmarkEnd w:id="579"/>
      <w:bookmarkEnd w:id="580"/>
    </w:p>
    <w:tbl>
      <w:tblPr>
        <w:tblStyle w:val="26"/>
        <w:tblW w:w="9443" w:type="dxa"/>
        <w:tblInd w:w="-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8"/>
        <w:gridCol w:w="761"/>
        <w:gridCol w:w="2027"/>
        <w:gridCol w:w="5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699" w:type="dxa"/>
            <w:gridSpan w:val="2"/>
            <w:vAlign w:val="center"/>
          </w:tcPr>
          <w:p>
            <w:pPr>
              <w:jc w:val="center"/>
              <w:rPr>
                <w:rFonts w:ascii="宋体" w:hAnsi="宋体" w:cs="宋体"/>
                <w:b/>
              </w:rPr>
            </w:pPr>
            <w:r>
              <w:rPr>
                <w:rFonts w:hint="eastAsia" w:ascii="宋体" w:hAnsi="宋体" w:cs="宋体"/>
                <w:b/>
              </w:rPr>
              <w:t>条款号</w:t>
            </w:r>
          </w:p>
        </w:tc>
        <w:tc>
          <w:tcPr>
            <w:tcW w:w="2027" w:type="dxa"/>
            <w:vAlign w:val="center"/>
          </w:tcPr>
          <w:p>
            <w:pPr>
              <w:jc w:val="center"/>
              <w:rPr>
                <w:rFonts w:ascii="宋体" w:hAnsi="宋体" w:cs="宋体"/>
                <w:b/>
              </w:rPr>
            </w:pPr>
            <w:r>
              <w:rPr>
                <w:rFonts w:hint="eastAsia" w:ascii="宋体" w:hAnsi="宋体" w:cs="宋体"/>
                <w:b/>
              </w:rPr>
              <w:t>评审因素</w:t>
            </w:r>
          </w:p>
        </w:tc>
        <w:tc>
          <w:tcPr>
            <w:tcW w:w="5717" w:type="dxa"/>
            <w:vAlign w:val="center"/>
          </w:tcPr>
          <w:p>
            <w:pPr>
              <w:jc w:val="center"/>
              <w:rPr>
                <w:rFonts w:ascii="宋体" w:hAnsi="宋体" w:cs="宋体"/>
                <w:b/>
              </w:rPr>
            </w:pPr>
            <w:r>
              <w:rPr>
                <w:rFonts w:hint="eastAsia" w:ascii="宋体" w:hAnsi="宋体" w:cs="宋体"/>
                <w:b/>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938" w:type="dxa"/>
            <w:vMerge w:val="restart"/>
            <w:vAlign w:val="center"/>
          </w:tcPr>
          <w:p>
            <w:pPr>
              <w:jc w:val="center"/>
              <w:rPr>
                <w:rFonts w:ascii="宋体" w:hAnsi="宋体" w:cs="宋体"/>
              </w:rPr>
            </w:pPr>
            <w:r>
              <w:rPr>
                <w:rFonts w:hint="eastAsia" w:ascii="宋体" w:hAnsi="宋体" w:cs="宋体"/>
              </w:rPr>
              <w:t>2.1.1</w:t>
            </w:r>
          </w:p>
        </w:tc>
        <w:tc>
          <w:tcPr>
            <w:tcW w:w="761" w:type="dxa"/>
            <w:vMerge w:val="restart"/>
            <w:vAlign w:val="center"/>
          </w:tcPr>
          <w:p>
            <w:pPr>
              <w:ind w:left="-840" w:leftChars="-400" w:firstLine="840" w:firstLineChars="400"/>
              <w:jc w:val="center"/>
              <w:rPr>
                <w:rFonts w:ascii="宋体" w:hAnsi="宋体" w:cs="宋体"/>
              </w:rPr>
            </w:pPr>
            <w:r>
              <w:rPr>
                <w:rFonts w:hint="eastAsia" w:ascii="宋体" w:hAnsi="宋体" w:cs="宋体"/>
              </w:rPr>
              <w:t>形式</w:t>
            </w:r>
          </w:p>
          <w:p>
            <w:pPr>
              <w:jc w:val="center"/>
              <w:rPr>
                <w:rFonts w:ascii="宋体" w:hAnsi="宋体" w:cs="宋体"/>
              </w:rPr>
            </w:pPr>
            <w:r>
              <w:rPr>
                <w:rFonts w:hint="eastAsia" w:ascii="宋体" w:hAnsi="宋体" w:cs="宋体"/>
              </w:rPr>
              <w:t>评审</w:t>
            </w:r>
          </w:p>
          <w:p>
            <w:pPr>
              <w:jc w:val="center"/>
              <w:rPr>
                <w:rFonts w:ascii="宋体" w:hAnsi="宋体" w:cs="宋体"/>
              </w:rPr>
            </w:pPr>
            <w:r>
              <w:rPr>
                <w:rFonts w:hint="eastAsia" w:ascii="宋体" w:hAnsi="宋体" w:cs="宋体"/>
              </w:rPr>
              <w:t>标准</w:t>
            </w:r>
          </w:p>
        </w:tc>
        <w:tc>
          <w:tcPr>
            <w:tcW w:w="2027" w:type="dxa"/>
            <w:vAlign w:val="center"/>
          </w:tcPr>
          <w:p>
            <w:pPr>
              <w:jc w:val="center"/>
              <w:rPr>
                <w:rFonts w:ascii="宋体" w:hAnsi="宋体" w:cs="宋体"/>
              </w:rPr>
            </w:pPr>
            <w:r>
              <w:rPr>
                <w:rFonts w:hint="eastAsia" w:ascii="宋体" w:hAnsi="宋体" w:cs="宋体"/>
              </w:rPr>
              <w:t>投标人名称</w:t>
            </w:r>
          </w:p>
        </w:tc>
        <w:tc>
          <w:tcPr>
            <w:tcW w:w="5717" w:type="dxa"/>
            <w:vAlign w:val="center"/>
          </w:tcPr>
          <w:p>
            <w:pPr>
              <w:rPr>
                <w:rFonts w:ascii="宋体" w:hAnsi="宋体" w:cs="宋体"/>
              </w:rPr>
            </w:pPr>
            <w:r>
              <w:rPr>
                <w:rFonts w:hint="eastAsia" w:ascii="宋体" w:hAnsi="宋体" w:cs="宋体"/>
              </w:rPr>
              <w:t>与营业执照、资质证书一致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938" w:type="dxa"/>
            <w:vMerge w:val="continue"/>
            <w:vAlign w:val="center"/>
          </w:tcPr>
          <w:p>
            <w:pPr>
              <w:jc w:val="center"/>
              <w:rPr>
                <w:rFonts w:ascii="宋体" w:hAnsi="宋体" w:cs="宋体"/>
              </w:rPr>
            </w:pPr>
          </w:p>
        </w:tc>
        <w:tc>
          <w:tcPr>
            <w:tcW w:w="761" w:type="dxa"/>
            <w:vMerge w:val="continue"/>
            <w:vAlign w:val="center"/>
          </w:tcPr>
          <w:p>
            <w:pPr>
              <w:jc w:val="center"/>
              <w:rPr>
                <w:rFonts w:ascii="宋体" w:hAnsi="宋体" w:cs="宋体"/>
              </w:rPr>
            </w:pPr>
          </w:p>
        </w:tc>
        <w:tc>
          <w:tcPr>
            <w:tcW w:w="2027" w:type="dxa"/>
            <w:vAlign w:val="center"/>
          </w:tcPr>
          <w:p>
            <w:pPr>
              <w:jc w:val="center"/>
              <w:rPr>
                <w:rFonts w:ascii="宋体" w:hAnsi="宋体" w:cs="宋体"/>
              </w:rPr>
            </w:pPr>
            <w:r>
              <w:rPr>
                <w:rFonts w:hint="eastAsia" w:ascii="宋体" w:hAnsi="宋体" w:cs="宋体"/>
              </w:rPr>
              <w:t>投标文件签字盖章</w:t>
            </w:r>
          </w:p>
        </w:tc>
        <w:tc>
          <w:tcPr>
            <w:tcW w:w="5717" w:type="dxa"/>
            <w:vAlign w:val="center"/>
          </w:tcPr>
          <w:p>
            <w:pPr>
              <w:rPr>
                <w:rFonts w:ascii="宋体" w:hAnsi="宋体" w:cs="宋体"/>
              </w:rPr>
            </w:pPr>
            <w:r>
              <w:rPr>
                <w:rFonts w:hint="eastAsia" w:ascii="宋体" w:hAnsi="宋体" w:cs="宋体"/>
              </w:rPr>
              <w:t>符合第二章“投标人须知”要求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938" w:type="dxa"/>
            <w:vMerge w:val="continue"/>
            <w:vAlign w:val="center"/>
          </w:tcPr>
          <w:p>
            <w:pPr>
              <w:jc w:val="center"/>
              <w:rPr>
                <w:rFonts w:ascii="宋体" w:hAnsi="宋体" w:cs="宋体"/>
                <w:color w:val="000000" w:themeColor="text1"/>
                <w14:textFill>
                  <w14:solidFill>
                    <w14:schemeClr w14:val="tx1"/>
                  </w14:solidFill>
                </w14:textFill>
              </w:rPr>
            </w:pPr>
          </w:p>
        </w:tc>
        <w:tc>
          <w:tcPr>
            <w:tcW w:w="761" w:type="dxa"/>
            <w:vMerge w:val="continue"/>
            <w:vAlign w:val="center"/>
          </w:tcPr>
          <w:p>
            <w:pPr>
              <w:jc w:val="center"/>
              <w:rPr>
                <w:rFonts w:ascii="宋体" w:hAnsi="宋体" w:cs="宋体"/>
                <w:color w:val="000000" w:themeColor="text1"/>
                <w14:textFill>
                  <w14:solidFill>
                    <w14:schemeClr w14:val="tx1"/>
                  </w14:solidFill>
                </w14:textFill>
              </w:rPr>
            </w:pPr>
          </w:p>
        </w:tc>
        <w:tc>
          <w:tcPr>
            <w:tcW w:w="2027" w:type="dxa"/>
            <w:vAlign w:val="center"/>
          </w:tcPr>
          <w:p>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投标文件格式</w:t>
            </w:r>
          </w:p>
        </w:tc>
        <w:tc>
          <w:tcPr>
            <w:tcW w:w="5717" w:type="dxa"/>
            <w:vAlign w:val="center"/>
          </w:tcPr>
          <w:p>
            <w:pP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符合第六章“投标文件格式”的要求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938" w:type="dxa"/>
            <w:vMerge w:val="continue"/>
            <w:vAlign w:val="center"/>
          </w:tcPr>
          <w:p>
            <w:pPr>
              <w:jc w:val="center"/>
              <w:rPr>
                <w:rFonts w:ascii="宋体" w:hAnsi="宋体" w:cs="宋体"/>
                <w:color w:val="000000" w:themeColor="text1"/>
                <w14:textFill>
                  <w14:solidFill>
                    <w14:schemeClr w14:val="tx1"/>
                  </w14:solidFill>
                </w14:textFill>
              </w:rPr>
            </w:pPr>
          </w:p>
        </w:tc>
        <w:tc>
          <w:tcPr>
            <w:tcW w:w="761" w:type="dxa"/>
            <w:vMerge w:val="continue"/>
            <w:vAlign w:val="center"/>
          </w:tcPr>
          <w:p>
            <w:pPr>
              <w:jc w:val="center"/>
              <w:rPr>
                <w:rFonts w:ascii="宋体" w:hAnsi="宋体" w:cs="宋体"/>
                <w:color w:val="000000" w:themeColor="text1"/>
                <w14:textFill>
                  <w14:solidFill>
                    <w14:schemeClr w14:val="tx1"/>
                  </w14:solidFill>
                </w14:textFill>
              </w:rPr>
            </w:pPr>
          </w:p>
        </w:tc>
        <w:tc>
          <w:tcPr>
            <w:tcW w:w="2027" w:type="dxa"/>
            <w:vAlign w:val="center"/>
          </w:tcPr>
          <w:p>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报价唯一</w:t>
            </w:r>
          </w:p>
        </w:tc>
        <w:tc>
          <w:tcPr>
            <w:tcW w:w="5717" w:type="dxa"/>
            <w:vAlign w:val="center"/>
          </w:tcPr>
          <w:p>
            <w:pP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只能有一个有效报价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938" w:type="dxa"/>
            <w:vMerge w:val="restart"/>
            <w:vAlign w:val="center"/>
          </w:tcPr>
          <w:p>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2.1.2</w:t>
            </w:r>
          </w:p>
        </w:tc>
        <w:tc>
          <w:tcPr>
            <w:tcW w:w="761" w:type="dxa"/>
            <w:vMerge w:val="restart"/>
            <w:vAlign w:val="center"/>
          </w:tcPr>
          <w:p>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资格</w:t>
            </w:r>
          </w:p>
          <w:p>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评审</w:t>
            </w:r>
          </w:p>
          <w:p>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标准</w:t>
            </w:r>
          </w:p>
        </w:tc>
        <w:tc>
          <w:tcPr>
            <w:tcW w:w="2027" w:type="dxa"/>
            <w:vAlign w:val="center"/>
          </w:tcPr>
          <w:p>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营业执照</w:t>
            </w:r>
          </w:p>
        </w:tc>
        <w:tc>
          <w:tcPr>
            <w:tcW w:w="5717" w:type="dxa"/>
            <w:vAlign w:val="center"/>
          </w:tcPr>
          <w:p>
            <w:pPr>
              <w:rPr>
                <w:rFonts w:ascii="宋体" w:hAnsi="宋体" w:cs="宋体"/>
                <w:b/>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具备有效的营业执照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938" w:type="dxa"/>
            <w:vMerge w:val="continue"/>
            <w:vAlign w:val="center"/>
          </w:tcPr>
          <w:p>
            <w:pPr>
              <w:jc w:val="center"/>
              <w:rPr>
                <w:rFonts w:ascii="宋体" w:hAnsi="宋体" w:cs="宋体"/>
                <w:color w:val="000000" w:themeColor="text1"/>
                <w14:textFill>
                  <w14:solidFill>
                    <w14:schemeClr w14:val="tx1"/>
                  </w14:solidFill>
                </w14:textFill>
              </w:rPr>
            </w:pPr>
          </w:p>
        </w:tc>
        <w:tc>
          <w:tcPr>
            <w:tcW w:w="761" w:type="dxa"/>
            <w:vMerge w:val="continue"/>
            <w:vAlign w:val="center"/>
          </w:tcPr>
          <w:p>
            <w:pPr>
              <w:jc w:val="center"/>
              <w:rPr>
                <w:rFonts w:ascii="宋体" w:hAnsi="宋体" w:cs="宋体"/>
                <w:color w:val="000000" w:themeColor="text1"/>
                <w14:textFill>
                  <w14:solidFill>
                    <w14:schemeClr w14:val="tx1"/>
                  </w14:solidFill>
                </w14:textFill>
              </w:rPr>
            </w:pPr>
          </w:p>
        </w:tc>
        <w:tc>
          <w:tcPr>
            <w:tcW w:w="2027" w:type="dxa"/>
            <w:vAlign w:val="center"/>
          </w:tcPr>
          <w:p>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资质等级</w:t>
            </w:r>
          </w:p>
        </w:tc>
        <w:tc>
          <w:tcPr>
            <w:tcW w:w="5717" w:type="dxa"/>
            <w:vAlign w:val="center"/>
          </w:tcPr>
          <w:p>
            <w:pP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符合第二章“投标人须知”第1.4.1项规定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38" w:type="dxa"/>
            <w:vMerge w:val="continue"/>
            <w:vAlign w:val="center"/>
          </w:tcPr>
          <w:p>
            <w:pPr>
              <w:jc w:val="center"/>
              <w:rPr>
                <w:rFonts w:ascii="宋体" w:hAnsi="宋体" w:cs="宋体"/>
                <w:color w:val="000000" w:themeColor="text1"/>
                <w14:textFill>
                  <w14:solidFill>
                    <w14:schemeClr w14:val="tx1"/>
                  </w14:solidFill>
                </w14:textFill>
              </w:rPr>
            </w:pPr>
          </w:p>
        </w:tc>
        <w:tc>
          <w:tcPr>
            <w:tcW w:w="761" w:type="dxa"/>
            <w:vMerge w:val="continue"/>
            <w:vAlign w:val="center"/>
          </w:tcPr>
          <w:p>
            <w:pPr>
              <w:jc w:val="center"/>
              <w:rPr>
                <w:rFonts w:ascii="宋体" w:hAnsi="宋体" w:cs="宋体"/>
                <w:color w:val="000000" w:themeColor="text1"/>
                <w14:textFill>
                  <w14:solidFill>
                    <w14:schemeClr w14:val="tx1"/>
                  </w14:solidFill>
                </w14:textFill>
              </w:rPr>
            </w:pPr>
          </w:p>
        </w:tc>
        <w:tc>
          <w:tcPr>
            <w:tcW w:w="2027" w:type="dxa"/>
            <w:vAlign w:val="center"/>
          </w:tcPr>
          <w:p>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项目总监</w:t>
            </w:r>
          </w:p>
        </w:tc>
        <w:tc>
          <w:tcPr>
            <w:tcW w:w="5717" w:type="dxa"/>
            <w:vAlign w:val="center"/>
          </w:tcPr>
          <w:p>
            <w:pP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符合第二章“投标人须知”第1.4.1项规定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38" w:type="dxa"/>
            <w:vMerge w:val="continue"/>
            <w:vAlign w:val="center"/>
          </w:tcPr>
          <w:p>
            <w:pPr>
              <w:jc w:val="center"/>
              <w:rPr>
                <w:rFonts w:ascii="宋体" w:hAnsi="宋体" w:cs="宋体"/>
                <w:color w:val="000000" w:themeColor="text1"/>
                <w14:textFill>
                  <w14:solidFill>
                    <w14:schemeClr w14:val="tx1"/>
                  </w14:solidFill>
                </w14:textFill>
              </w:rPr>
            </w:pPr>
          </w:p>
        </w:tc>
        <w:tc>
          <w:tcPr>
            <w:tcW w:w="761" w:type="dxa"/>
            <w:vMerge w:val="continue"/>
            <w:vAlign w:val="center"/>
          </w:tcPr>
          <w:p>
            <w:pPr>
              <w:jc w:val="center"/>
              <w:rPr>
                <w:rFonts w:ascii="宋体" w:hAnsi="宋体" w:cs="宋体"/>
                <w:color w:val="000000" w:themeColor="text1"/>
                <w14:textFill>
                  <w14:solidFill>
                    <w14:schemeClr w14:val="tx1"/>
                  </w14:solidFill>
                </w14:textFill>
              </w:rPr>
            </w:pPr>
          </w:p>
        </w:tc>
        <w:tc>
          <w:tcPr>
            <w:tcW w:w="2027" w:type="dxa"/>
            <w:vAlign w:val="center"/>
          </w:tcPr>
          <w:p>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信誉要求</w:t>
            </w:r>
          </w:p>
        </w:tc>
        <w:tc>
          <w:tcPr>
            <w:tcW w:w="5717" w:type="dxa"/>
            <w:vAlign w:val="center"/>
          </w:tcPr>
          <w:p>
            <w:pPr>
              <w:jc w:val="left"/>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符合第二章“投标人须知”第1.4.1项规定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938" w:type="dxa"/>
            <w:vMerge w:val="continue"/>
            <w:vAlign w:val="center"/>
          </w:tcPr>
          <w:p>
            <w:pPr>
              <w:jc w:val="center"/>
              <w:rPr>
                <w:rFonts w:ascii="宋体" w:hAnsi="宋体" w:cs="宋体"/>
                <w:color w:val="000000" w:themeColor="text1"/>
                <w14:textFill>
                  <w14:solidFill>
                    <w14:schemeClr w14:val="tx1"/>
                  </w14:solidFill>
                </w14:textFill>
              </w:rPr>
            </w:pPr>
          </w:p>
        </w:tc>
        <w:tc>
          <w:tcPr>
            <w:tcW w:w="761" w:type="dxa"/>
            <w:vMerge w:val="continue"/>
            <w:vAlign w:val="center"/>
          </w:tcPr>
          <w:p>
            <w:pPr>
              <w:jc w:val="center"/>
              <w:rPr>
                <w:rFonts w:ascii="宋体" w:hAnsi="宋体" w:cs="宋体"/>
                <w:color w:val="000000" w:themeColor="text1"/>
                <w14:textFill>
                  <w14:solidFill>
                    <w14:schemeClr w14:val="tx1"/>
                  </w14:solidFill>
                </w14:textFill>
              </w:rPr>
            </w:pPr>
          </w:p>
        </w:tc>
        <w:tc>
          <w:tcPr>
            <w:tcW w:w="2027" w:type="dxa"/>
            <w:vAlign w:val="center"/>
          </w:tcPr>
          <w:p>
            <w:pPr>
              <w:adjustRightInd w:val="0"/>
              <w:jc w:val="center"/>
              <w:textAlignment w:val="baseline"/>
              <w:rPr>
                <w:rFonts w:ascii="宋体" w:hAnsi="宋体" w:cs="宋体"/>
                <w:color w:val="000000" w:themeColor="text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财务状况</w:t>
            </w:r>
          </w:p>
        </w:tc>
        <w:tc>
          <w:tcPr>
            <w:tcW w:w="5717" w:type="dxa"/>
            <w:vAlign w:val="center"/>
          </w:tcPr>
          <w:p>
            <w:pP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符合第二章“投标人须知”第1.4.1项规定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938" w:type="dxa"/>
            <w:vMerge w:val="continue"/>
            <w:vAlign w:val="center"/>
          </w:tcPr>
          <w:p>
            <w:pPr>
              <w:jc w:val="center"/>
              <w:rPr>
                <w:rFonts w:ascii="宋体" w:hAnsi="宋体" w:cs="宋体"/>
                <w:color w:val="000000" w:themeColor="text1"/>
                <w14:textFill>
                  <w14:solidFill>
                    <w14:schemeClr w14:val="tx1"/>
                  </w14:solidFill>
                </w14:textFill>
              </w:rPr>
            </w:pPr>
          </w:p>
        </w:tc>
        <w:tc>
          <w:tcPr>
            <w:tcW w:w="761" w:type="dxa"/>
            <w:vMerge w:val="continue"/>
            <w:vAlign w:val="center"/>
          </w:tcPr>
          <w:p>
            <w:pPr>
              <w:jc w:val="center"/>
              <w:rPr>
                <w:rFonts w:ascii="宋体" w:hAnsi="宋体" w:cs="宋体"/>
                <w:color w:val="000000" w:themeColor="text1"/>
                <w14:textFill>
                  <w14:solidFill>
                    <w14:schemeClr w14:val="tx1"/>
                  </w14:solidFill>
                </w14:textFill>
              </w:rPr>
            </w:pPr>
          </w:p>
        </w:tc>
        <w:tc>
          <w:tcPr>
            <w:tcW w:w="2027" w:type="dxa"/>
            <w:vAlign w:val="center"/>
          </w:tcPr>
          <w:p>
            <w:pPr>
              <w:adjustRightInd w:val="0"/>
              <w:jc w:val="center"/>
              <w:textAlignment w:val="baseline"/>
              <w:rPr>
                <w:rFonts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14:textFill>
                  <w14:solidFill>
                    <w14:schemeClr w14:val="tx1"/>
                  </w14:solidFill>
                </w14:textFill>
              </w:rPr>
              <w:t>业绩要求</w:t>
            </w:r>
          </w:p>
        </w:tc>
        <w:tc>
          <w:tcPr>
            <w:tcW w:w="5717" w:type="dxa"/>
            <w:vAlign w:val="center"/>
          </w:tcPr>
          <w:p>
            <w:pP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符合第二章“投标人须知”第1.4.1项规定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938" w:type="dxa"/>
            <w:vMerge w:val="continue"/>
            <w:vAlign w:val="center"/>
          </w:tcPr>
          <w:p>
            <w:pPr>
              <w:jc w:val="center"/>
              <w:rPr>
                <w:rFonts w:ascii="宋体" w:hAnsi="宋体" w:cs="宋体"/>
                <w:color w:val="000000" w:themeColor="text1"/>
                <w14:textFill>
                  <w14:solidFill>
                    <w14:schemeClr w14:val="tx1"/>
                  </w14:solidFill>
                </w14:textFill>
              </w:rPr>
            </w:pPr>
          </w:p>
        </w:tc>
        <w:tc>
          <w:tcPr>
            <w:tcW w:w="761" w:type="dxa"/>
            <w:vMerge w:val="continue"/>
            <w:vAlign w:val="center"/>
          </w:tcPr>
          <w:p>
            <w:pPr>
              <w:jc w:val="center"/>
              <w:rPr>
                <w:rFonts w:ascii="宋体" w:hAnsi="宋体" w:cs="宋体"/>
                <w:color w:val="000000" w:themeColor="text1"/>
                <w14:textFill>
                  <w14:solidFill>
                    <w14:schemeClr w14:val="tx1"/>
                  </w14:solidFill>
                </w14:textFill>
              </w:rPr>
            </w:pPr>
          </w:p>
        </w:tc>
        <w:tc>
          <w:tcPr>
            <w:tcW w:w="2027" w:type="dxa"/>
            <w:vAlign w:val="center"/>
          </w:tcPr>
          <w:p>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其他要求</w:t>
            </w:r>
          </w:p>
        </w:tc>
        <w:tc>
          <w:tcPr>
            <w:tcW w:w="5717" w:type="dxa"/>
            <w:vAlign w:val="center"/>
          </w:tcPr>
          <w:p>
            <w:pP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符合第二章“投标人须知”第1.4.1项规定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938" w:type="dxa"/>
            <w:vMerge w:val="restart"/>
            <w:vAlign w:val="center"/>
          </w:tcPr>
          <w:p>
            <w:pPr>
              <w:jc w:val="center"/>
              <w:rPr>
                <w:rFonts w:ascii="宋体" w:hAnsi="宋体" w:cs="宋体"/>
                <w:color w:val="000000" w:themeColor="text1"/>
                <w14:textFill>
                  <w14:solidFill>
                    <w14:schemeClr w14:val="tx1"/>
                  </w14:solidFill>
                </w14:textFill>
              </w:rPr>
            </w:pPr>
          </w:p>
          <w:p>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2.1.3</w:t>
            </w:r>
          </w:p>
        </w:tc>
        <w:tc>
          <w:tcPr>
            <w:tcW w:w="761" w:type="dxa"/>
            <w:vMerge w:val="restart"/>
            <w:vAlign w:val="center"/>
          </w:tcPr>
          <w:p>
            <w:pPr>
              <w:jc w:val="center"/>
              <w:rPr>
                <w:rFonts w:ascii="宋体" w:hAnsi="宋体" w:cs="宋体"/>
                <w:color w:val="000000" w:themeColor="text1"/>
                <w14:textFill>
                  <w14:solidFill>
                    <w14:schemeClr w14:val="tx1"/>
                  </w14:solidFill>
                </w14:textFill>
              </w:rPr>
            </w:pPr>
          </w:p>
          <w:p>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响应性评审</w:t>
            </w:r>
          </w:p>
          <w:p>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标准</w:t>
            </w:r>
          </w:p>
        </w:tc>
        <w:tc>
          <w:tcPr>
            <w:tcW w:w="2027" w:type="dxa"/>
            <w:vAlign w:val="center"/>
          </w:tcPr>
          <w:p>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投标报价</w:t>
            </w:r>
          </w:p>
        </w:tc>
        <w:tc>
          <w:tcPr>
            <w:tcW w:w="5717" w:type="dxa"/>
            <w:vAlign w:val="center"/>
          </w:tcPr>
          <w:p>
            <w:pP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符合第二章“投标人须知”第3.2项规定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938" w:type="dxa"/>
            <w:vMerge w:val="continue"/>
            <w:vAlign w:val="center"/>
          </w:tcPr>
          <w:p>
            <w:pPr>
              <w:jc w:val="center"/>
              <w:rPr>
                <w:rFonts w:ascii="宋体" w:hAnsi="宋体" w:cs="宋体"/>
                <w:color w:val="000000" w:themeColor="text1"/>
                <w14:textFill>
                  <w14:solidFill>
                    <w14:schemeClr w14:val="tx1"/>
                  </w14:solidFill>
                </w14:textFill>
              </w:rPr>
            </w:pPr>
          </w:p>
        </w:tc>
        <w:tc>
          <w:tcPr>
            <w:tcW w:w="761" w:type="dxa"/>
            <w:vMerge w:val="continue"/>
            <w:vAlign w:val="center"/>
          </w:tcPr>
          <w:p>
            <w:pPr>
              <w:jc w:val="center"/>
              <w:rPr>
                <w:rFonts w:ascii="宋体" w:hAnsi="宋体" w:cs="宋体"/>
                <w:color w:val="000000" w:themeColor="text1"/>
                <w14:textFill>
                  <w14:solidFill>
                    <w14:schemeClr w14:val="tx1"/>
                  </w14:solidFill>
                </w14:textFill>
              </w:rPr>
            </w:pPr>
          </w:p>
        </w:tc>
        <w:tc>
          <w:tcPr>
            <w:tcW w:w="2027" w:type="dxa"/>
            <w:vAlign w:val="center"/>
          </w:tcPr>
          <w:p>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招标范围</w:t>
            </w:r>
          </w:p>
        </w:tc>
        <w:tc>
          <w:tcPr>
            <w:tcW w:w="5717" w:type="dxa"/>
            <w:vAlign w:val="center"/>
          </w:tcPr>
          <w:p>
            <w:pP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符合第二章“投标人须知”第1.3.1项规定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938" w:type="dxa"/>
            <w:vMerge w:val="continue"/>
            <w:vAlign w:val="center"/>
          </w:tcPr>
          <w:p>
            <w:pPr>
              <w:jc w:val="center"/>
              <w:rPr>
                <w:rFonts w:ascii="宋体" w:hAnsi="宋体" w:cs="宋体"/>
                <w:color w:val="000000" w:themeColor="text1"/>
                <w14:textFill>
                  <w14:solidFill>
                    <w14:schemeClr w14:val="tx1"/>
                  </w14:solidFill>
                </w14:textFill>
              </w:rPr>
            </w:pPr>
          </w:p>
        </w:tc>
        <w:tc>
          <w:tcPr>
            <w:tcW w:w="761" w:type="dxa"/>
            <w:vMerge w:val="continue"/>
            <w:vAlign w:val="center"/>
          </w:tcPr>
          <w:p>
            <w:pPr>
              <w:jc w:val="center"/>
              <w:rPr>
                <w:rFonts w:ascii="宋体" w:hAnsi="宋体" w:cs="宋体"/>
                <w:color w:val="000000" w:themeColor="text1"/>
                <w14:textFill>
                  <w14:solidFill>
                    <w14:schemeClr w14:val="tx1"/>
                  </w14:solidFill>
                </w14:textFill>
              </w:rPr>
            </w:pPr>
          </w:p>
        </w:tc>
        <w:tc>
          <w:tcPr>
            <w:tcW w:w="2027" w:type="dxa"/>
            <w:vAlign w:val="center"/>
          </w:tcPr>
          <w:p>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监理服务期限</w:t>
            </w:r>
          </w:p>
        </w:tc>
        <w:tc>
          <w:tcPr>
            <w:tcW w:w="5717" w:type="dxa"/>
            <w:vAlign w:val="center"/>
          </w:tcPr>
          <w:p>
            <w:pP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符合第二章“投标人须知”第1.3.2项规定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938" w:type="dxa"/>
            <w:vMerge w:val="continue"/>
            <w:vAlign w:val="center"/>
          </w:tcPr>
          <w:p>
            <w:pPr>
              <w:jc w:val="center"/>
              <w:rPr>
                <w:rFonts w:ascii="宋体" w:hAnsi="宋体" w:cs="宋体"/>
                <w:color w:val="000000" w:themeColor="text1"/>
                <w14:textFill>
                  <w14:solidFill>
                    <w14:schemeClr w14:val="tx1"/>
                  </w14:solidFill>
                </w14:textFill>
              </w:rPr>
            </w:pPr>
          </w:p>
        </w:tc>
        <w:tc>
          <w:tcPr>
            <w:tcW w:w="761" w:type="dxa"/>
            <w:vMerge w:val="continue"/>
            <w:vAlign w:val="center"/>
          </w:tcPr>
          <w:p>
            <w:pPr>
              <w:jc w:val="center"/>
              <w:rPr>
                <w:rFonts w:ascii="宋体" w:hAnsi="宋体" w:cs="宋体"/>
                <w:color w:val="000000" w:themeColor="text1"/>
                <w14:textFill>
                  <w14:solidFill>
                    <w14:schemeClr w14:val="tx1"/>
                  </w14:solidFill>
                </w14:textFill>
              </w:rPr>
            </w:pPr>
          </w:p>
        </w:tc>
        <w:tc>
          <w:tcPr>
            <w:tcW w:w="2027" w:type="dxa"/>
            <w:vAlign w:val="center"/>
          </w:tcPr>
          <w:p>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质量要求</w:t>
            </w:r>
          </w:p>
        </w:tc>
        <w:tc>
          <w:tcPr>
            <w:tcW w:w="5717" w:type="dxa"/>
            <w:vAlign w:val="center"/>
          </w:tcPr>
          <w:p>
            <w:pP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符合第二章“投标人须知”第1.3.3项规定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938" w:type="dxa"/>
            <w:vMerge w:val="continue"/>
            <w:vAlign w:val="center"/>
          </w:tcPr>
          <w:p>
            <w:pPr>
              <w:jc w:val="center"/>
              <w:rPr>
                <w:rFonts w:ascii="宋体" w:hAnsi="宋体" w:cs="宋体"/>
                <w:color w:val="000000" w:themeColor="text1"/>
                <w14:textFill>
                  <w14:solidFill>
                    <w14:schemeClr w14:val="tx1"/>
                  </w14:solidFill>
                </w14:textFill>
              </w:rPr>
            </w:pPr>
          </w:p>
        </w:tc>
        <w:tc>
          <w:tcPr>
            <w:tcW w:w="761" w:type="dxa"/>
            <w:vMerge w:val="continue"/>
            <w:vAlign w:val="center"/>
          </w:tcPr>
          <w:p>
            <w:pPr>
              <w:jc w:val="center"/>
              <w:rPr>
                <w:rFonts w:ascii="宋体" w:hAnsi="宋体" w:cs="宋体"/>
                <w:color w:val="000000" w:themeColor="text1"/>
                <w14:textFill>
                  <w14:solidFill>
                    <w14:schemeClr w14:val="tx1"/>
                  </w14:solidFill>
                </w14:textFill>
              </w:rPr>
            </w:pPr>
          </w:p>
        </w:tc>
        <w:tc>
          <w:tcPr>
            <w:tcW w:w="2027" w:type="dxa"/>
            <w:vAlign w:val="center"/>
          </w:tcPr>
          <w:p>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投标有效期</w:t>
            </w:r>
          </w:p>
        </w:tc>
        <w:tc>
          <w:tcPr>
            <w:tcW w:w="5717" w:type="dxa"/>
            <w:vAlign w:val="center"/>
          </w:tcPr>
          <w:p>
            <w:pP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符合第二章“投标人须知”第3.3.1项规定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938" w:type="dxa"/>
            <w:vMerge w:val="continue"/>
            <w:vAlign w:val="center"/>
          </w:tcPr>
          <w:p>
            <w:pPr>
              <w:jc w:val="center"/>
              <w:rPr>
                <w:rFonts w:ascii="宋体" w:hAnsi="宋体" w:cs="宋体"/>
                <w:color w:val="000000" w:themeColor="text1"/>
                <w14:textFill>
                  <w14:solidFill>
                    <w14:schemeClr w14:val="tx1"/>
                  </w14:solidFill>
                </w14:textFill>
              </w:rPr>
            </w:pPr>
          </w:p>
        </w:tc>
        <w:tc>
          <w:tcPr>
            <w:tcW w:w="761" w:type="dxa"/>
            <w:vMerge w:val="continue"/>
            <w:vAlign w:val="center"/>
          </w:tcPr>
          <w:p>
            <w:pPr>
              <w:jc w:val="center"/>
              <w:rPr>
                <w:rFonts w:ascii="宋体" w:hAnsi="宋体" w:cs="宋体"/>
                <w:color w:val="000000" w:themeColor="text1"/>
                <w14:textFill>
                  <w14:solidFill>
                    <w14:schemeClr w14:val="tx1"/>
                  </w14:solidFill>
                </w14:textFill>
              </w:rPr>
            </w:pPr>
          </w:p>
        </w:tc>
        <w:tc>
          <w:tcPr>
            <w:tcW w:w="2027" w:type="dxa"/>
            <w:vAlign w:val="center"/>
          </w:tcPr>
          <w:p>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投标保证金</w:t>
            </w:r>
          </w:p>
        </w:tc>
        <w:tc>
          <w:tcPr>
            <w:tcW w:w="5717" w:type="dxa"/>
            <w:vAlign w:val="center"/>
          </w:tcPr>
          <w:p>
            <w:pP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符合第二章“投标人须知”第3.4.1款规定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938" w:type="dxa"/>
            <w:vMerge w:val="continue"/>
            <w:vAlign w:val="center"/>
          </w:tcPr>
          <w:p>
            <w:pPr>
              <w:jc w:val="center"/>
              <w:rPr>
                <w:rFonts w:ascii="宋体" w:hAnsi="宋体" w:cs="宋体"/>
                <w:color w:val="000000" w:themeColor="text1"/>
                <w14:textFill>
                  <w14:solidFill>
                    <w14:schemeClr w14:val="tx1"/>
                  </w14:solidFill>
                </w14:textFill>
              </w:rPr>
            </w:pPr>
          </w:p>
        </w:tc>
        <w:tc>
          <w:tcPr>
            <w:tcW w:w="761" w:type="dxa"/>
            <w:vMerge w:val="continue"/>
            <w:vAlign w:val="center"/>
          </w:tcPr>
          <w:p>
            <w:pPr>
              <w:jc w:val="center"/>
              <w:rPr>
                <w:rFonts w:ascii="宋体" w:hAnsi="宋体" w:cs="宋体"/>
                <w:color w:val="000000" w:themeColor="text1"/>
                <w14:textFill>
                  <w14:solidFill>
                    <w14:schemeClr w14:val="tx1"/>
                  </w14:solidFill>
                </w14:textFill>
              </w:rPr>
            </w:pPr>
          </w:p>
        </w:tc>
        <w:tc>
          <w:tcPr>
            <w:tcW w:w="2027" w:type="dxa"/>
            <w:vAlign w:val="center"/>
          </w:tcPr>
          <w:p>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其他要求</w:t>
            </w:r>
          </w:p>
        </w:tc>
        <w:tc>
          <w:tcPr>
            <w:tcW w:w="5717" w:type="dxa"/>
            <w:vAlign w:val="center"/>
          </w:tcPr>
          <w:p>
            <w:pPr>
              <w:rPr>
                <w:rFonts w:ascii="宋体" w:hAnsi="宋体" w:cs="宋体"/>
                <w:color w:val="000000" w:themeColor="text1"/>
                <w14:textFill>
                  <w14:solidFill>
                    <w14:schemeClr w14:val="tx1"/>
                  </w14:solidFill>
                </w14:textFill>
              </w:rPr>
            </w:pPr>
            <w:r>
              <w:rPr>
                <w:rFonts w:hint="eastAsia" w:ascii="宋体" w:hAnsi="宋体" w:cs="宋体"/>
                <w:szCs w:val="21"/>
              </w:rPr>
              <w:t>招标文件中其他要求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1699" w:type="dxa"/>
            <w:gridSpan w:val="2"/>
            <w:vAlign w:val="center"/>
          </w:tcPr>
          <w:p>
            <w:pPr>
              <w:jc w:val="center"/>
              <w:rPr>
                <w:rFonts w:ascii="宋体" w:hAnsi="宋体" w:cs="宋体"/>
                <w:b/>
                <w:bCs/>
                <w:color w:val="000000" w:themeColor="text1"/>
                <w14:textFill>
                  <w14:solidFill>
                    <w14:schemeClr w14:val="tx1"/>
                  </w14:solidFill>
                </w14:textFill>
              </w:rPr>
            </w:pPr>
            <w:r>
              <w:rPr>
                <w:rFonts w:hint="eastAsia" w:ascii="宋体" w:hAnsi="宋体" w:cs="宋体"/>
                <w:b/>
                <w:bCs/>
                <w:color w:val="000000" w:themeColor="text1"/>
                <w14:textFill>
                  <w14:solidFill>
                    <w14:schemeClr w14:val="tx1"/>
                  </w14:solidFill>
                </w14:textFill>
              </w:rPr>
              <w:t>条款号</w:t>
            </w:r>
          </w:p>
        </w:tc>
        <w:tc>
          <w:tcPr>
            <w:tcW w:w="2027" w:type="dxa"/>
            <w:vAlign w:val="center"/>
          </w:tcPr>
          <w:p>
            <w:pPr>
              <w:jc w:val="center"/>
              <w:rPr>
                <w:rFonts w:ascii="宋体" w:hAnsi="宋体" w:cs="宋体"/>
                <w:b/>
                <w:bCs/>
                <w:color w:val="000000" w:themeColor="text1"/>
                <w14:textFill>
                  <w14:solidFill>
                    <w14:schemeClr w14:val="tx1"/>
                  </w14:solidFill>
                </w14:textFill>
              </w:rPr>
            </w:pPr>
            <w:r>
              <w:rPr>
                <w:rFonts w:hint="eastAsia" w:ascii="宋体" w:hAnsi="宋体" w:cs="宋体"/>
                <w:b/>
                <w:bCs/>
                <w:color w:val="000000" w:themeColor="text1"/>
                <w14:textFill>
                  <w14:solidFill>
                    <w14:schemeClr w14:val="tx1"/>
                  </w14:solidFill>
                </w14:textFill>
              </w:rPr>
              <w:t>条款内容</w:t>
            </w:r>
          </w:p>
        </w:tc>
        <w:tc>
          <w:tcPr>
            <w:tcW w:w="5717" w:type="dxa"/>
            <w:vAlign w:val="center"/>
          </w:tcPr>
          <w:p>
            <w:pPr>
              <w:jc w:val="center"/>
              <w:rPr>
                <w:rFonts w:ascii="宋体" w:hAnsi="宋体" w:cs="宋体"/>
                <w:b/>
                <w:bCs/>
                <w:color w:val="000000" w:themeColor="text1"/>
                <w14:textFill>
                  <w14:solidFill>
                    <w14:schemeClr w14:val="tx1"/>
                  </w14:solidFill>
                </w14:textFill>
              </w:rPr>
            </w:pPr>
            <w:r>
              <w:rPr>
                <w:rFonts w:hint="eastAsia" w:ascii="宋体" w:hAnsi="宋体" w:cs="宋体"/>
                <w:b/>
                <w:bCs/>
                <w:color w:val="000000" w:themeColor="text1"/>
                <w14:textFill>
                  <w14:solidFill>
                    <w14:schemeClr w14:val="tx1"/>
                  </w14:solidFill>
                </w14:textFill>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99" w:type="dxa"/>
            <w:gridSpan w:val="2"/>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2.2.1</w:t>
            </w:r>
          </w:p>
        </w:tc>
        <w:tc>
          <w:tcPr>
            <w:tcW w:w="2027"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分值构成</w:t>
            </w:r>
          </w:p>
          <w:p>
            <w:pPr>
              <w:jc w:val="center"/>
              <w:rPr>
                <w:color w:val="000000" w:themeColor="text1"/>
                <w14:textFill>
                  <w14:solidFill>
                    <w14:schemeClr w14:val="tx1"/>
                  </w14:solidFill>
                </w14:textFill>
              </w:rPr>
            </w:pPr>
            <w:r>
              <w:rPr>
                <w:color w:val="000000" w:themeColor="text1"/>
                <w14:textFill>
                  <w14:solidFill>
                    <w14:schemeClr w14:val="tx1"/>
                  </w14:solidFill>
                </w14:textFill>
              </w:rPr>
              <w:t>(总分100分)</w:t>
            </w:r>
          </w:p>
        </w:tc>
        <w:tc>
          <w:tcPr>
            <w:tcW w:w="5717" w:type="dxa"/>
            <w:vAlign w:val="center"/>
          </w:tcPr>
          <w:p>
            <w:pPr>
              <w:rPr>
                <w:color w:val="000000" w:themeColor="text1"/>
                <w14:textFill>
                  <w14:solidFill>
                    <w14:schemeClr w14:val="tx1"/>
                  </w14:solidFill>
                </w14:textFill>
              </w:rPr>
            </w:pPr>
            <w:r>
              <w:rPr>
                <w:color w:val="000000" w:themeColor="text1"/>
                <w14:textFill>
                  <w14:solidFill>
                    <w14:schemeClr w14:val="tx1"/>
                  </w14:solidFill>
                </w14:textFill>
              </w:rPr>
              <w:t>投标报价：</w:t>
            </w:r>
            <w:r>
              <w:rPr>
                <w:color w:val="000000" w:themeColor="text1"/>
                <w:u w:val="single"/>
                <w14:textFill>
                  <w14:solidFill>
                    <w14:schemeClr w14:val="tx1"/>
                  </w14:solidFill>
                </w14:textFill>
              </w:rPr>
              <w:t>30</w:t>
            </w:r>
            <w:r>
              <w:rPr>
                <w:color w:val="000000" w:themeColor="text1"/>
                <w14:textFill>
                  <w14:solidFill>
                    <w14:schemeClr w14:val="tx1"/>
                  </w14:solidFill>
                </w14:textFill>
              </w:rPr>
              <w:t>分</w:t>
            </w:r>
          </w:p>
          <w:p>
            <w:pPr>
              <w:rPr>
                <w:color w:val="000000" w:themeColor="text1"/>
                <w14:textFill>
                  <w14:solidFill>
                    <w14:schemeClr w14:val="tx1"/>
                  </w14:solidFill>
                </w14:textFill>
              </w:rPr>
            </w:pPr>
            <w:r>
              <w:rPr>
                <w:color w:val="000000" w:themeColor="text1"/>
                <w14:textFill>
                  <w14:solidFill>
                    <w14:schemeClr w14:val="tx1"/>
                  </w14:solidFill>
                </w14:textFill>
              </w:rPr>
              <w:t>监理大纲部分：</w:t>
            </w:r>
            <w:r>
              <w:rPr>
                <w:rFonts w:hint="eastAsia"/>
                <w:color w:val="000000" w:themeColor="text1"/>
                <w:u w:val="single"/>
                <w14:textFill>
                  <w14:solidFill>
                    <w14:schemeClr w14:val="tx1"/>
                  </w14:solidFill>
                </w14:textFill>
              </w:rPr>
              <w:t>45</w:t>
            </w:r>
            <w:r>
              <w:rPr>
                <w:color w:val="000000" w:themeColor="text1"/>
                <w14:textFill>
                  <w14:solidFill>
                    <w14:schemeClr w14:val="tx1"/>
                  </w14:solidFill>
                </w14:textFill>
              </w:rPr>
              <w:t>分</w:t>
            </w:r>
          </w:p>
          <w:p>
            <w:pPr>
              <w:rPr>
                <w:color w:val="000000" w:themeColor="text1"/>
                <w14:textFill>
                  <w14:solidFill>
                    <w14:schemeClr w14:val="tx1"/>
                  </w14:solidFill>
                </w14:textFill>
              </w:rPr>
            </w:pPr>
            <w:r>
              <w:rPr>
                <w:color w:val="000000" w:themeColor="text1"/>
                <w14:textFill>
                  <w14:solidFill>
                    <w14:schemeClr w14:val="tx1"/>
                  </w14:solidFill>
                </w14:textFill>
              </w:rPr>
              <w:t>综合部分：</w:t>
            </w:r>
            <w:r>
              <w:rPr>
                <w:rFonts w:hint="eastAsia"/>
                <w:color w:val="000000" w:themeColor="text1"/>
                <w:u w:val="single"/>
                <w14:textFill>
                  <w14:solidFill>
                    <w14:schemeClr w14:val="tx1"/>
                  </w14:solidFill>
                </w14:textFill>
              </w:rPr>
              <w:t>25</w:t>
            </w:r>
            <w:r>
              <w:rPr>
                <w:color w:val="000000" w:themeColor="text1"/>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1699" w:type="dxa"/>
            <w:gridSpan w:val="2"/>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2.2.2</w:t>
            </w:r>
          </w:p>
        </w:tc>
        <w:tc>
          <w:tcPr>
            <w:tcW w:w="2027" w:type="dxa"/>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评标基准价计算方法</w:t>
            </w:r>
          </w:p>
        </w:tc>
        <w:tc>
          <w:tcPr>
            <w:tcW w:w="5717" w:type="dxa"/>
            <w:vAlign w:val="center"/>
          </w:tcPr>
          <w:p>
            <w:pPr>
              <w:widowControl/>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评标基准价＝招标控制价×50%+参与计算的报价的算术平均值×50%（有效投标人为5家及以上时，去掉一个最高和一个最低投标报价，求其他投标报价的算术平均值；当有效投标人少于5家时，则按所有有效投标报价的算术平均值）。</w:t>
            </w:r>
          </w:p>
          <w:p>
            <w:pPr>
              <w:widowControl/>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参与计算的投标报价是指通过初步评审的投标人投标报价在招标控制价的95%（含95%）—100%（含100%）之间的报价，投标人报价不在招标控制价95%（含95%）—100%（含100%）之间的不参与评标基准价的计算，但是参与报价得分的计算；所有单位投标报价均不在95%（含95%）—100%（含100%）之间的，评标基准价=招标控制价*0.95</w:t>
            </w:r>
          </w:p>
          <w:p>
            <w:pPr>
              <w:widowControl/>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备注：保留小数点后两位，第三位四舍五入。</w:t>
            </w:r>
            <w:r>
              <w:rPr>
                <w:color w:val="000000" w:themeColor="text1"/>
                <w:highlight w:val="none"/>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1699" w:type="dxa"/>
            <w:gridSpan w:val="2"/>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2.2.3</w:t>
            </w:r>
          </w:p>
        </w:tc>
        <w:tc>
          <w:tcPr>
            <w:tcW w:w="2027" w:type="dxa"/>
            <w:vAlign w:val="center"/>
          </w:tcPr>
          <w:p>
            <w:pPr>
              <w:rPr>
                <w:color w:val="000000" w:themeColor="text1"/>
                <w14:textFill>
                  <w14:solidFill>
                    <w14:schemeClr w14:val="tx1"/>
                  </w14:solidFill>
                </w14:textFill>
              </w:rPr>
            </w:pPr>
            <w:r>
              <w:rPr>
                <w:color w:val="000000" w:themeColor="text1"/>
                <w14:textFill>
                  <w14:solidFill>
                    <w14:schemeClr w14:val="tx1"/>
                  </w14:solidFill>
                </w14:textFill>
              </w:rPr>
              <w:t>投标报价的偏差率计算公式</w:t>
            </w:r>
          </w:p>
        </w:tc>
        <w:tc>
          <w:tcPr>
            <w:tcW w:w="5717" w:type="dxa"/>
            <w:vAlign w:val="center"/>
          </w:tcPr>
          <w:p>
            <w:pPr>
              <w:widowControl/>
              <w:jc w:val="left"/>
              <w:rPr>
                <w:color w:val="000000" w:themeColor="text1"/>
                <w14:textFill>
                  <w14:solidFill>
                    <w14:schemeClr w14:val="tx1"/>
                  </w14:solidFill>
                </w14:textFill>
              </w:rPr>
            </w:pPr>
            <w:r>
              <w:rPr>
                <w:color w:val="000000" w:themeColor="text1"/>
                <w14:textFill>
                  <w14:solidFill>
                    <w14:schemeClr w14:val="tx1"/>
                  </w14:solidFill>
                </w14:textFill>
              </w:rPr>
              <w:t>偏差率=100%×（投标报价－评标基准值）/评标基准值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699" w:type="dxa"/>
            <w:gridSpan w:val="2"/>
            <w:vAlign w:val="center"/>
          </w:tcPr>
          <w:p>
            <w:pPr>
              <w:jc w:val="center"/>
              <w:rPr>
                <w:b/>
                <w:color w:val="000000" w:themeColor="text1"/>
                <w14:textFill>
                  <w14:solidFill>
                    <w14:schemeClr w14:val="tx1"/>
                  </w14:solidFill>
                </w14:textFill>
              </w:rPr>
            </w:pPr>
            <w:r>
              <w:rPr>
                <w:b/>
                <w:color w:val="000000" w:themeColor="text1"/>
                <w14:textFill>
                  <w14:solidFill>
                    <w14:schemeClr w14:val="tx1"/>
                  </w14:solidFill>
                </w14:textFill>
              </w:rPr>
              <w:t>条款号</w:t>
            </w:r>
          </w:p>
        </w:tc>
        <w:tc>
          <w:tcPr>
            <w:tcW w:w="2027" w:type="dxa"/>
            <w:vAlign w:val="center"/>
          </w:tcPr>
          <w:p>
            <w:pPr>
              <w:jc w:val="center"/>
              <w:rPr>
                <w:b/>
                <w:color w:val="000000" w:themeColor="text1"/>
                <w14:textFill>
                  <w14:solidFill>
                    <w14:schemeClr w14:val="tx1"/>
                  </w14:solidFill>
                </w14:textFill>
              </w:rPr>
            </w:pPr>
            <w:r>
              <w:rPr>
                <w:b/>
                <w:color w:val="000000" w:themeColor="text1"/>
                <w14:textFill>
                  <w14:solidFill>
                    <w14:schemeClr w14:val="tx1"/>
                  </w14:solidFill>
                </w14:textFill>
              </w:rPr>
              <w:t>评分因素</w:t>
            </w:r>
          </w:p>
        </w:tc>
        <w:tc>
          <w:tcPr>
            <w:tcW w:w="5717" w:type="dxa"/>
            <w:vAlign w:val="center"/>
          </w:tcPr>
          <w:p>
            <w:pPr>
              <w:jc w:val="center"/>
              <w:rPr>
                <w:b/>
                <w:color w:val="000000" w:themeColor="text1"/>
                <w14:textFill>
                  <w14:solidFill>
                    <w14:schemeClr w14:val="tx1"/>
                  </w14:solidFill>
                </w14:textFill>
              </w:rPr>
            </w:pPr>
            <w:r>
              <w:rPr>
                <w:b/>
                <w:color w:val="000000" w:themeColor="text1"/>
                <w14:textFill>
                  <w14:solidFill>
                    <w14:schemeClr w14:val="tx1"/>
                  </w14:solidFill>
                </w14:textFill>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6" w:hRule="atLeast"/>
          <w:jc w:val="center"/>
        </w:trPr>
        <w:tc>
          <w:tcPr>
            <w:tcW w:w="938"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2.2.3</w:t>
            </w:r>
          </w:p>
          <w:p>
            <w:pPr>
              <w:jc w:val="center"/>
              <w:rPr>
                <w:color w:val="000000" w:themeColor="text1"/>
                <w14:textFill>
                  <w14:solidFill>
                    <w14:schemeClr w14:val="tx1"/>
                  </w14:solidFill>
                </w14:textFill>
              </w:rPr>
            </w:pPr>
            <w:r>
              <w:rPr>
                <w:color w:val="000000" w:themeColor="text1"/>
                <w14:textFill>
                  <w14:solidFill>
                    <w14:schemeClr w14:val="tx1"/>
                  </w14:solidFill>
                </w14:textFill>
              </w:rPr>
              <w:t>（1）</w:t>
            </w:r>
          </w:p>
        </w:tc>
        <w:tc>
          <w:tcPr>
            <w:tcW w:w="761"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投标报价评分标准（30分）</w:t>
            </w:r>
          </w:p>
        </w:tc>
        <w:tc>
          <w:tcPr>
            <w:tcW w:w="2027" w:type="dxa"/>
            <w:vAlign w:val="center"/>
          </w:tcPr>
          <w:p>
            <w:pPr>
              <w:pStyle w:val="44"/>
              <w:jc w:val="center"/>
              <w:rPr>
                <w:rFonts w:ascii="Times New Roman"/>
                <w:color w:val="000000" w:themeColor="text1"/>
                <w:kern w:val="2"/>
                <w:sz w:val="21"/>
                <w14:textFill>
                  <w14:solidFill>
                    <w14:schemeClr w14:val="tx1"/>
                  </w14:solidFill>
                </w14:textFill>
              </w:rPr>
            </w:pPr>
            <w:r>
              <w:rPr>
                <w:rFonts w:ascii="Times New Roman"/>
                <w:color w:val="000000" w:themeColor="text1"/>
                <w:kern w:val="2"/>
                <w:sz w:val="21"/>
                <w14:textFill>
                  <w14:solidFill>
                    <w14:schemeClr w14:val="tx1"/>
                  </w14:solidFill>
                </w14:textFill>
              </w:rPr>
              <w:t>投标报价</w:t>
            </w:r>
          </w:p>
        </w:tc>
        <w:tc>
          <w:tcPr>
            <w:tcW w:w="5717" w:type="dxa"/>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投标报价与评标基准价相等得基本分25分。 </w:t>
            </w:r>
          </w:p>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当投标报价低于评标基准价时，每低 1%在基本分 25 分的基础上加 1 分， 最多加5分。</w:t>
            </w:r>
          </w:p>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当投标报价高于评标基准价时，每高 1%在基本分 25 分的基础上扣 1 分，</w:t>
            </w:r>
            <w:r>
              <w:rPr>
                <w:rFonts w:hint="eastAsia"/>
                <w:color w:val="000000" w:themeColor="text1"/>
                <w:lang w:eastAsia="zh-CN"/>
                <w14:textFill>
                  <w14:solidFill>
                    <w14:schemeClr w14:val="tx1"/>
                  </w14:solidFill>
                </w14:textFill>
              </w:rPr>
              <w:t>扣完为止。</w:t>
            </w:r>
            <w:r>
              <w:rPr>
                <w:rFonts w:hint="eastAsia"/>
                <w:color w:val="000000" w:themeColor="text1"/>
                <w14:textFill>
                  <w14:solidFill>
                    <w14:schemeClr w14:val="tx1"/>
                  </w14:solidFill>
                </w14:textFill>
              </w:rPr>
              <w:t xml:space="preserve"> </w:t>
            </w:r>
          </w:p>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（偏差率不足 1%的，按比例计算）。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2" w:hRule="atLeast"/>
          <w:jc w:val="center"/>
        </w:trPr>
        <w:tc>
          <w:tcPr>
            <w:tcW w:w="938" w:type="dxa"/>
            <w:vMerge w:val="restart"/>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2.2.3</w:t>
            </w:r>
          </w:p>
          <w:p>
            <w:pPr>
              <w:jc w:val="center"/>
              <w:rPr>
                <w:color w:val="000000" w:themeColor="text1"/>
                <w14:textFill>
                  <w14:solidFill>
                    <w14:schemeClr w14:val="tx1"/>
                  </w14:solidFill>
                </w14:textFill>
              </w:rPr>
            </w:pPr>
            <w:r>
              <w:rPr>
                <w:color w:val="000000" w:themeColor="text1"/>
                <w14:textFill>
                  <w14:solidFill>
                    <w14:schemeClr w14:val="tx1"/>
                  </w14:solidFill>
                </w14:textFill>
              </w:rPr>
              <w:t>（2）</w:t>
            </w:r>
          </w:p>
        </w:tc>
        <w:tc>
          <w:tcPr>
            <w:tcW w:w="761" w:type="dxa"/>
            <w:vMerge w:val="restart"/>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监理大纲</w:t>
            </w:r>
          </w:p>
          <w:p>
            <w:pPr>
              <w:jc w:val="center"/>
              <w:rPr>
                <w:color w:val="000000" w:themeColor="text1"/>
                <w14:textFill>
                  <w14:solidFill>
                    <w14:schemeClr w14:val="tx1"/>
                  </w14:solidFill>
                </w14:textFill>
              </w:rPr>
            </w:pPr>
            <w:r>
              <w:rPr>
                <w:color w:val="000000" w:themeColor="text1"/>
                <w14:textFill>
                  <w14:solidFill>
                    <w14:schemeClr w14:val="tx1"/>
                  </w14:solidFill>
                </w14:textFill>
              </w:rPr>
              <w:t>评分标准（</w:t>
            </w:r>
            <w:r>
              <w:rPr>
                <w:rFonts w:hint="eastAsia"/>
                <w:color w:val="000000" w:themeColor="text1"/>
                <w14:textFill>
                  <w14:solidFill>
                    <w14:schemeClr w14:val="tx1"/>
                  </w14:solidFill>
                </w14:textFill>
              </w:rPr>
              <w:t>45</w:t>
            </w:r>
            <w:r>
              <w:rPr>
                <w:color w:val="000000" w:themeColor="text1"/>
                <w14:textFill>
                  <w14:solidFill>
                    <w14:schemeClr w14:val="tx1"/>
                  </w14:solidFill>
                </w14:textFill>
              </w:rPr>
              <w:t>分）</w:t>
            </w:r>
          </w:p>
        </w:tc>
        <w:tc>
          <w:tcPr>
            <w:tcW w:w="2027" w:type="dxa"/>
            <w:vAlign w:val="center"/>
          </w:tcPr>
          <w:p>
            <w:pPr>
              <w:autoSpaceDE w:val="0"/>
              <w:autoSpaceDN w:val="0"/>
              <w:adjustRightInd w:val="0"/>
              <w:ind w:right="97"/>
              <w:jc w:val="center"/>
              <w:rPr>
                <w:color w:val="000000" w:themeColor="text1"/>
                <w14:textFill>
                  <w14:solidFill>
                    <w14:schemeClr w14:val="tx1"/>
                  </w14:solidFill>
                </w14:textFill>
              </w:rPr>
            </w:pPr>
            <w:r>
              <w:rPr>
                <w:color w:val="000000" w:themeColor="text1"/>
                <w14:textFill>
                  <w14:solidFill>
                    <w14:schemeClr w14:val="tx1"/>
                  </w14:solidFill>
                </w14:textFill>
              </w:rPr>
              <w:t>组织机构（4分）</w:t>
            </w:r>
          </w:p>
        </w:tc>
        <w:tc>
          <w:tcPr>
            <w:tcW w:w="5717" w:type="dxa"/>
            <w:vAlign w:val="center"/>
          </w:tcPr>
          <w:p>
            <w:pPr>
              <w:widowControl/>
              <w:jc w:val="left"/>
              <w:rPr>
                <w:color w:val="000000" w:themeColor="text1"/>
                <w14:textFill>
                  <w14:solidFill>
                    <w14:schemeClr w14:val="tx1"/>
                  </w14:solidFill>
                </w14:textFill>
              </w:rPr>
            </w:pPr>
            <w:r>
              <w:rPr>
                <w:color w:val="000000" w:themeColor="text1"/>
                <w14:textFill>
                  <w14:solidFill>
                    <w14:schemeClr w14:val="tx1"/>
                  </w14:solidFill>
                </w14:textFill>
              </w:rPr>
              <w:t>（1）有现场监理组织机构图得</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分；机构设置中考虑</w:t>
            </w:r>
            <w:r>
              <w:fldChar w:fldCharType="begin"/>
            </w:r>
            <w:r>
              <w:instrText xml:space="preserve"> HYPERLINK \l "_Toc165165629" </w:instrText>
            </w:r>
            <w:r>
              <w:fldChar w:fldCharType="separate"/>
            </w:r>
            <w:r>
              <w:rPr>
                <w:color w:val="000000" w:themeColor="text1"/>
                <w14:textFill>
                  <w14:solidFill>
                    <w14:schemeClr w14:val="tx1"/>
                  </w14:solidFill>
                </w14:textFill>
              </w:rPr>
              <w:t>公司对现场监理机构监督管理</w:t>
            </w:r>
            <w:r>
              <w:rPr>
                <w:color w:val="000000" w:themeColor="text1"/>
                <w14:textFill>
                  <w14:solidFill>
                    <w14:schemeClr w14:val="tx1"/>
                  </w14:solidFill>
                </w14:textFill>
              </w:rPr>
              <w:fldChar w:fldCharType="end"/>
            </w:r>
            <w:r>
              <w:rPr>
                <w:color w:val="000000" w:themeColor="text1"/>
                <w14:textFill>
                  <w14:solidFill>
                    <w14:schemeClr w14:val="tx1"/>
                  </w14:solidFill>
                </w14:textFill>
              </w:rPr>
              <w:t>的得</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分，此项最多得</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分。</w:t>
            </w:r>
          </w:p>
          <w:p>
            <w:pPr>
              <w:widowControl/>
              <w:jc w:val="left"/>
              <w:rPr>
                <w:color w:val="000000" w:themeColor="text1"/>
                <w14:textFill>
                  <w14:solidFill>
                    <w14:schemeClr w14:val="tx1"/>
                  </w14:solidFill>
                </w14:textFill>
              </w:rPr>
            </w:pPr>
            <w:r>
              <w:rPr>
                <w:color w:val="000000" w:themeColor="text1"/>
                <w14:textFill>
                  <w14:solidFill>
                    <w14:schemeClr w14:val="tx1"/>
                  </w14:solidFill>
                </w14:textFill>
              </w:rPr>
              <w:t>（2）有明确的各级监理人员（包括总监、专业监理工程师、</w:t>
            </w:r>
            <w:r>
              <w:rPr>
                <w:rFonts w:hint="eastAsia"/>
                <w:color w:val="000000" w:themeColor="text1"/>
                <w14:textFill>
                  <w14:solidFill>
                    <w14:schemeClr w14:val="tx1"/>
                  </w14:solidFill>
                </w14:textFill>
              </w:rPr>
              <w:t>监理员、资料员、见证员</w:t>
            </w:r>
            <w:r>
              <w:rPr>
                <w:color w:val="000000" w:themeColor="text1"/>
                <w14:textFill>
                  <w14:solidFill>
                    <w14:schemeClr w14:val="tx1"/>
                  </w14:solidFill>
                </w14:textFill>
              </w:rPr>
              <w:t>）岗位职责，得</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分，缺一个岗位职责扣0.5分，此项扣完为止。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938" w:type="dxa"/>
            <w:vMerge w:val="continue"/>
            <w:vAlign w:val="center"/>
          </w:tcPr>
          <w:p>
            <w:pPr>
              <w:jc w:val="center"/>
              <w:rPr>
                <w:color w:val="000000" w:themeColor="text1"/>
                <w14:textFill>
                  <w14:solidFill>
                    <w14:schemeClr w14:val="tx1"/>
                  </w14:solidFill>
                </w14:textFill>
              </w:rPr>
            </w:pPr>
          </w:p>
        </w:tc>
        <w:tc>
          <w:tcPr>
            <w:tcW w:w="761" w:type="dxa"/>
            <w:vMerge w:val="continue"/>
            <w:vAlign w:val="center"/>
          </w:tcPr>
          <w:p>
            <w:pPr>
              <w:jc w:val="center"/>
              <w:rPr>
                <w:color w:val="000000" w:themeColor="text1"/>
                <w14:textFill>
                  <w14:solidFill>
                    <w14:schemeClr w14:val="tx1"/>
                  </w14:solidFill>
                </w14:textFill>
              </w:rPr>
            </w:pPr>
          </w:p>
        </w:tc>
        <w:tc>
          <w:tcPr>
            <w:tcW w:w="2027" w:type="dxa"/>
            <w:vAlign w:val="center"/>
          </w:tcPr>
          <w:p>
            <w:pPr>
              <w:autoSpaceDE w:val="0"/>
              <w:autoSpaceDN w:val="0"/>
              <w:adjustRightInd w:val="0"/>
              <w:ind w:right="97"/>
              <w:jc w:val="center"/>
              <w:rPr>
                <w:color w:val="000000" w:themeColor="text1"/>
                <w14:textFill>
                  <w14:solidFill>
                    <w14:schemeClr w14:val="tx1"/>
                  </w14:solidFill>
                </w14:textFill>
              </w:rPr>
            </w:pPr>
            <w:r>
              <w:rPr>
                <w:color w:val="000000" w:themeColor="text1"/>
                <w14:textFill>
                  <w14:solidFill>
                    <w14:schemeClr w14:val="tx1"/>
                  </w14:solidFill>
                </w14:textFill>
              </w:rPr>
              <w:t>旁站监理措施</w:t>
            </w:r>
          </w:p>
          <w:p>
            <w:pPr>
              <w:autoSpaceDE w:val="0"/>
              <w:autoSpaceDN w:val="0"/>
              <w:adjustRightInd w:val="0"/>
              <w:ind w:right="97"/>
              <w:jc w:val="center"/>
              <w:rPr>
                <w:color w:val="000000" w:themeColor="text1"/>
                <w14:textFill>
                  <w14:solidFill>
                    <w14:schemeClr w14:val="tx1"/>
                  </w14:solidFill>
                </w14:textFill>
              </w:rPr>
            </w:pPr>
            <w:r>
              <w:rPr>
                <w:color w:val="000000" w:themeColor="text1"/>
                <w14:textFill>
                  <w14:solidFill>
                    <w14:schemeClr w14:val="tx1"/>
                  </w14:solidFill>
                </w14:textFill>
              </w:rPr>
              <w:t>（4分）</w:t>
            </w:r>
          </w:p>
        </w:tc>
        <w:tc>
          <w:tcPr>
            <w:tcW w:w="5717" w:type="dxa"/>
            <w:vAlign w:val="center"/>
          </w:tcPr>
          <w:p>
            <w:pPr>
              <w:widowControl/>
              <w:jc w:val="left"/>
              <w:rPr>
                <w:color w:val="000000" w:themeColor="text1"/>
                <w14:textFill>
                  <w14:solidFill>
                    <w14:schemeClr w14:val="tx1"/>
                  </w14:solidFill>
                </w14:textFill>
              </w:rPr>
            </w:pPr>
            <w:r>
              <w:rPr>
                <w:color w:val="000000" w:themeColor="text1"/>
                <w14:textFill>
                  <w14:solidFill>
                    <w14:schemeClr w14:val="tx1"/>
                  </w14:solidFill>
                </w14:textFill>
              </w:rPr>
              <w:t>（1）设置工程旁站监理部位（过程）得0～2分；</w:t>
            </w:r>
          </w:p>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旁站监理程序和措施、有旁站监理人员职责的得0～2分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9" w:hRule="atLeast"/>
          <w:jc w:val="center"/>
        </w:trPr>
        <w:tc>
          <w:tcPr>
            <w:tcW w:w="938" w:type="dxa"/>
            <w:vMerge w:val="continue"/>
            <w:vAlign w:val="center"/>
          </w:tcPr>
          <w:p>
            <w:pPr>
              <w:jc w:val="center"/>
              <w:rPr>
                <w:color w:val="000000" w:themeColor="text1"/>
                <w14:textFill>
                  <w14:solidFill>
                    <w14:schemeClr w14:val="tx1"/>
                  </w14:solidFill>
                </w14:textFill>
              </w:rPr>
            </w:pPr>
          </w:p>
        </w:tc>
        <w:tc>
          <w:tcPr>
            <w:tcW w:w="761" w:type="dxa"/>
            <w:vMerge w:val="continue"/>
            <w:vAlign w:val="center"/>
          </w:tcPr>
          <w:p>
            <w:pPr>
              <w:jc w:val="center"/>
              <w:rPr>
                <w:color w:val="000000" w:themeColor="text1"/>
                <w14:textFill>
                  <w14:solidFill>
                    <w14:schemeClr w14:val="tx1"/>
                  </w14:solidFill>
                </w14:textFill>
              </w:rPr>
            </w:pPr>
          </w:p>
        </w:tc>
        <w:tc>
          <w:tcPr>
            <w:tcW w:w="2027" w:type="dxa"/>
            <w:vAlign w:val="center"/>
          </w:tcPr>
          <w:p>
            <w:pPr>
              <w:autoSpaceDE w:val="0"/>
              <w:autoSpaceDN w:val="0"/>
              <w:adjustRightInd w:val="0"/>
              <w:ind w:right="97"/>
              <w:jc w:val="center"/>
              <w:rPr>
                <w:color w:val="000000" w:themeColor="text1"/>
                <w14:textFill>
                  <w14:solidFill>
                    <w14:schemeClr w14:val="tx1"/>
                  </w14:solidFill>
                </w14:textFill>
              </w:rPr>
            </w:pPr>
            <w:r>
              <w:rPr>
                <w:color w:val="000000" w:themeColor="text1"/>
                <w14:textFill>
                  <w14:solidFill>
                    <w14:schemeClr w14:val="tx1"/>
                  </w14:solidFill>
                </w14:textFill>
              </w:rPr>
              <w:t>质量控制的措施和方法（</w:t>
            </w:r>
            <w:r>
              <w:rPr>
                <w:rFonts w:hint="eastAsia"/>
                <w:color w:val="000000" w:themeColor="text1"/>
                <w14:textFill>
                  <w14:solidFill>
                    <w14:schemeClr w14:val="tx1"/>
                  </w14:solidFill>
                </w14:textFill>
              </w:rPr>
              <w:t>8</w:t>
            </w:r>
            <w:r>
              <w:rPr>
                <w:color w:val="000000" w:themeColor="text1"/>
                <w14:textFill>
                  <w14:solidFill>
                    <w14:schemeClr w14:val="tx1"/>
                  </w14:solidFill>
                </w14:textFill>
              </w:rPr>
              <w:t>分）</w:t>
            </w:r>
          </w:p>
        </w:tc>
        <w:tc>
          <w:tcPr>
            <w:tcW w:w="5717" w:type="dxa"/>
          </w:tcPr>
          <w:p>
            <w:pPr>
              <w:widowControl/>
              <w:jc w:val="left"/>
              <w:rPr>
                <w:color w:val="000000" w:themeColor="text1"/>
                <w14:textFill>
                  <w14:solidFill>
                    <w14:schemeClr w14:val="tx1"/>
                  </w14:solidFill>
                </w14:textFill>
              </w:rPr>
            </w:pPr>
            <w:r>
              <w:rPr>
                <w:color w:val="000000" w:themeColor="text1"/>
                <w14:textFill>
                  <w14:solidFill>
                    <w14:schemeClr w14:val="tx1"/>
                  </w14:solidFill>
                </w14:textFill>
              </w:rPr>
              <w:t>（1）事前质量控制的内容、方法和措施</w:t>
            </w:r>
            <w:r>
              <w:rPr>
                <w:rFonts w:hint="eastAsia"/>
                <w:color w:val="000000" w:themeColor="text1"/>
                <w14:textFill>
                  <w14:solidFill>
                    <w14:schemeClr w14:val="tx1"/>
                  </w14:solidFill>
                </w14:textFill>
              </w:rPr>
              <w:t>的</w:t>
            </w:r>
            <w:r>
              <w:rPr>
                <w:color w:val="000000" w:themeColor="text1"/>
                <w14:textFill>
                  <w14:solidFill>
                    <w14:schemeClr w14:val="tx1"/>
                  </w14:solidFill>
                </w14:textFill>
              </w:rPr>
              <w:t>得0～</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分。</w:t>
            </w:r>
          </w:p>
          <w:p>
            <w:pPr>
              <w:widowControl/>
              <w:jc w:val="left"/>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）原材料质量控制的内容、方法和措施</w:t>
            </w:r>
            <w:r>
              <w:rPr>
                <w:rFonts w:hint="eastAsia"/>
                <w:color w:val="000000" w:themeColor="text1"/>
                <w14:textFill>
                  <w14:solidFill>
                    <w14:schemeClr w14:val="tx1"/>
                  </w14:solidFill>
                </w14:textFill>
              </w:rPr>
              <w:t>的</w:t>
            </w:r>
            <w:r>
              <w:rPr>
                <w:color w:val="000000" w:themeColor="text1"/>
                <w14:textFill>
                  <w14:solidFill>
                    <w14:schemeClr w14:val="tx1"/>
                  </w14:solidFill>
                </w14:textFill>
              </w:rPr>
              <w:t>得0～</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分。</w:t>
            </w:r>
          </w:p>
          <w:p>
            <w:pPr>
              <w:widowControl/>
              <w:jc w:val="left"/>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）事中质量控制的内容、方法和措施</w:t>
            </w:r>
            <w:r>
              <w:rPr>
                <w:rFonts w:hint="eastAsia"/>
                <w:color w:val="000000" w:themeColor="text1"/>
                <w14:textFill>
                  <w14:solidFill>
                    <w14:schemeClr w14:val="tx1"/>
                  </w14:solidFill>
                </w14:textFill>
              </w:rPr>
              <w:t>的</w:t>
            </w:r>
            <w:r>
              <w:rPr>
                <w:color w:val="000000" w:themeColor="text1"/>
                <w14:textFill>
                  <w14:solidFill>
                    <w14:schemeClr w14:val="tx1"/>
                  </w14:solidFill>
                </w14:textFill>
              </w:rPr>
              <w:t>得0～</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分。</w:t>
            </w:r>
          </w:p>
          <w:p>
            <w:pPr>
              <w:widowControl/>
              <w:jc w:val="left"/>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）事后质量控制的内容、方法和措施</w:t>
            </w:r>
            <w:r>
              <w:rPr>
                <w:rFonts w:hint="eastAsia"/>
                <w:color w:val="000000" w:themeColor="text1"/>
                <w14:textFill>
                  <w14:solidFill>
                    <w14:schemeClr w14:val="tx1"/>
                  </w14:solidFill>
                </w14:textFill>
              </w:rPr>
              <w:t>的</w:t>
            </w:r>
            <w:r>
              <w:rPr>
                <w:color w:val="000000" w:themeColor="text1"/>
                <w14:textFill>
                  <w14:solidFill>
                    <w14:schemeClr w14:val="tx1"/>
                  </w14:solidFill>
                </w14:textFill>
              </w:rPr>
              <w:t>得0～</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938" w:type="dxa"/>
            <w:vMerge w:val="continue"/>
            <w:vAlign w:val="center"/>
          </w:tcPr>
          <w:p>
            <w:pPr>
              <w:jc w:val="center"/>
              <w:rPr>
                <w:color w:val="000000" w:themeColor="text1"/>
                <w14:textFill>
                  <w14:solidFill>
                    <w14:schemeClr w14:val="tx1"/>
                  </w14:solidFill>
                </w14:textFill>
              </w:rPr>
            </w:pPr>
          </w:p>
        </w:tc>
        <w:tc>
          <w:tcPr>
            <w:tcW w:w="761" w:type="dxa"/>
            <w:vMerge w:val="continue"/>
            <w:vAlign w:val="center"/>
          </w:tcPr>
          <w:p>
            <w:pPr>
              <w:jc w:val="center"/>
              <w:rPr>
                <w:color w:val="000000" w:themeColor="text1"/>
                <w14:textFill>
                  <w14:solidFill>
                    <w14:schemeClr w14:val="tx1"/>
                  </w14:solidFill>
                </w14:textFill>
              </w:rPr>
            </w:pPr>
          </w:p>
        </w:tc>
        <w:tc>
          <w:tcPr>
            <w:tcW w:w="2027" w:type="dxa"/>
            <w:vAlign w:val="center"/>
          </w:tcPr>
          <w:p>
            <w:pPr>
              <w:autoSpaceDE w:val="0"/>
              <w:autoSpaceDN w:val="0"/>
              <w:adjustRightInd w:val="0"/>
              <w:ind w:right="97"/>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安全、文明</w:t>
            </w:r>
            <w:r>
              <w:rPr>
                <w:color w:val="000000" w:themeColor="text1"/>
                <w14:textFill>
                  <w14:solidFill>
                    <w14:schemeClr w14:val="tx1"/>
                  </w14:solidFill>
                </w14:textFill>
              </w:rPr>
              <w:t>控制的措施和方法（</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分）</w:t>
            </w:r>
          </w:p>
        </w:tc>
        <w:tc>
          <w:tcPr>
            <w:tcW w:w="5717" w:type="dxa"/>
          </w:tcPr>
          <w:p>
            <w:pPr>
              <w:widowControl/>
              <w:jc w:val="left"/>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 xml:space="preserve">1）文明、安全施工管理措施和方法的得0～2分； </w:t>
            </w:r>
          </w:p>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（2）文明、安全施工管理的措施和方法切实、合理、科学、可行的加0～2分；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938" w:type="dxa"/>
            <w:vMerge w:val="continue"/>
            <w:vAlign w:val="center"/>
          </w:tcPr>
          <w:p>
            <w:pPr>
              <w:jc w:val="center"/>
              <w:rPr>
                <w:color w:val="000000" w:themeColor="text1"/>
                <w14:textFill>
                  <w14:solidFill>
                    <w14:schemeClr w14:val="tx1"/>
                  </w14:solidFill>
                </w14:textFill>
              </w:rPr>
            </w:pPr>
          </w:p>
        </w:tc>
        <w:tc>
          <w:tcPr>
            <w:tcW w:w="761" w:type="dxa"/>
            <w:vMerge w:val="continue"/>
            <w:vAlign w:val="center"/>
          </w:tcPr>
          <w:p>
            <w:pPr>
              <w:jc w:val="center"/>
              <w:rPr>
                <w:color w:val="000000" w:themeColor="text1"/>
                <w14:textFill>
                  <w14:solidFill>
                    <w14:schemeClr w14:val="tx1"/>
                  </w14:solidFill>
                </w14:textFill>
              </w:rPr>
            </w:pPr>
          </w:p>
        </w:tc>
        <w:tc>
          <w:tcPr>
            <w:tcW w:w="2027" w:type="dxa"/>
            <w:vAlign w:val="center"/>
          </w:tcPr>
          <w:p>
            <w:pPr>
              <w:autoSpaceDE w:val="0"/>
              <w:autoSpaceDN w:val="0"/>
              <w:adjustRightInd w:val="0"/>
              <w:ind w:right="97"/>
              <w:jc w:val="center"/>
              <w:rPr>
                <w:color w:val="000000" w:themeColor="text1"/>
                <w14:textFill>
                  <w14:solidFill>
                    <w14:schemeClr w14:val="tx1"/>
                  </w14:solidFill>
                </w14:textFill>
              </w:rPr>
            </w:pPr>
            <w:r>
              <w:rPr>
                <w:color w:val="000000" w:themeColor="text1"/>
                <w14:textFill>
                  <w14:solidFill>
                    <w14:schemeClr w14:val="tx1"/>
                  </w14:solidFill>
                </w14:textFill>
              </w:rPr>
              <w:t>进度控制的措施和方法（</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分）</w:t>
            </w:r>
          </w:p>
        </w:tc>
        <w:tc>
          <w:tcPr>
            <w:tcW w:w="5717" w:type="dxa"/>
            <w:vAlign w:val="center"/>
          </w:tcPr>
          <w:p>
            <w:pPr>
              <w:widowControl/>
              <w:jc w:val="left"/>
              <w:rPr>
                <w:color w:val="000000" w:themeColor="text1"/>
                <w14:textFill>
                  <w14:solidFill>
                    <w14:schemeClr w14:val="tx1"/>
                  </w14:solidFill>
                </w14:textFill>
              </w:rPr>
            </w:pPr>
            <w:r>
              <w:rPr>
                <w:color w:val="000000" w:themeColor="text1"/>
                <w14:textFill>
                  <w14:solidFill>
                    <w14:schemeClr w14:val="tx1"/>
                  </w14:solidFill>
                </w14:textFill>
              </w:rPr>
              <w:t>（1）进度控制的监理工作内容、方法和措施</w:t>
            </w:r>
            <w:r>
              <w:rPr>
                <w:rFonts w:hint="eastAsia"/>
                <w:color w:val="000000" w:themeColor="text1"/>
                <w14:textFill>
                  <w14:solidFill>
                    <w14:schemeClr w14:val="tx1"/>
                  </w14:solidFill>
                </w14:textFill>
              </w:rPr>
              <w:t>的得0～2分</w:t>
            </w:r>
            <w:r>
              <w:rPr>
                <w:color w:val="000000" w:themeColor="text1"/>
                <w14:textFill>
                  <w14:solidFill>
                    <w14:schemeClr w14:val="tx1"/>
                  </w14:solidFill>
                </w14:textFill>
              </w:rPr>
              <w:t>。</w:t>
            </w:r>
          </w:p>
          <w:p>
            <w:pPr>
              <w:widowControl/>
              <w:jc w:val="left"/>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）进度控制的监理工作措施详细，包括技术措施、组织措施、经济措施、合同措施齐全</w:t>
            </w:r>
            <w:r>
              <w:rPr>
                <w:rFonts w:hint="eastAsia"/>
                <w:color w:val="000000" w:themeColor="text1"/>
                <w14:textFill>
                  <w14:solidFill>
                    <w14:schemeClr w14:val="tx1"/>
                  </w14:solidFill>
                </w14:textFill>
              </w:rPr>
              <w:t>的得0～2分</w:t>
            </w:r>
            <w:r>
              <w:rPr>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938" w:type="dxa"/>
            <w:vMerge w:val="continue"/>
            <w:vAlign w:val="center"/>
          </w:tcPr>
          <w:p>
            <w:pPr>
              <w:rPr>
                <w:color w:val="000000" w:themeColor="text1"/>
                <w14:textFill>
                  <w14:solidFill>
                    <w14:schemeClr w14:val="tx1"/>
                  </w14:solidFill>
                </w14:textFill>
              </w:rPr>
            </w:pPr>
          </w:p>
        </w:tc>
        <w:tc>
          <w:tcPr>
            <w:tcW w:w="761" w:type="dxa"/>
            <w:vMerge w:val="continue"/>
            <w:vAlign w:val="center"/>
          </w:tcPr>
          <w:p>
            <w:pPr>
              <w:rPr>
                <w:color w:val="000000" w:themeColor="text1"/>
                <w14:textFill>
                  <w14:solidFill>
                    <w14:schemeClr w14:val="tx1"/>
                  </w14:solidFill>
                </w14:textFill>
              </w:rPr>
            </w:pPr>
          </w:p>
        </w:tc>
        <w:tc>
          <w:tcPr>
            <w:tcW w:w="2027" w:type="dxa"/>
            <w:vAlign w:val="center"/>
          </w:tcPr>
          <w:p>
            <w:pPr>
              <w:autoSpaceDE w:val="0"/>
              <w:autoSpaceDN w:val="0"/>
              <w:adjustRightInd w:val="0"/>
              <w:ind w:right="97"/>
              <w:jc w:val="center"/>
              <w:rPr>
                <w:color w:val="000000" w:themeColor="text1"/>
                <w14:textFill>
                  <w14:solidFill>
                    <w14:schemeClr w14:val="tx1"/>
                  </w14:solidFill>
                </w14:textFill>
              </w:rPr>
            </w:pPr>
            <w:r>
              <w:rPr>
                <w:color w:val="000000" w:themeColor="text1"/>
                <w14:textFill>
                  <w14:solidFill>
                    <w14:schemeClr w14:val="tx1"/>
                  </w14:solidFill>
                </w14:textFill>
              </w:rPr>
              <w:t>投资控制的措施和方法（</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分）</w:t>
            </w:r>
          </w:p>
        </w:tc>
        <w:tc>
          <w:tcPr>
            <w:tcW w:w="5717" w:type="dxa"/>
            <w:vAlign w:val="center"/>
          </w:tcPr>
          <w:p>
            <w:pPr>
              <w:widowControl/>
              <w:jc w:val="left"/>
              <w:rPr>
                <w:color w:val="000000" w:themeColor="text1"/>
                <w14:textFill>
                  <w14:solidFill>
                    <w14:schemeClr w14:val="tx1"/>
                  </w14:solidFill>
                </w14:textFill>
              </w:rPr>
            </w:pPr>
            <w:r>
              <w:rPr>
                <w:color w:val="000000" w:themeColor="text1"/>
                <w14:textFill>
                  <w14:solidFill>
                    <w14:schemeClr w14:val="tx1"/>
                  </w14:solidFill>
                </w14:textFill>
              </w:rPr>
              <w:t>（1）投资控制的监理工作内容、方法和措施</w:t>
            </w:r>
            <w:r>
              <w:rPr>
                <w:rFonts w:hint="eastAsia"/>
                <w:color w:val="000000" w:themeColor="text1"/>
                <w14:textFill>
                  <w14:solidFill>
                    <w14:schemeClr w14:val="tx1"/>
                  </w14:solidFill>
                </w14:textFill>
              </w:rPr>
              <w:t>的</w:t>
            </w:r>
            <w:r>
              <w:rPr>
                <w:color w:val="000000" w:themeColor="text1"/>
                <w14:textFill>
                  <w14:solidFill>
                    <w14:schemeClr w14:val="tx1"/>
                  </w14:solidFill>
                </w14:textFill>
              </w:rPr>
              <w:t>得0～</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分。</w:t>
            </w:r>
          </w:p>
          <w:p>
            <w:pPr>
              <w:widowControl/>
              <w:jc w:val="left"/>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）投资控制监理措施详细，技术措施、组织措施、经济措施、合同措施齐全</w:t>
            </w:r>
            <w:r>
              <w:rPr>
                <w:rFonts w:hint="eastAsia"/>
                <w:color w:val="000000" w:themeColor="text1"/>
                <w14:textFill>
                  <w14:solidFill>
                    <w14:schemeClr w14:val="tx1"/>
                  </w14:solidFill>
                </w14:textFill>
              </w:rPr>
              <w:t>的</w:t>
            </w:r>
            <w:r>
              <w:rPr>
                <w:color w:val="000000" w:themeColor="text1"/>
                <w14:textFill>
                  <w14:solidFill>
                    <w14:schemeClr w14:val="tx1"/>
                  </w14:solidFill>
                </w14:textFill>
              </w:rPr>
              <w:t>得0～</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分。</w:t>
            </w:r>
          </w:p>
          <w:p>
            <w:pPr>
              <w:widowControl/>
              <w:jc w:val="left"/>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）工程变更管理和流程</w:t>
            </w:r>
            <w:r>
              <w:rPr>
                <w:rFonts w:hint="eastAsia"/>
                <w:color w:val="000000" w:themeColor="text1"/>
                <w14:textFill>
                  <w14:solidFill>
                    <w14:schemeClr w14:val="tx1"/>
                  </w14:solidFill>
                </w14:textFill>
              </w:rPr>
              <w:t>的</w:t>
            </w:r>
            <w:r>
              <w:rPr>
                <w:color w:val="000000" w:themeColor="text1"/>
                <w14:textFill>
                  <w14:solidFill>
                    <w14:schemeClr w14:val="tx1"/>
                  </w14:solidFill>
                </w14:textFill>
              </w:rPr>
              <w:t>得0～</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分。</w:t>
            </w:r>
          </w:p>
          <w:p>
            <w:pPr>
              <w:widowControl/>
              <w:jc w:val="left"/>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）费用索赔管理和流程</w:t>
            </w:r>
            <w:r>
              <w:rPr>
                <w:rFonts w:hint="eastAsia"/>
                <w:color w:val="000000" w:themeColor="text1"/>
                <w14:textFill>
                  <w14:solidFill>
                    <w14:schemeClr w14:val="tx1"/>
                  </w14:solidFill>
                </w14:textFill>
              </w:rPr>
              <w:t>的</w:t>
            </w:r>
            <w:r>
              <w:rPr>
                <w:color w:val="000000" w:themeColor="text1"/>
                <w14:textFill>
                  <w14:solidFill>
                    <w14:schemeClr w14:val="tx1"/>
                  </w14:solidFill>
                </w14:textFill>
              </w:rPr>
              <w:t>得0～</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分。</w:t>
            </w:r>
          </w:p>
          <w:p>
            <w:pPr>
              <w:widowControl/>
              <w:jc w:val="left"/>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）工程结算管理和流程</w:t>
            </w:r>
            <w:r>
              <w:rPr>
                <w:rFonts w:hint="eastAsia"/>
                <w:color w:val="000000" w:themeColor="text1"/>
                <w14:textFill>
                  <w14:solidFill>
                    <w14:schemeClr w14:val="tx1"/>
                  </w14:solidFill>
                </w14:textFill>
              </w:rPr>
              <w:t>的</w:t>
            </w:r>
            <w:r>
              <w:rPr>
                <w:color w:val="000000" w:themeColor="text1"/>
                <w14:textFill>
                  <w14:solidFill>
                    <w14:schemeClr w14:val="tx1"/>
                  </w14:solidFill>
                </w14:textFill>
              </w:rPr>
              <w:t>得0～</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938" w:type="dxa"/>
            <w:vMerge w:val="continue"/>
            <w:vAlign w:val="center"/>
          </w:tcPr>
          <w:p>
            <w:pPr>
              <w:rPr>
                <w:color w:val="000000" w:themeColor="text1"/>
                <w14:textFill>
                  <w14:solidFill>
                    <w14:schemeClr w14:val="tx1"/>
                  </w14:solidFill>
                </w14:textFill>
              </w:rPr>
            </w:pPr>
          </w:p>
        </w:tc>
        <w:tc>
          <w:tcPr>
            <w:tcW w:w="761" w:type="dxa"/>
            <w:vMerge w:val="continue"/>
            <w:vAlign w:val="center"/>
          </w:tcPr>
          <w:p>
            <w:pPr>
              <w:rPr>
                <w:color w:val="000000" w:themeColor="text1"/>
                <w14:textFill>
                  <w14:solidFill>
                    <w14:schemeClr w14:val="tx1"/>
                  </w14:solidFill>
                </w14:textFill>
              </w:rPr>
            </w:pPr>
          </w:p>
        </w:tc>
        <w:tc>
          <w:tcPr>
            <w:tcW w:w="2027" w:type="dxa"/>
            <w:vAlign w:val="center"/>
          </w:tcPr>
          <w:p>
            <w:pPr>
              <w:widowControl/>
              <w:jc w:val="center"/>
              <w:rPr>
                <w:color w:val="000000" w:themeColor="text1"/>
                <w14:textFill>
                  <w14:solidFill>
                    <w14:schemeClr w14:val="tx1"/>
                  </w14:solidFill>
                </w14:textFill>
              </w:rPr>
            </w:pPr>
            <w:r>
              <w:rPr>
                <w:color w:val="000000" w:themeColor="text1"/>
                <w14:textFill>
                  <w14:solidFill>
                    <w14:schemeClr w14:val="tx1"/>
                  </w14:solidFill>
                </w14:textFill>
              </w:rPr>
              <w:t>组织协调的措施和方法（</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分）</w:t>
            </w:r>
          </w:p>
        </w:tc>
        <w:tc>
          <w:tcPr>
            <w:tcW w:w="5717" w:type="dxa"/>
            <w:vAlign w:val="center"/>
          </w:tcPr>
          <w:p>
            <w:pPr>
              <w:widowControl/>
              <w:jc w:val="left"/>
              <w:rPr>
                <w:color w:val="000000" w:themeColor="text1"/>
                <w14:textFill>
                  <w14:solidFill>
                    <w14:schemeClr w14:val="tx1"/>
                  </w14:solidFill>
                </w14:textFill>
              </w:rPr>
            </w:pPr>
            <w:r>
              <w:rPr>
                <w:color w:val="000000" w:themeColor="text1"/>
                <w14:textFill>
                  <w14:solidFill>
                    <w14:schemeClr w14:val="tx1"/>
                  </w14:solidFill>
                </w14:textFill>
              </w:rPr>
              <w:t>（1）项目组织协调的工作内容及方法</w:t>
            </w:r>
            <w:r>
              <w:rPr>
                <w:rFonts w:hint="eastAsia"/>
                <w:color w:val="000000" w:themeColor="text1"/>
                <w14:textFill>
                  <w14:solidFill>
                    <w14:schemeClr w14:val="tx1"/>
                  </w14:solidFill>
                </w14:textFill>
              </w:rPr>
              <w:t>的得0～2分</w:t>
            </w:r>
            <w:r>
              <w:rPr>
                <w:color w:val="000000" w:themeColor="text1"/>
                <w14:textFill>
                  <w14:solidFill>
                    <w14:schemeClr w14:val="tx1"/>
                  </w14:solidFill>
                </w14:textFill>
              </w:rPr>
              <w:t>。</w:t>
            </w:r>
          </w:p>
          <w:p>
            <w:pPr>
              <w:widowControl/>
              <w:jc w:val="left"/>
              <w:rPr>
                <w:color w:val="000000" w:themeColor="text1"/>
                <w14:textFill>
                  <w14:solidFill>
                    <w14:schemeClr w14:val="tx1"/>
                  </w14:solidFill>
                </w14:textFill>
              </w:rPr>
            </w:pPr>
            <w:r>
              <w:rPr>
                <w:color w:val="000000" w:themeColor="text1"/>
                <w14:textFill>
                  <w14:solidFill>
                    <w14:schemeClr w14:val="tx1"/>
                  </w14:solidFill>
                </w14:textFill>
              </w:rPr>
              <w:t>（2）项目组织协调的措施</w:t>
            </w:r>
            <w:r>
              <w:rPr>
                <w:rFonts w:hint="eastAsia"/>
                <w:color w:val="000000" w:themeColor="text1"/>
                <w14:textFill>
                  <w14:solidFill>
                    <w14:schemeClr w14:val="tx1"/>
                  </w14:solidFill>
                </w14:textFill>
              </w:rPr>
              <w:t>的得0～2分</w:t>
            </w:r>
            <w:r>
              <w:rPr>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38" w:type="dxa"/>
            <w:vMerge w:val="continue"/>
            <w:vAlign w:val="center"/>
          </w:tcPr>
          <w:p>
            <w:pPr>
              <w:rPr>
                <w:color w:val="000000" w:themeColor="text1"/>
                <w14:textFill>
                  <w14:solidFill>
                    <w14:schemeClr w14:val="tx1"/>
                  </w14:solidFill>
                </w14:textFill>
              </w:rPr>
            </w:pPr>
          </w:p>
        </w:tc>
        <w:tc>
          <w:tcPr>
            <w:tcW w:w="761" w:type="dxa"/>
            <w:vMerge w:val="continue"/>
            <w:vAlign w:val="center"/>
          </w:tcPr>
          <w:p>
            <w:pPr>
              <w:rPr>
                <w:color w:val="000000" w:themeColor="text1"/>
                <w14:textFill>
                  <w14:solidFill>
                    <w14:schemeClr w14:val="tx1"/>
                  </w14:solidFill>
                </w14:textFill>
              </w:rPr>
            </w:pPr>
          </w:p>
        </w:tc>
        <w:tc>
          <w:tcPr>
            <w:tcW w:w="2027" w:type="dxa"/>
            <w:vAlign w:val="center"/>
          </w:tcPr>
          <w:p>
            <w:pPr>
              <w:widowControl/>
              <w:jc w:val="center"/>
              <w:rPr>
                <w:color w:val="000000" w:themeColor="text1"/>
                <w14:textFill>
                  <w14:solidFill>
                    <w14:schemeClr w14:val="tx1"/>
                  </w14:solidFill>
                </w14:textFill>
              </w:rPr>
            </w:pPr>
            <w:r>
              <w:rPr>
                <w:color w:val="000000" w:themeColor="text1"/>
                <w14:textFill>
                  <w14:solidFill>
                    <w14:schemeClr w14:val="tx1"/>
                  </w14:solidFill>
                </w14:textFill>
              </w:rPr>
              <w:t>合同管理、信息管理的措施和方法</w:t>
            </w:r>
          </w:p>
          <w:p>
            <w:pPr>
              <w:widowControl/>
              <w:jc w:val="center"/>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分）</w:t>
            </w:r>
          </w:p>
        </w:tc>
        <w:tc>
          <w:tcPr>
            <w:tcW w:w="5717" w:type="dxa"/>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（1）合同、信息管理的监理工作内容、原则、程序和方法得0-2分。</w:t>
            </w:r>
          </w:p>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（2）合同、信息管理的监理技术、组织、经济及合同措施可行的得0-2分。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938" w:type="dxa"/>
            <w:vMerge w:val="continue"/>
            <w:vAlign w:val="center"/>
          </w:tcPr>
          <w:p>
            <w:pPr>
              <w:rPr>
                <w:color w:val="000000" w:themeColor="text1"/>
                <w14:textFill>
                  <w14:solidFill>
                    <w14:schemeClr w14:val="tx1"/>
                  </w14:solidFill>
                </w14:textFill>
              </w:rPr>
            </w:pPr>
          </w:p>
        </w:tc>
        <w:tc>
          <w:tcPr>
            <w:tcW w:w="761" w:type="dxa"/>
            <w:vMerge w:val="continue"/>
            <w:vAlign w:val="center"/>
          </w:tcPr>
          <w:p>
            <w:pPr>
              <w:rPr>
                <w:color w:val="000000" w:themeColor="text1"/>
                <w14:textFill>
                  <w14:solidFill>
                    <w14:schemeClr w14:val="tx1"/>
                  </w14:solidFill>
                </w14:textFill>
              </w:rPr>
            </w:pPr>
          </w:p>
        </w:tc>
        <w:tc>
          <w:tcPr>
            <w:tcW w:w="2027" w:type="dxa"/>
            <w:vAlign w:val="center"/>
          </w:tcPr>
          <w:p>
            <w:pPr>
              <w:autoSpaceDE w:val="0"/>
              <w:autoSpaceDN w:val="0"/>
              <w:adjustRightInd w:val="0"/>
              <w:ind w:right="97"/>
              <w:jc w:val="center"/>
              <w:rPr>
                <w:color w:val="000000" w:themeColor="text1"/>
                <w14:textFill>
                  <w14:solidFill>
                    <w14:schemeClr w14:val="tx1"/>
                  </w14:solidFill>
                </w14:textFill>
              </w:rPr>
            </w:pPr>
            <w:r>
              <w:rPr>
                <w:color w:val="000000" w:themeColor="text1"/>
                <w14:textFill>
                  <w14:solidFill>
                    <w14:schemeClr w14:val="tx1"/>
                  </w14:solidFill>
                </w14:textFill>
              </w:rPr>
              <w:t>监理部投入的检测设备、仪器（3分）</w:t>
            </w:r>
          </w:p>
        </w:tc>
        <w:tc>
          <w:tcPr>
            <w:tcW w:w="5717" w:type="dxa"/>
            <w:vAlign w:val="center"/>
          </w:tcPr>
          <w:p>
            <w:pPr>
              <w:autoSpaceDE w:val="0"/>
              <w:autoSpaceDN w:val="0"/>
              <w:adjustRightInd w:val="0"/>
              <w:ind w:right="97"/>
              <w:rPr>
                <w:rFonts w:hint="eastAsia" w:eastAsia="宋体"/>
                <w:color w:val="000000" w:themeColor="text1"/>
                <w:lang w:eastAsia="zh-CN"/>
                <w14:textFill>
                  <w14:solidFill>
                    <w14:schemeClr w14:val="tx1"/>
                  </w14:solidFill>
                </w14:textFill>
              </w:rPr>
            </w:pPr>
            <w:r>
              <w:rPr>
                <w:color w:val="000000" w:themeColor="text1"/>
                <w14:textFill>
                  <w14:solidFill>
                    <w14:schemeClr w14:val="tx1"/>
                  </w14:solidFill>
                </w14:textFill>
              </w:rPr>
              <w:t>全站仪（或经纬仪、水准仪）、钢卷尺</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或</w:t>
            </w:r>
            <w:r>
              <w:rPr>
                <w:rFonts w:hint="eastAsia"/>
                <w:color w:val="000000" w:themeColor="text1"/>
                <w:lang w:eastAsia="zh-CN"/>
                <w14:textFill>
                  <w14:solidFill>
                    <w14:schemeClr w14:val="tx1"/>
                  </w14:solidFill>
                </w14:textFill>
              </w:rPr>
              <w:t>钢尺）</w:t>
            </w:r>
            <w:r>
              <w:rPr>
                <w:color w:val="000000" w:themeColor="text1"/>
                <w14:textFill>
                  <w14:solidFill>
                    <w14:schemeClr w14:val="tx1"/>
                  </w14:solidFill>
                </w14:textFill>
              </w:rPr>
              <w:t>、照相机</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或</w:t>
            </w:r>
            <w:r>
              <w:rPr>
                <w:rFonts w:hint="eastAsia"/>
                <w:color w:val="000000" w:themeColor="text1"/>
                <w:lang w:eastAsia="zh-CN"/>
                <w14:textFill>
                  <w14:solidFill>
                    <w14:schemeClr w14:val="tx1"/>
                  </w14:solidFill>
                </w14:textFill>
              </w:rPr>
              <w:t>摄像机）</w:t>
            </w:r>
            <w:r>
              <w:rPr>
                <w:color w:val="000000" w:themeColor="text1"/>
                <w14:textFill>
                  <w14:solidFill>
                    <w14:schemeClr w14:val="tx1"/>
                  </w14:solidFill>
                </w14:textFill>
              </w:rPr>
              <w:t>、计算机、打印机等设备齐全者得 3分，缺 1 项扣0.5分，扣完为止。</w:t>
            </w:r>
            <w:r>
              <w:rPr>
                <w:rFonts w:hint="eastAsia"/>
                <w:color w:val="000000" w:themeColor="text1"/>
                <w:lang w:eastAsia="zh-CN"/>
                <w14:textFill>
                  <w14:solidFill>
                    <w14:schemeClr w14:val="tx1"/>
                  </w14:solidFill>
                </w14:textFill>
              </w:rPr>
              <w:t>提供设备发票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938" w:type="dxa"/>
            <w:vMerge w:val="continue"/>
            <w:vAlign w:val="center"/>
          </w:tcPr>
          <w:p>
            <w:pPr>
              <w:rPr>
                <w:color w:val="000000" w:themeColor="text1"/>
                <w14:textFill>
                  <w14:solidFill>
                    <w14:schemeClr w14:val="tx1"/>
                  </w14:solidFill>
                </w14:textFill>
              </w:rPr>
            </w:pPr>
          </w:p>
        </w:tc>
        <w:tc>
          <w:tcPr>
            <w:tcW w:w="761" w:type="dxa"/>
            <w:vMerge w:val="continue"/>
            <w:vAlign w:val="center"/>
          </w:tcPr>
          <w:p>
            <w:pPr>
              <w:rPr>
                <w:color w:val="000000" w:themeColor="text1"/>
                <w14:textFill>
                  <w14:solidFill>
                    <w14:schemeClr w14:val="tx1"/>
                  </w14:solidFill>
                </w14:textFill>
              </w:rPr>
            </w:pPr>
          </w:p>
        </w:tc>
        <w:tc>
          <w:tcPr>
            <w:tcW w:w="2027" w:type="dxa"/>
            <w:vAlign w:val="bottom"/>
          </w:tcPr>
          <w:p>
            <w:pPr>
              <w:autoSpaceDE w:val="0"/>
              <w:autoSpaceDN w:val="0"/>
              <w:adjustRightInd w:val="0"/>
              <w:ind w:right="97" w:rightChars="0"/>
              <w:jc w:val="center"/>
              <w:rPr>
                <w:rFonts w:hint="eastAsia" w:ascii="Times New Roman" w:hAnsi="Times New Roman" w:eastAsia="宋体" w:cs="Times New Roman"/>
                <w:color w:val="000000" w:themeColor="text1"/>
                <w:kern w:val="2"/>
                <w:sz w:val="21"/>
                <w:lang w:val="en-US" w:eastAsia="zh-CN" w:bidi="ar-SA"/>
                <w14:textFill>
                  <w14:solidFill>
                    <w14:schemeClr w14:val="tx1"/>
                  </w14:solidFill>
                </w14:textFill>
              </w:rPr>
            </w:pPr>
            <w:r>
              <w:rPr>
                <w:color w:val="000000" w:themeColor="text1"/>
                <w14:textFill>
                  <w14:solidFill>
                    <w14:schemeClr w14:val="tx1"/>
                  </w14:solidFill>
                </w14:textFill>
              </w:rPr>
              <w:t>工程重点、难点及监理措施（</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分）</w:t>
            </w:r>
          </w:p>
        </w:tc>
        <w:tc>
          <w:tcPr>
            <w:tcW w:w="5717" w:type="dxa"/>
            <w:vAlign w:val="center"/>
          </w:tcPr>
          <w:p>
            <w:pPr>
              <w:autoSpaceDE w:val="0"/>
              <w:autoSpaceDN w:val="0"/>
              <w:adjustRightInd w:val="0"/>
              <w:ind w:right="97" w:rightChars="0"/>
              <w:rPr>
                <w:rFonts w:ascii="Times New Roman" w:hAnsi="Times New Roman" w:eastAsia="宋体" w:cs="Times New Roman"/>
                <w:color w:val="000000" w:themeColor="text1"/>
                <w:kern w:val="2"/>
                <w:sz w:val="21"/>
                <w:lang w:val="en-US" w:eastAsia="zh-CN" w:bidi="ar-SA"/>
                <w14:textFill>
                  <w14:solidFill>
                    <w14:schemeClr w14:val="tx1"/>
                  </w14:solidFill>
                </w14:textFill>
              </w:rPr>
            </w:pPr>
            <w:r>
              <w:rPr>
                <w:color w:val="000000" w:themeColor="text1"/>
                <w14:textFill>
                  <w14:solidFill>
                    <w14:schemeClr w14:val="tx1"/>
                  </w14:solidFill>
                </w14:textFill>
              </w:rPr>
              <w:t>对工程关键环节、重点难点部位分析合理，采取对应的监理措施可行、合理、可靠，根据上述内容</w:t>
            </w:r>
            <w:r>
              <w:rPr>
                <w:color w:val="000000" w:themeColor="text1"/>
                <w:kern w:val="0"/>
                <w:szCs w:val="21"/>
                <w:lang w:bidi="ar"/>
                <w14:textFill>
                  <w14:solidFill>
                    <w14:schemeClr w14:val="tx1"/>
                  </w14:solidFill>
                </w14:textFill>
              </w:rPr>
              <w:t>评委酌情打</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938" w:type="dxa"/>
            <w:vMerge w:val="continue"/>
            <w:vAlign w:val="center"/>
          </w:tcPr>
          <w:p>
            <w:pPr>
              <w:rPr>
                <w:color w:val="000000" w:themeColor="text1"/>
                <w14:textFill>
                  <w14:solidFill>
                    <w14:schemeClr w14:val="tx1"/>
                  </w14:solidFill>
                </w14:textFill>
              </w:rPr>
            </w:pPr>
          </w:p>
        </w:tc>
        <w:tc>
          <w:tcPr>
            <w:tcW w:w="761" w:type="dxa"/>
            <w:vMerge w:val="continue"/>
            <w:vAlign w:val="center"/>
          </w:tcPr>
          <w:p>
            <w:pPr>
              <w:rPr>
                <w:color w:val="000000" w:themeColor="text1"/>
                <w14:textFill>
                  <w14:solidFill>
                    <w14:schemeClr w14:val="tx1"/>
                  </w14:solidFill>
                </w14:textFill>
              </w:rPr>
            </w:pPr>
          </w:p>
        </w:tc>
        <w:tc>
          <w:tcPr>
            <w:tcW w:w="2027" w:type="dxa"/>
            <w:vAlign w:val="center"/>
          </w:tcPr>
          <w:p>
            <w:pPr>
              <w:autoSpaceDE w:val="0"/>
              <w:autoSpaceDN w:val="0"/>
              <w:adjustRightInd w:val="0"/>
              <w:ind w:right="97"/>
              <w:rPr>
                <w:rFonts w:hint="eastAsia"/>
                <w:color w:val="000000" w:themeColor="text1"/>
                <w14:textFill>
                  <w14:solidFill>
                    <w14:schemeClr w14:val="tx1"/>
                  </w14:solidFill>
                </w14:textFill>
              </w:rPr>
            </w:pPr>
          </w:p>
        </w:tc>
        <w:tc>
          <w:tcPr>
            <w:tcW w:w="5717" w:type="dxa"/>
            <w:vAlign w:val="center"/>
          </w:tcPr>
          <w:p>
            <w:pPr>
              <w:autoSpaceDE w:val="0"/>
              <w:autoSpaceDN w:val="0"/>
              <w:adjustRightInd w:val="0"/>
              <w:ind w:right="97"/>
              <w:rPr>
                <w:color w:val="000000" w:themeColor="text1"/>
                <w14:textFill>
                  <w14:solidFill>
                    <w14:schemeClr w14:val="tx1"/>
                  </w14:solidFill>
                </w14:textFill>
              </w:rPr>
            </w:pPr>
            <w:r>
              <w:rPr>
                <w:b/>
                <w:bCs/>
                <w:color w:val="000000" w:themeColor="text1"/>
                <w:szCs w:val="21"/>
                <w14:textFill>
                  <w14:solidFill>
                    <w14:schemeClr w14:val="tx1"/>
                  </w14:solidFill>
                </w14:textFill>
              </w:rPr>
              <w:t>注：以上监理大纲内容若有缺项，则该项为0分。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938" w:type="dxa"/>
            <w:vMerge w:val="restart"/>
            <w:vAlign w:val="center"/>
          </w:tcPr>
          <w:p>
            <w:pPr>
              <w:autoSpaceDE w:val="0"/>
              <w:autoSpaceDN w:val="0"/>
              <w:adjustRightInd w:val="0"/>
              <w:ind w:right="97"/>
              <w:rPr>
                <w:color w:val="000000" w:themeColor="text1"/>
                <w14:textFill>
                  <w14:solidFill>
                    <w14:schemeClr w14:val="tx1"/>
                  </w14:solidFill>
                </w14:textFill>
              </w:rPr>
            </w:pPr>
            <w:r>
              <w:rPr>
                <w:color w:val="000000" w:themeColor="text1"/>
                <w14:textFill>
                  <w14:solidFill>
                    <w14:schemeClr w14:val="tx1"/>
                  </w14:solidFill>
                </w14:textFill>
              </w:rPr>
              <w:t>2.2.3</w:t>
            </w:r>
          </w:p>
          <w:p>
            <w:pPr>
              <w:autoSpaceDE w:val="0"/>
              <w:autoSpaceDN w:val="0"/>
              <w:adjustRightInd w:val="0"/>
              <w:ind w:right="97"/>
              <w:rPr>
                <w:color w:val="000000" w:themeColor="text1"/>
                <w14:textFill>
                  <w14:solidFill>
                    <w14:schemeClr w14:val="tx1"/>
                  </w14:solidFill>
                </w14:textFill>
              </w:rPr>
            </w:pPr>
            <w:r>
              <w:rPr>
                <w:color w:val="000000" w:themeColor="text1"/>
                <w14:textFill>
                  <w14:solidFill>
                    <w14:schemeClr w14:val="tx1"/>
                  </w14:solidFill>
                </w14:textFill>
              </w:rPr>
              <w:t>（3）</w:t>
            </w:r>
          </w:p>
        </w:tc>
        <w:tc>
          <w:tcPr>
            <w:tcW w:w="761" w:type="dxa"/>
            <w:vMerge w:val="restart"/>
            <w:vAlign w:val="center"/>
          </w:tcPr>
          <w:p>
            <w:pPr>
              <w:autoSpaceDE w:val="0"/>
              <w:autoSpaceDN w:val="0"/>
              <w:adjustRightInd w:val="0"/>
              <w:ind w:right="97"/>
              <w:rPr>
                <w:color w:val="000000" w:themeColor="text1"/>
                <w14:textFill>
                  <w14:solidFill>
                    <w14:schemeClr w14:val="tx1"/>
                  </w14:solidFill>
                </w14:textFill>
              </w:rPr>
            </w:pPr>
            <w:r>
              <w:rPr>
                <w:color w:val="000000" w:themeColor="text1"/>
                <w14:textFill>
                  <w14:solidFill>
                    <w14:schemeClr w14:val="tx1"/>
                  </w14:solidFill>
                </w14:textFill>
              </w:rPr>
              <w:t>综合部分评分标准</w:t>
            </w:r>
          </w:p>
          <w:p>
            <w:pPr>
              <w:autoSpaceDE w:val="0"/>
              <w:autoSpaceDN w:val="0"/>
              <w:adjustRightInd w:val="0"/>
              <w:ind w:right="97"/>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25</w:t>
            </w:r>
            <w:r>
              <w:rPr>
                <w:color w:val="000000" w:themeColor="text1"/>
                <w14:textFill>
                  <w14:solidFill>
                    <w14:schemeClr w14:val="tx1"/>
                  </w14:solidFill>
                </w14:textFill>
              </w:rPr>
              <w:t>分）</w:t>
            </w:r>
          </w:p>
        </w:tc>
        <w:tc>
          <w:tcPr>
            <w:tcW w:w="2027" w:type="dxa"/>
            <w:vAlign w:val="center"/>
          </w:tcPr>
          <w:p>
            <w:pPr>
              <w:autoSpaceDE w:val="0"/>
              <w:autoSpaceDN w:val="0"/>
              <w:adjustRightInd w:val="0"/>
              <w:ind w:right="97" w:rightChars="0"/>
              <w:jc w:val="center"/>
              <w:rPr>
                <w:color w:val="000000" w:themeColor="text1"/>
                <w14:textFill>
                  <w14:solidFill>
                    <w14:schemeClr w14:val="tx1"/>
                  </w14:solidFill>
                </w14:textFill>
              </w:rPr>
            </w:pPr>
            <w:r>
              <w:rPr>
                <w:color w:val="000000" w:themeColor="text1"/>
                <w14:textFill>
                  <w14:solidFill>
                    <w14:schemeClr w14:val="tx1"/>
                  </w14:solidFill>
                </w14:textFill>
              </w:rPr>
              <w:t>项目管理机构</w:t>
            </w:r>
          </w:p>
          <w:p>
            <w:pPr>
              <w:autoSpaceDE w:val="0"/>
              <w:autoSpaceDN w:val="0"/>
              <w:adjustRightInd w:val="0"/>
              <w:ind w:right="97" w:rightChars="0"/>
              <w:jc w:val="center"/>
              <w:rPr>
                <w:rFonts w:ascii="Times New Roman" w:hAnsi="Times New Roman" w:eastAsia="宋体" w:cs="Times New Roman"/>
                <w:color w:val="000000" w:themeColor="text1"/>
                <w:kern w:val="2"/>
                <w:sz w:val="21"/>
                <w:lang w:val="en-US" w:eastAsia="zh-CN" w:bidi="ar-SA"/>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6</w:t>
            </w:r>
            <w:r>
              <w:rPr>
                <w:color w:val="000000" w:themeColor="text1"/>
                <w14:textFill>
                  <w14:solidFill>
                    <w14:schemeClr w14:val="tx1"/>
                  </w14:solidFill>
                </w14:textFill>
              </w:rPr>
              <w:t>分）</w:t>
            </w:r>
          </w:p>
        </w:tc>
        <w:tc>
          <w:tcPr>
            <w:tcW w:w="5717" w:type="dxa"/>
            <w:vAlign w:val="center"/>
          </w:tcPr>
          <w:p>
            <w:pPr>
              <w:autoSpaceDE w:val="0"/>
              <w:autoSpaceDN w:val="0"/>
              <w:adjustRightInd w:val="0"/>
              <w:ind w:right="97"/>
              <w:rPr>
                <w:color w:val="000000" w:themeColor="text1"/>
                <w14:textFill>
                  <w14:solidFill>
                    <w14:schemeClr w14:val="tx1"/>
                  </w14:solidFill>
                </w14:textFill>
              </w:rPr>
            </w:pPr>
            <w:r>
              <w:rPr>
                <w:rFonts w:hint="eastAsia"/>
                <w:color w:val="000000" w:themeColor="text1"/>
                <w14:textFill>
                  <w14:solidFill>
                    <w14:schemeClr w14:val="tx1"/>
                  </w14:solidFill>
                </w14:textFill>
              </w:rPr>
              <w:t>监理组织机构人员除总监理工程师之外还应包括：专业监理工程师（房屋建筑、机电安装）、监理员、资料员、安全员、见证员持证上岗，得6分，缺一个扣1分，此项扣完为止。</w:t>
            </w:r>
          </w:p>
          <w:p>
            <w:pPr>
              <w:autoSpaceDE w:val="0"/>
              <w:autoSpaceDN w:val="0"/>
              <w:adjustRightInd w:val="0"/>
              <w:ind w:right="97"/>
              <w:rPr>
                <w:color w:val="000000" w:themeColor="text1"/>
                <w14:textFill>
                  <w14:solidFill>
                    <w14:schemeClr w14:val="tx1"/>
                  </w14:solidFill>
                </w14:textFill>
              </w:rPr>
            </w:pPr>
            <w:r>
              <w:rPr>
                <w:rFonts w:hint="eastAsia"/>
                <w:color w:val="000000" w:themeColor="text1"/>
                <w14:textFill>
                  <w14:solidFill>
                    <w14:schemeClr w14:val="tx1"/>
                  </w14:solidFill>
                </w14:textFill>
              </w:rPr>
              <w:t>提供相应证明资料扫描件</w:t>
            </w:r>
            <w:r>
              <w:rPr>
                <w:rFonts w:hint="eastAsia"/>
                <w:color w:val="000000" w:themeColor="text1"/>
                <w:lang w:eastAsia="zh-CN"/>
                <w14:textFill>
                  <w14:solidFill>
                    <w14:schemeClr w14:val="tx1"/>
                  </w14:solidFill>
                </w14:textFill>
              </w:rPr>
              <w:t>和本单位劳动关系证明。</w:t>
            </w:r>
            <w:r>
              <w:rPr>
                <w:rFonts w:hint="eastAsia"/>
                <w:color w:val="000000" w:themeColor="text1"/>
                <w14:textFill>
                  <w14:solidFill>
                    <w14:schemeClr w14:val="tx1"/>
                  </w14:solidFill>
                </w14:textFill>
              </w:rPr>
              <w:t>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938" w:type="dxa"/>
            <w:vMerge w:val="continue"/>
            <w:vAlign w:val="center"/>
          </w:tcPr>
          <w:p>
            <w:pPr>
              <w:autoSpaceDE w:val="0"/>
              <w:autoSpaceDN w:val="0"/>
              <w:adjustRightInd w:val="0"/>
              <w:ind w:right="97"/>
              <w:rPr>
                <w:color w:val="000000" w:themeColor="text1"/>
                <w14:textFill>
                  <w14:solidFill>
                    <w14:schemeClr w14:val="tx1"/>
                  </w14:solidFill>
                </w14:textFill>
              </w:rPr>
            </w:pPr>
          </w:p>
        </w:tc>
        <w:tc>
          <w:tcPr>
            <w:tcW w:w="761" w:type="dxa"/>
            <w:vMerge w:val="continue"/>
            <w:vAlign w:val="center"/>
          </w:tcPr>
          <w:p>
            <w:pPr>
              <w:autoSpaceDE w:val="0"/>
              <w:autoSpaceDN w:val="0"/>
              <w:adjustRightInd w:val="0"/>
              <w:ind w:right="97"/>
              <w:rPr>
                <w:color w:val="000000" w:themeColor="text1"/>
                <w14:textFill>
                  <w14:solidFill>
                    <w14:schemeClr w14:val="tx1"/>
                  </w14:solidFill>
                </w14:textFill>
              </w:rPr>
            </w:pPr>
          </w:p>
        </w:tc>
        <w:tc>
          <w:tcPr>
            <w:tcW w:w="2027" w:type="dxa"/>
            <w:vAlign w:val="center"/>
          </w:tcPr>
          <w:p>
            <w:pPr>
              <w:autoSpaceDE w:val="0"/>
              <w:autoSpaceDN w:val="0"/>
              <w:adjustRightInd w:val="0"/>
              <w:ind w:right="97" w:rightChars="0"/>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企业实力</w:t>
            </w:r>
          </w:p>
          <w:p>
            <w:pPr>
              <w:autoSpaceDE w:val="0"/>
              <w:autoSpaceDN w:val="0"/>
              <w:adjustRightInd w:val="0"/>
              <w:ind w:right="97" w:rightChars="0"/>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（6分）</w:t>
            </w:r>
          </w:p>
        </w:tc>
        <w:tc>
          <w:tcPr>
            <w:tcW w:w="5717" w:type="dxa"/>
            <w:vAlign w:val="center"/>
          </w:tcPr>
          <w:p>
            <w:pPr>
              <w:pStyle w:val="23"/>
              <w:adjustRightInd w:val="0"/>
              <w:spacing w:before="0" w:beforeAutospacing="0" w:after="0" w:afterAutospacing="0"/>
              <w:jc w:val="both"/>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投标人202</w:t>
            </w:r>
            <w:r>
              <w:rPr>
                <w:rFonts w:hint="eastAsia"/>
                <w:color w:val="000000" w:themeColor="text1"/>
                <w:sz w:val="21"/>
                <w:szCs w:val="21"/>
                <w:highlight w:val="none"/>
                <w:lang w:val="en-US" w:eastAsia="zh-CN"/>
                <w14:textFill>
                  <w14:solidFill>
                    <w14:schemeClr w14:val="tx1"/>
                  </w14:solidFill>
                </w14:textFill>
              </w:rPr>
              <w:t>1</w:t>
            </w:r>
            <w:r>
              <w:rPr>
                <w:rFonts w:hint="eastAsia"/>
                <w:color w:val="000000" w:themeColor="text1"/>
                <w:sz w:val="21"/>
                <w:szCs w:val="21"/>
                <w:highlight w:val="none"/>
                <w14:textFill>
                  <w14:solidFill>
                    <w14:schemeClr w14:val="tx1"/>
                  </w14:solidFill>
                </w14:textFill>
              </w:rPr>
              <w:t>年1月1日以来获得</w:t>
            </w:r>
            <w:r>
              <w:rPr>
                <w:rFonts w:hint="eastAsia"/>
                <w:color w:val="000000" w:themeColor="text1"/>
                <w:sz w:val="21"/>
                <w:szCs w:val="21"/>
                <w:highlight w:val="none"/>
                <w:lang w:val="en-US" w:eastAsia="zh-CN"/>
                <w14:textFill>
                  <w14:solidFill>
                    <w14:schemeClr w14:val="tx1"/>
                  </w14:solidFill>
                </w14:textFill>
              </w:rPr>
              <w:t>市</w:t>
            </w:r>
            <w:r>
              <w:rPr>
                <w:rFonts w:hint="eastAsia"/>
                <w:color w:val="000000" w:themeColor="text1"/>
                <w:sz w:val="21"/>
                <w:szCs w:val="21"/>
                <w:highlight w:val="none"/>
                <w14:textFill>
                  <w14:solidFill>
                    <w14:schemeClr w14:val="tx1"/>
                  </w14:solidFill>
                </w14:textFill>
              </w:rPr>
              <w:t>级及以上建设行政主管部门颁发的奖项，每有一项得3分；本项最多得6分。（须提供奖项证书</w:t>
            </w:r>
            <w:r>
              <w:rPr>
                <w:rFonts w:hint="eastAsia"/>
                <w:color w:val="000000" w:themeColor="text1"/>
                <w:sz w:val="21"/>
                <w:szCs w:val="21"/>
                <w:highlight w:val="none"/>
                <w:lang w:eastAsia="zh-CN"/>
                <w14:textFill>
                  <w14:solidFill>
                    <w14:schemeClr w14:val="tx1"/>
                  </w14:solidFill>
                </w14:textFill>
              </w:rPr>
              <w:t>扫描件</w:t>
            </w:r>
            <w:r>
              <w:rPr>
                <w:rFonts w:hint="eastAsia"/>
                <w:color w:val="000000" w:themeColor="text1"/>
                <w:sz w:val="21"/>
                <w:szCs w:val="21"/>
                <w:highlight w:val="none"/>
                <w14:textFill>
                  <w14:solidFill>
                    <w14:schemeClr w14:val="tx1"/>
                  </w14:solidFill>
                </w14:textFill>
              </w:rPr>
              <w:t>，以证书发证时间为准。）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938" w:type="dxa"/>
            <w:vMerge w:val="continue"/>
            <w:vAlign w:val="center"/>
          </w:tcPr>
          <w:p>
            <w:pPr>
              <w:autoSpaceDE w:val="0"/>
              <w:autoSpaceDN w:val="0"/>
              <w:adjustRightInd w:val="0"/>
              <w:ind w:right="97"/>
              <w:rPr>
                <w:color w:val="000000" w:themeColor="text1"/>
                <w14:textFill>
                  <w14:solidFill>
                    <w14:schemeClr w14:val="tx1"/>
                  </w14:solidFill>
                </w14:textFill>
              </w:rPr>
            </w:pPr>
          </w:p>
        </w:tc>
        <w:tc>
          <w:tcPr>
            <w:tcW w:w="761" w:type="dxa"/>
            <w:vMerge w:val="continue"/>
            <w:vAlign w:val="center"/>
          </w:tcPr>
          <w:p>
            <w:pPr>
              <w:autoSpaceDE w:val="0"/>
              <w:autoSpaceDN w:val="0"/>
              <w:adjustRightInd w:val="0"/>
              <w:ind w:right="97"/>
              <w:rPr>
                <w:color w:val="000000" w:themeColor="text1"/>
                <w14:textFill>
                  <w14:solidFill>
                    <w14:schemeClr w14:val="tx1"/>
                  </w14:solidFill>
                </w14:textFill>
              </w:rPr>
            </w:pPr>
          </w:p>
        </w:tc>
        <w:tc>
          <w:tcPr>
            <w:tcW w:w="2027" w:type="dxa"/>
            <w:vAlign w:val="center"/>
          </w:tcPr>
          <w:p>
            <w:pPr>
              <w:autoSpaceDE w:val="0"/>
              <w:autoSpaceDN w:val="0"/>
              <w:adjustRightInd w:val="0"/>
              <w:ind w:right="97" w:rightChars="0"/>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企业业绩</w:t>
            </w:r>
          </w:p>
          <w:p>
            <w:pPr>
              <w:autoSpaceDE w:val="0"/>
              <w:autoSpaceDN w:val="0"/>
              <w:adjustRightInd w:val="0"/>
              <w:ind w:right="97" w:rightChars="0"/>
              <w:jc w:val="center"/>
              <w:rPr>
                <w:rFonts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6</w:t>
            </w:r>
            <w:r>
              <w:rPr>
                <w:rFonts w:hint="eastAsia"/>
                <w:color w:val="000000" w:themeColor="text1"/>
                <w14:textFill>
                  <w14:solidFill>
                    <w14:schemeClr w14:val="tx1"/>
                  </w14:solidFill>
                </w14:textFill>
              </w:rPr>
              <w:t>分）</w:t>
            </w:r>
          </w:p>
        </w:tc>
        <w:tc>
          <w:tcPr>
            <w:tcW w:w="5717" w:type="dxa"/>
            <w:vAlign w:val="center"/>
          </w:tcPr>
          <w:p>
            <w:pPr>
              <w:pStyle w:val="23"/>
              <w:adjustRightInd w:val="0"/>
              <w:snapToGrid w:val="0"/>
              <w:spacing w:before="0" w:beforeAutospacing="0" w:after="0" w:afterAutospacing="0"/>
              <w:jc w:val="both"/>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14:textFill>
                  <w14:solidFill>
                    <w14:schemeClr w14:val="tx1"/>
                  </w14:solidFill>
                </w14:textFill>
              </w:rPr>
              <w:t>投标人自202</w:t>
            </w:r>
            <w:r>
              <w:rPr>
                <w:rFonts w:hint="eastAsia"/>
                <w:color w:val="000000" w:themeColor="text1"/>
                <w:sz w:val="21"/>
                <w:szCs w:val="21"/>
                <w:lang w:val="en-US" w:eastAsia="zh-CN"/>
                <w14:textFill>
                  <w14:solidFill>
                    <w14:schemeClr w14:val="tx1"/>
                  </w14:solidFill>
                </w14:textFill>
              </w:rPr>
              <w:t>1</w:t>
            </w:r>
            <w:r>
              <w:rPr>
                <w:rFonts w:hint="eastAsia"/>
                <w:color w:val="000000" w:themeColor="text1"/>
                <w:sz w:val="21"/>
                <w:szCs w:val="21"/>
                <w14:textFill>
                  <w14:solidFill>
                    <w14:schemeClr w14:val="tx1"/>
                  </w14:solidFill>
                </w14:textFill>
              </w:rPr>
              <w:t>年1月1日以来</w:t>
            </w:r>
            <w:r>
              <w:rPr>
                <w:rFonts w:hint="eastAsia"/>
                <w:color w:val="000000" w:themeColor="text1"/>
                <w:sz w:val="21"/>
                <w:szCs w:val="21"/>
                <w:lang w:val="en-US" w:eastAsia="zh-CN"/>
                <w14:textFill>
                  <w14:solidFill>
                    <w14:schemeClr w14:val="tx1"/>
                  </w14:solidFill>
                </w14:textFill>
              </w:rPr>
              <w:t>承担过</w:t>
            </w:r>
            <w:r>
              <w:rPr>
                <w:rFonts w:hint="eastAsia"/>
                <w:color w:val="000000" w:themeColor="text1"/>
                <w:sz w:val="21"/>
                <w:szCs w:val="21"/>
                <w14:textFill>
                  <w14:solidFill>
                    <w14:schemeClr w14:val="tx1"/>
                  </w14:solidFill>
                </w14:textFill>
              </w:rPr>
              <w:t>投资额在</w:t>
            </w:r>
            <w:r>
              <w:rPr>
                <w:rFonts w:hint="eastAsia"/>
                <w:color w:val="000000" w:themeColor="text1"/>
                <w:sz w:val="21"/>
                <w:szCs w:val="21"/>
                <w:lang w:eastAsia="zh-CN"/>
                <w14:textFill>
                  <w14:solidFill>
                    <w14:schemeClr w14:val="tx1"/>
                  </w14:solidFill>
                </w14:textFill>
              </w:rPr>
              <w:t>1.</w:t>
            </w:r>
            <w:r>
              <w:rPr>
                <w:rFonts w:hint="eastAsia"/>
                <w:color w:val="000000" w:themeColor="text1"/>
                <w:sz w:val="21"/>
                <w:szCs w:val="21"/>
                <w:lang w:val="en-US" w:eastAsia="zh-CN"/>
                <w14:textFill>
                  <w14:solidFill>
                    <w14:schemeClr w14:val="tx1"/>
                  </w14:solidFill>
                </w14:textFill>
              </w:rPr>
              <w:t>8</w:t>
            </w:r>
            <w:r>
              <w:rPr>
                <w:rFonts w:hint="eastAsia"/>
                <w:color w:val="000000" w:themeColor="text1"/>
                <w:sz w:val="21"/>
                <w:szCs w:val="21"/>
                <w:lang w:eastAsia="zh-CN"/>
                <w14:textFill>
                  <w14:solidFill>
                    <w14:schemeClr w14:val="tx1"/>
                  </w14:solidFill>
                </w14:textFill>
              </w:rPr>
              <w:t>亿元</w:t>
            </w:r>
            <w:r>
              <w:rPr>
                <w:rFonts w:hint="eastAsia"/>
                <w:color w:val="000000" w:themeColor="text1"/>
                <w:sz w:val="21"/>
                <w:szCs w:val="21"/>
                <w:lang w:val="en-US" w:eastAsia="zh-CN"/>
                <w14:textFill>
                  <w14:solidFill>
                    <w14:schemeClr w14:val="tx1"/>
                  </w14:solidFill>
                </w14:textFill>
              </w:rPr>
              <w:t>及以上</w:t>
            </w:r>
            <w:r>
              <w:rPr>
                <w:rFonts w:hint="eastAsia"/>
                <w:color w:val="000000" w:themeColor="text1"/>
                <w:sz w:val="21"/>
                <w:szCs w:val="21"/>
                <w14:textFill>
                  <w14:solidFill>
                    <w14:schemeClr w14:val="tx1"/>
                  </w14:solidFill>
                </w14:textFill>
              </w:rPr>
              <w:t>或者建筑面积在</w:t>
            </w:r>
            <w:r>
              <w:rPr>
                <w:rFonts w:hint="eastAsia"/>
                <w:color w:val="000000" w:themeColor="text1"/>
                <w:sz w:val="21"/>
                <w:szCs w:val="21"/>
                <w:lang w:val="en-US" w:eastAsia="zh-CN"/>
                <w14:textFill>
                  <w14:solidFill>
                    <w14:schemeClr w14:val="tx1"/>
                  </w14:solidFill>
                </w14:textFill>
              </w:rPr>
              <w:t>7</w:t>
            </w:r>
            <w:r>
              <w:rPr>
                <w:rFonts w:hint="eastAsia"/>
                <w:color w:val="000000" w:themeColor="text1"/>
                <w:sz w:val="21"/>
                <w:szCs w:val="21"/>
                <w14:textFill>
                  <w14:solidFill>
                    <w14:schemeClr w14:val="tx1"/>
                  </w14:solidFill>
                </w14:textFill>
              </w:rPr>
              <w:t>万平方米</w:t>
            </w:r>
            <w:r>
              <w:rPr>
                <w:rFonts w:hint="eastAsia"/>
                <w:color w:val="000000" w:themeColor="text1"/>
                <w:sz w:val="21"/>
                <w:szCs w:val="21"/>
                <w:lang w:val="en-US" w:eastAsia="zh-CN"/>
                <w14:textFill>
                  <w14:solidFill>
                    <w14:schemeClr w14:val="tx1"/>
                  </w14:solidFill>
                </w14:textFill>
              </w:rPr>
              <w:t>及</w:t>
            </w:r>
            <w:r>
              <w:rPr>
                <w:rFonts w:hint="eastAsia"/>
                <w:color w:val="000000" w:themeColor="text1"/>
                <w:sz w:val="21"/>
                <w:szCs w:val="21"/>
                <w14:textFill>
                  <w14:solidFill>
                    <w14:schemeClr w14:val="tx1"/>
                  </w14:solidFill>
                </w14:textFill>
              </w:rPr>
              <w:t>以上的</w:t>
            </w:r>
            <w:r>
              <w:rPr>
                <w:rFonts w:hint="eastAsia"/>
                <w:color w:val="000000" w:themeColor="text1"/>
                <w:sz w:val="21"/>
                <w:szCs w:val="21"/>
                <w:lang w:eastAsia="zh-CN"/>
                <w14:textFill>
                  <w14:solidFill>
                    <w14:schemeClr w14:val="tx1"/>
                  </w14:solidFill>
                </w14:textFill>
              </w:rPr>
              <w:t>类似</w:t>
            </w:r>
            <w:r>
              <w:rPr>
                <w:rFonts w:hint="eastAsia"/>
                <w:color w:val="000000" w:themeColor="text1"/>
                <w:sz w:val="21"/>
                <w:szCs w:val="21"/>
                <w14:textFill>
                  <w14:solidFill>
                    <w14:schemeClr w14:val="tx1"/>
                  </w14:solidFill>
                </w14:textFill>
              </w:rPr>
              <w:t>业绩</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每提供一份得</w:t>
            </w:r>
            <w:r>
              <w:rPr>
                <w:rFonts w:hint="eastAsia"/>
                <w:color w:val="000000" w:themeColor="text1"/>
                <w:sz w:val="21"/>
                <w:szCs w:val="21"/>
                <w:lang w:val="en-US" w:eastAsia="zh-CN"/>
                <w14:textFill>
                  <w14:solidFill>
                    <w14:schemeClr w14:val="tx1"/>
                  </w14:solidFill>
                </w14:textFill>
              </w:rPr>
              <w:t>3</w:t>
            </w:r>
            <w:r>
              <w:rPr>
                <w:rFonts w:hint="eastAsia"/>
                <w:color w:val="000000" w:themeColor="text1"/>
                <w:sz w:val="21"/>
                <w:szCs w:val="21"/>
                <w14:textFill>
                  <w14:solidFill>
                    <w14:schemeClr w14:val="tx1"/>
                  </w14:solidFill>
                </w14:textFill>
              </w:rPr>
              <w:t>分，最高得</w:t>
            </w:r>
            <w:r>
              <w:rPr>
                <w:rFonts w:hint="eastAsia"/>
                <w:color w:val="000000" w:themeColor="text1"/>
                <w:sz w:val="21"/>
                <w:szCs w:val="21"/>
                <w:lang w:val="en-US" w:eastAsia="zh-CN"/>
                <w14:textFill>
                  <w14:solidFill>
                    <w14:schemeClr w14:val="tx1"/>
                  </w14:solidFill>
                </w14:textFill>
              </w:rPr>
              <w:t>6</w:t>
            </w:r>
            <w:r>
              <w:rPr>
                <w:rFonts w:hint="eastAsia"/>
                <w:color w:val="000000" w:themeColor="text1"/>
                <w:sz w:val="21"/>
                <w:szCs w:val="21"/>
                <w14:textFill>
                  <w14:solidFill>
                    <w14:schemeClr w14:val="tx1"/>
                  </w14:solidFill>
                </w14:textFill>
              </w:rPr>
              <w:t>分。（以合同签订日期为准，需提供中标通知书、合同协议书原件扫描件）。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7" w:hRule="atLeast"/>
          <w:jc w:val="center"/>
        </w:trPr>
        <w:tc>
          <w:tcPr>
            <w:tcW w:w="938" w:type="dxa"/>
            <w:vMerge w:val="continue"/>
            <w:vAlign w:val="center"/>
          </w:tcPr>
          <w:p>
            <w:pPr>
              <w:autoSpaceDE w:val="0"/>
              <w:autoSpaceDN w:val="0"/>
              <w:adjustRightInd w:val="0"/>
              <w:ind w:right="97"/>
              <w:rPr>
                <w:color w:val="000000" w:themeColor="text1"/>
                <w14:textFill>
                  <w14:solidFill>
                    <w14:schemeClr w14:val="tx1"/>
                  </w14:solidFill>
                </w14:textFill>
              </w:rPr>
            </w:pPr>
          </w:p>
        </w:tc>
        <w:tc>
          <w:tcPr>
            <w:tcW w:w="761" w:type="dxa"/>
            <w:vMerge w:val="continue"/>
            <w:vAlign w:val="center"/>
          </w:tcPr>
          <w:p>
            <w:pPr>
              <w:autoSpaceDE w:val="0"/>
              <w:autoSpaceDN w:val="0"/>
              <w:adjustRightInd w:val="0"/>
              <w:ind w:right="97"/>
              <w:rPr>
                <w:color w:val="000000" w:themeColor="text1"/>
                <w14:textFill>
                  <w14:solidFill>
                    <w14:schemeClr w14:val="tx1"/>
                  </w14:solidFill>
                </w14:textFill>
              </w:rPr>
            </w:pPr>
          </w:p>
        </w:tc>
        <w:tc>
          <w:tcPr>
            <w:tcW w:w="2027" w:type="dxa"/>
            <w:vAlign w:val="center"/>
          </w:tcPr>
          <w:p>
            <w:pPr>
              <w:autoSpaceDE w:val="0"/>
              <w:autoSpaceDN w:val="0"/>
              <w:adjustRightInd w:val="0"/>
              <w:ind w:right="97" w:rightChars="0"/>
              <w:jc w:val="center"/>
              <w:rPr>
                <w:color w:val="000000" w:themeColor="text1"/>
                <w14:textFill>
                  <w14:solidFill>
                    <w14:schemeClr w14:val="tx1"/>
                  </w14:solidFill>
                </w14:textFill>
              </w:rPr>
            </w:pPr>
            <w:r>
              <w:rPr>
                <w:color w:val="000000" w:themeColor="text1"/>
                <w14:textFill>
                  <w14:solidFill>
                    <w14:schemeClr w14:val="tx1"/>
                  </w14:solidFill>
                </w14:textFill>
              </w:rPr>
              <w:t>服务承诺</w:t>
            </w:r>
          </w:p>
          <w:p>
            <w:pPr>
              <w:autoSpaceDE w:val="0"/>
              <w:autoSpaceDN w:val="0"/>
              <w:adjustRightInd w:val="0"/>
              <w:ind w:right="97" w:rightChars="0"/>
              <w:jc w:val="center"/>
              <w:rPr>
                <w:rFonts w:ascii="Times New Roman" w:hAnsi="Times New Roman" w:eastAsia="宋体" w:cs="Times New Roman"/>
                <w:color w:val="000000" w:themeColor="text1"/>
                <w:kern w:val="2"/>
                <w:sz w:val="21"/>
                <w:lang w:val="en-US" w:eastAsia="zh-CN" w:bidi="ar-SA"/>
                <w14:textFill>
                  <w14:solidFill>
                    <w14:schemeClr w14:val="tx1"/>
                  </w14:solidFill>
                </w14:textFill>
              </w:rPr>
            </w:pP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5</w:t>
            </w:r>
            <w:r>
              <w:rPr>
                <w:color w:val="000000" w:themeColor="text1"/>
                <w14:textFill>
                  <w14:solidFill>
                    <w14:schemeClr w14:val="tx1"/>
                  </w14:solidFill>
                </w14:textFill>
              </w:rPr>
              <w:t>分）</w:t>
            </w:r>
          </w:p>
        </w:tc>
        <w:tc>
          <w:tcPr>
            <w:tcW w:w="5717" w:type="dxa"/>
            <w:vAlign w:val="center"/>
          </w:tcPr>
          <w:p>
            <w:pPr>
              <w:autoSpaceDE w:val="0"/>
              <w:autoSpaceDN w:val="0"/>
              <w:adjustRightInd w:val="0"/>
              <w:ind w:right="97"/>
              <w:rPr>
                <w:color w:val="000000" w:themeColor="text1"/>
                <w14:textFill>
                  <w14:solidFill>
                    <w14:schemeClr w14:val="tx1"/>
                  </w14:solidFill>
                </w14:textFill>
              </w:rPr>
            </w:pPr>
            <w:r>
              <w:rPr>
                <w:color w:val="000000" w:themeColor="text1"/>
                <w14:textFill>
                  <w14:solidFill>
                    <w14:schemeClr w14:val="tx1"/>
                  </w14:solidFill>
                </w14:textFill>
              </w:rPr>
              <w:t>（1）现场监理人员到位上岗且不准兼职，且有缺勤处罚措施的承诺得</w:t>
            </w:r>
            <w:r>
              <w:rPr>
                <w:rFonts w:hint="eastAsia"/>
                <w:color w:val="000000" w:themeColor="text1"/>
                <w:lang w:val="en-US" w:eastAsia="zh-CN"/>
                <w14:textFill>
                  <w14:solidFill>
                    <w14:schemeClr w14:val="tx1"/>
                  </w14:solidFill>
                </w14:textFill>
              </w:rPr>
              <w:t>1</w:t>
            </w:r>
            <w:r>
              <w:rPr>
                <w:color w:val="000000" w:themeColor="text1"/>
                <w14:textFill>
                  <w14:solidFill>
                    <w14:schemeClr w14:val="tx1"/>
                  </w14:solidFill>
                </w14:textFill>
              </w:rPr>
              <w:t>分，服务承诺合理、完善的加0-1分，未提供不得分。</w:t>
            </w:r>
          </w:p>
          <w:p>
            <w:pPr>
              <w:autoSpaceDE w:val="0"/>
              <w:autoSpaceDN w:val="0"/>
              <w:adjustRightInd w:val="0"/>
              <w:ind w:right="97"/>
              <w:rPr>
                <w:color w:val="000000" w:themeColor="text1"/>
                <w14:textFill>
                  <w14:solidFill>
                    <w14:schemeClr w14:val="tx1"/>
                  </w14:solidFill>
                </w14:textFill>
              </w:rPr>
            </w:pPr>
            <w:r>
              <w:rPr>
                <w:color w:val="000000" w:themeColor="text1"/>
                <w14:textFill>
                  <w14:solidFill>
                    <w14:schemeClr w14:val="tx1"/>
                  </w14:solidFill>
                </w14:textFill>
              </w:rPr>
              <w:t>（2）因监理方失职，在质量管理、投资控制、进度控制等方面给招标人带来损失的，有处罚措施的承诺得</w:t>
            </w:r>
            <w:r>
              <w:rPr>
                <w:rFonts w:hint="eastAsia"/>
                <w:color w:val="000000" w:themeColor="text1"/>
                <w:lang w:val="en-US" w:eastAsia="zh-CN"/>
                <w14:textFill>
                  <w14:solidFill>
                    <w14:schemeClr w14:val="tx1"/>
                  </w14:solidFill>
                </w14:textFill>
              </w:rPr>
              <w:t>1</w:t>
            </w:r>
            <w:r>
              <w:rPr>
                <w:color w:val="000000" w:themeColor="text1"/>
                <w14:textFill>
                  <w14:solidFill>
                    <w14:schemeClr w14:val="tx1"/>
                  </w14:solidFill>
                </w14:textFill>
              </w:rPr>
              <w:t>分，服务承诺合理、完善的加0-1分，未提供不得分。</w:t>
            </w:r>
          </w:p>
          <w:p>
            <w:pPr>
              <w:autoSpaceDE w:val="0"/>
              <w:autoSpaceDN w:val="0"/>
              <w:adjustRightInd w:val="0"/>
              <w:ind w:right="97"/>
              <w:rPr>
                <w:color w:val="000000" w:themeColor="text1"/>
                <w14:textFill>
                  <w14:solidFill>
                    <w14:schemeClr w14:val="tx1"/>
                  </w14:solidFill>
                </w14:textFill>
              </w:rPr>
            </w:pPr>
            <w:r>
              <w:rPr>
                <w:color w:val="000000" w:themeColor="text1"/>
                <w14:textFill>
                  <w14:solidFill>
                    <w14:schemeClr w14:val="tx1"/>
                  </w14:solidFill>
                </w14:textFill>
              </w:rPr>
              <w:t>（3）有投标人在人员、管理、技术等方面的实质性服务承诺得</w:t>
            </w:r>
            <w:r>
              <w:rPr>
                <w:rFonts w:hint="eastAsia"/>
                <w:color w:val="000000" w:themeColor="text1"/>
                <w:lang w:val="en-US" w:eastAsia="zh-CN"/>
                <w14:textFill>
                  <w14:solidFill>
                    <w14:schemeClr w14:val="tx1"/>
                  </w14:solidFill>
                </w14:textFill>
              </w:rPr>
              <w:t>1</w:t>
            </w:r>
            <w:r>
              <w:rPr>
                <w:color w:val="000000" w:themeColor="text1"/>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938" w:type="dxa"/>
            <w:vMerge w:val="continue"/>
            <w:vAlign w:val="center"/>
          </w:tcPr>
          <w:p>
            <w:pPr>
              <w:autoSpaceDE w:val="0"/>
              <w:autoSpaceDN w:val="0"/>
              <w:adjustRightInd w:val="0"/>
              <w:ind w:right="97"/>
              <w:rPr>
                <w:color w:val="000000" w:themeColor="text1"/>
                <w14:textFill>
                  <w14:solidFill>
                    <w14:schemeClr w14:val="tx1"/>
                  </w14:solidFill>
                </w14:textFill>
              </w:rPr>
            </w:pPr>
          </w:p>
        </w:tc>
        <w:tc>
          <w:tcPr>
            <w:tcW w:w="761" w:type="dxa"/>
            <w:vMerge w:val="continue"/>
            <w:vAlign w:val="center"/>
          </w:tcPr>
          <w:p>
            <w:pPr>
              <w:autoSpaceDE w:val="0"/>
              <w:autoSpaceDN w:val="0"/>
              <w:adjustRightInd w:val="0"/>
              <w:ind w:right="97"/>
              <w:rPr>
                <w:color w:val="000000" w:themeColor="text1"/>
                <w14:textFill>
                  <w14:solidFill>
                    <w14:schemeClr w14:val="tx1"/>
                  </w14:solidFill>
                </w14:textFill>
              </w:rPr>
            </w:pPr>
          </w:p>
        </w:tc>
        <w:tc>
          <w:tcPr>
            <w:tcW w:w="2027" w:type="dxa"/>
            <w:vAlign w:val="center"/>
          </w:tcPr>
          <w:p>
            <w:pPr>
              <w:autoSpaceDE w:val="0"/>
              <w:autoSpaceDN w:val="0"/>
              <w:adjustRightInd w:val="0"/>
              <w:ind w:right="97" w:rightChars="0"/>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招标人意见</w:t>
            </w:r>
          </w:p>
          <w:p>
            <w:pPr>
              <w:autoSpaceDE w:val="0"/>
              <w:autoSpaceDN w:val="0"/>
              <w:adjustRightInd w:val="0"/>
              <w:ind w:right="97" w:rightChars="0"/>
              <w:jc w:val="center"/>
              <w:rPr>
                <w:rFonts w:hint="eastAsia" w:ascii="Times New Roman" w:hAnsi="Times New Roman" w:eastAsia="宋体" w:cs="Times New Roman"/>
                <w:color w:val="000000" w:themeColor="text1"/>
                <w:kern w:val="2"/>
                <w:sz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（2分）</w:t>
            </w:r>
          </w:p>
        </w:tc>
        <w:tc>
          <w:tcPr>
            <w:tcW w:w="5717" w:type="dxa"/>
            <w:vAlign w:val="center"/>
          </w:tcPr>
          <w:p>
            <w:pPr>
              <w:autoSpaceDE w:val="0"/>
              <w:autoSpaceDN w:val="0"/>
              <w:adjustRightInd w:val="0"/>
              <w:ind w:right="97" w:rightChars="0"/>
              <w:jc w:val="center"/>
              <w:rPr>
                <w:rFonts w:hint="default" w:ascii="Times New Roman" w:hAnsi="Times New Roman" w:eastAsia="宋体" w:cs="Times New Roman"/>
                <w:color w:val="000000" w:themeColor="text1"/>
                <w:kern w:val="2"/>
                <w:sz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1" w:hRule="atLeast"/>
          <w:jc w:val="center"/>
        </w:trPr>
        <w:tc>
          <w:tcPr>
            <w:tcW w:w="9443" w:type="dxa"/>
            <w:gridSpan w:val="4"/>
            <w:vAlign w:val="center"/>
          </w:tcPr>
          <w:p>
            <w:pPr>
              <w:ind w:right="120"/>
              <w:rPr>
                <w:color w:val="000000" w:themeColor="text1"/>
                <w14:textFill>
                  <w14:solidFill>
                    <w14:schemeClr w14:val="tx1"/>
                  </w14:solidFill>
                </w14:textFill>
              </w:rPr>
            </w:pPr>
            <w:r>
              <w:rPr>
                <w:color w:val="000000" w:themeColor="text1"/>
                <w:szCs w:val="21"/>
                <w14:textFill>
                  <w14:solidFill>
                    <w14:schemeClr w14:val="tx1"/>
                  </w14:solidFill>
                </w14:textFill>
              </w:rPr>
              <w:t>备注：投标人的最终得分以全部评委打分的算术平均值为准，作为该投标人的最终得分。计分过程按四舍五入取至小数点后两位，最终结果取至小数点后两位。</w:t>
            </w:r>
          </w:p>
        </w:tc>
      </w:tr>
    </w:tbl>
    <w:p>
      <w:pPr>
        <w:pStyle w:val="11"/>
        <w:rPr>
          <w:rFonts w:hAnsi="宋体" w:cs="宋体"/>
          <w:b/>
          <w:color w:val="000000" w:themeColor="text1"/>
          <w:kern w:val="0"/>
          <w:sz w:val="21"/>
          <w14:textFill>
            <w14:solidFill>
              <w14:schemeClr w14:val="tx1"/>
            </w14:solidFill>
          </w14:textFill>
        </w:rPr>
      </w:pPr>
    </w:p>
    <w:p>
      <w:pPr>
        <w:pStyle w:val="5"/>
        <w:spacing w:line="240" w:lineRule="auto"/>
        <w:rPr>
          <w:rFonts w:ascii="宋体" w:hAnsi="宋体" w:eastAsia="宋体" w:cs="宋体"/>
          <w:color w:val="000000" w:themeColor="text1"/>
          <w14:textFill>
            <w14:solidFill>
              <w14:schemeClr w14:val="tx1"/>
            </w14:solidFill>
          </w14:textFill>
        </w:rPr>
      </w:pPr>
      <w:bookmarkStart w:id="581" w:name="_Toc29958"/>
      <w:bookmarkStart w:id="582" w:name="_Toc7535"/>
      <w:bookmarkStart w:id="583" w:name="_Toc12075"/>
      <w:bookmarkStart w:id="584" w:name="_Toc23335"/>
      <w:r>
        <w:rPr>
          <w:rFonts w:hint="eastAsia" w:ascii="宋体" w:hAnsi="宋体" w:eastAsia="宋体" w:cs="宋体"/>
          <w:color w:val="000000" w:themeColor="text1"/>
          <w14:textFill>
            <w14:solidFill>
              <w14:schemeClr w14:val="tx1"/>
            </w14:solidFill>
          </w14:textFill>
        </w:rPr>
        <w:t>1. 评标方法</w:t>
      </w:r>
      <w:bookmarkEnd w:id="581"/>
      <w:bookmarkEnd w:id="582"/>
      <w:bookmarkEnd w:id="583"/>
      <w:bookmarkEnd w:id="584"/>
    </w:p>
    <w:p>
      <w:pPr>
        <w:spacing w:line="360" w:lineRule="auto"/>
        <w:ind w:firstLine="420" w:firstLineChars="200"/>
        <w:rPr>
          <w:rFonts w:ascii="宋体" w:hAnsi="宋体" w:cs="宋体"/>
          <w:color w:val="000000" w:themeColor="text1"/>
          <w14:textFill>
            <w14:solidFill>
              <w14:schemeClr w14:val="tx1"/>
            </w14:solidFill>
          </w14:textFill>
        </w:rPr>
      </w:pPr>
      <w:bookmarkStart w:id="585" w:name="_Toc152042378"/>
      <w:bookmarkStart w:id="586" w:name="_Toc152045601"/>
      <w:bookmarkStart w:id="587" w:name="_Toc19925"/>
      <w:bookmarkStart w:id="588" w:name="_Toc247514025"/>
      <w:bookmarkStart w:id="589" w:name="_Toc247527626"/>
      <w:bookmarkStart w:id="590" w:name="_Toc144974568"/>
      <w:bookmarkStart w:id="591" w:name="_Toc2180"/>
      <w:r>
        <w:rPr>
          <w:rFonts w:hint="eastAsia" w:ascii="宋体" w:hAnsi="宋体" w:cs="宋体"/>
          <w:color w:val="000000" w:themeColor="text1"/>
          <w14:textFill>
            <w14:solidFill>
              <w14:schemeClr w14:val="tx1"/>
            </w14:solidFill>
          </w14:textFill>
        </w:rPr>
        <w:t>本次评标采用综合评估法。评标委员会对满足招标文件实质性要求的投标文件，按照本章第2.2款规定的评分标准进行打分，按综合得分由高到低顺序推荐3名中标候选人，或根据招标人授权直接确定中标单位，但投标报价低于其成本的除外。综合得分相等时，以投标报价低的优先；投标报价也相等的，由招标人自行确定。</w:t>
      </w:r>
    </w:p>
    <w:p>
      <w:pPr>
        <w:pStyle w:val="5"/>
        <w:spacing w:line="240" w:lineRule="auto"/>
        <w:rPr>
          <w:rFonts w:ascii="宋体" w:hAnsi="宋体" w:eastAsia="宋体" w:cs="宋体"/>
          <w:color w:val="000000" w:themeColor="text1"/>
          <w14:textFill>
            <w14:solidFill>
              <w14:schemeClr w14:val="tx1"/>
            </w14:solidFill>
          </w14:textFill>
        </w:rPr>
      </w:pPr>
      <w:bookmarkStart w:id="592" w:name="_Toc14598"/>
      <w:bookmarkStart w:id="593" w:name="_Toc27541"/>
      <w:bookmarkStart w:id="594" w:name="_Toc32091"/>
      <w:bookmarkStart w:id="595" w:name="_Toc3015"/>
      <w:r>
        <w:rPr>
          <w:rFonts w:hint="eastAsia" w:ascii="宋体" w:hAnsi="宋体" w:eastAsia="宋体" w:cs="宋体"/>
          <w:color w:val="000000" w:themeColor="text1"/>
          <w14:textFill>
            <w14:solidFill>
              <w14:schemeClr w14:val="tx1"/>
            </w14:solidFill>
          </w14:textFill>
        </w:rPr>
        <w:t>2. 评审标准</w:t>
      </w:r>
      <w:bookmarkEnd w:id="585"/>
      <w:bookmarkEnd w:id="586"/>
      <w:bookmarkEnd w:id="587"/>
      <w:bookmarkEnd w:id="588"/>
      <w:bookmarkEnd w:id="589"/>
      <w:bookmarkEnd w:id="590"/>
      <w:bookmarkEnd w:id="591"/>
      <w:bookmarkEnd w:id="592"/>
      <w:bookmarkEnd w:id="593"/>
      <w:bookmarkEnd w:id="594"/>
      <w:bookmarkEnd w:id="595"/>
    </w:p>
    <w:p>
      <w:pPr>
        <w:spacing w:line="360" w:lineRule="auto"/>
        <w:rPr>
          <w:rFonts w:ascii="宋体" w:hAnsi="宋体" w:cs="宋体"/>
          <w:b/>
          <w:color w:val="000000" w:themeColor="text1"/>
          <w:sz w:val="24"/>
          <w14:textFill>
            <w14:solidFill>
              <w14:schemeClr w14:val="tx1"/>
            </w14:solidFill>
          </w14:textFill>
        </w:rPr>
      </w:pPr>
      <w:bookmarkStart w:id="596" w:name="_Toc247514026"/>
      <w:bookmarkStart w:id="597" w:name="_Toc247527627"/>
      <w:bookmarkStart w:id="598" w:name="_Toc144974569"/>
      <w:bookmarkStart w:id="599" w:name="_Toc436316991"/>
      <w:bookmarkStart w:id="600" w:name="_Toc436315379"/>
      <w:bookmarkStart w:id="601" w:name="_Toc152045602"/>
      <w:bookmarkStart w:id="602" w:name="_Toc435930087"/>
      <w:bookmarkStart w:id="603" w:name="_Toc16456"/>
      <w:bookmarkStart w:id="604" w:name="_Toc152042379"/>
      <w:bookmarkStart w:id="605" w:name="_Toc18525"/>
      <w:r>
        <w:rPr>
          <w:rFonts w:hint="eastAsia" w:ascii="宋体" w:hAnsi="宋体" w:cs="宋体"/>
          <w:b/>
          <w:color w:val="000000" w:themeColor="text1"/>
          <w:sz w:val="24"/>
          <w14:textFill>
            <w14:solidFill>
              <w14:schemeClr w14:val="tx1"/>
            </w14:solidFill>
          </w14:textFill>
        </w:rPr>
        <w:t>2.1 初步评审标准</w:t>
      </w:r>
      <w:bookmarkEnd w:id="596"/>
      <w:bookmarkEnd w:id="597"/>
      <w:bookmarkEnd w:id="598"/>
      <w:bookmarkEnd w:id="599"/>
      <w:bookmarkEnd w:id="600"/>
      <w:bookmarkEnd w:id="601"/>
      <w:bookmarkEnd w:id="602"/>
      <w:bookmarkEnd w:id="603"/>
      <w:bookmarkEnd w:id="604"/>
      <w:bookmarkEnd w:id="605"/>
    </w:p>
    <w:p>
      <w:pPr>
        <w:spacing w:line="360" w:lineRule="auto"/>
        <w:ind w:firstLine="420" w:firstLineChars="20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2.1.1 形式评审标准：见评标办法前附表。</w:t>
      </w:r>
    </w:p>
    <w:p>
      <w:pPr>
        <w:spacing w:line="360" w:lineRule="auto"/>
        <w:ind w:firstLine="420" w:firstLineChars="20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2.1.2 资格评审标准：见评标办法前附表。</w:t>
      </w:r>
    </w:p>
    <w:p>
      <w:pPr>
        <w:spacing w:line="360" w:lineRule="auto"/>
        <w:ind w:firstLine="420" w:firstLineChars="20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2.1.3 响应性评审标准：见评标办法前附表。</w:t>
      </w:r>
    </w:p>
    <w:p>
      <w:pPr>
        <w:spacing w:line="360" w:lineRule="auto"/>
        <w:rPr>
          <w:rFonts w:ascii="宋体" w:hAnsi="宋体" w:cs="宋体"/>
          <w:color w:val="000000" w:themeColor="text1"/>
          <w14:textFill>
            <w14:solidFill>
              <w14:schemeClr w14:val="tx1"/>
            </w14:solidFill>
          </w14:textFill>
        </w:rPr>
      </w:pPr>
      <w:bookmarkStart w:id="606" w:name="_Toc436315380"/>
      <w:bookmarkStart w:id="607" w:name="_Toc22966"/>
      <w:bookmarkStart w:id="608" w:name="_Toc152042380"/>
      <w:bookmarkStart w:id="609" w:name="_Toc152045603"/>
      <w:bookmarkStart w:id="610" w:name="_Toc29608"/>
      <w:bookmarkStart w:id="611" w:name="_Toc144974570"/>
      <w:bookmarkStart w:id="612" w:name="_Toc247514027"/>
      <w:bookmarkStart w:id="613" w:name="_Toc436316992"/>
      <w:bookmarkStart w:id="614" w:name="_Toc247527628"/>
      <w:bookmarkStart w:id="615" w:name="_Toc435930088"/>
      <w:r>
        <w:rPr>
          <w:rFonts w:hint="eastAsia" w:ascii="宋体" w:hAnsi="宋体" w:cs="宋体"/>
          <w:b/>
          <w:color w:val="000000" w:themeColor="text1"/>
          <w:sz w:val="24"/>
          <w14:textFill>
            <w14:solidFill>
              <w14:schemeClr w14:val="tx1"/>
            </w14:solidFill>
          </w14:textFill>
        </w:rPr>
        <w:t>2.2 分值构成与评分标准</w:t>
      </w:r>
      <w:bookmarkEnd w:id="606"/>
      <w:bookmarkEnd w:id="607"/>
      <w:bookmarkEnd w:id="608"/>
      <w:bookmarkEnd w:id="609"/>
      <w:bookmarkEnd w:id="610"/>
      <w:bookmarkEnd w:id="611"/>
      <w:bookmarkEnd w:id="612"/>
      <w:bookmarkEnd w:id="613"/>
      <w:bookmarkEnd w:id="614"/>
      <w:bookmarkEnd w:id="615"/>
    </w:p>
    <w:p>
      <w:pPr>
        <w:spacing w:line="360" w:lineRule="auto"/>
        <w:ind w:firstLine="420" w:firstLineChars="20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2.2.1 分值构成</w:t>
      </w:r>
    </w:p>
    <w:p>
      <w:pPr>
        <w:spacing w:line="360" w:lineRule="auto"/>
        <w:ind w:firstLine="420" w:firstLineChars="20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（1）投标报价：见评标办法前附表；</w:t>
      </w:r>
    </w:p>
    <w:p>
      <w:pPr>
        <w:spacing w:line="360" w:lineRule="auto"/>
        <w:ind w:firstLine="420" w:firstLineChars="20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（2）</w:t>
      </w:r>
      <w:r>
        <w:rPr>
          <w:rFonts w:hint="eastAsia" w:ascii="宋体" w:hAnsi="宋体" w:cs="宋体"/>
          <w:color w:val="000000" w:themeColor="text1"/>
          <w:szCs w:val="24"/>
          <w14:textFill>
            <w14:solidFill>
              <w14:schemeClr w14:val="tx1"/>
            </w14:solidFill>
          </w14:textFill>
        </w:rPr>
        <w:t>监理大纲</w:t>
      </w:r>
      <w:r>
        <w:rPr>
          <w:rFonts w:hint="eastAsia" w:ascii="宋体" w:hAnsi="宋体" w:cs="宋体"/>
          <w:color w:val="000000" w:themeColor="text1"/>
          <w14:textFill>
            <w14:solidFill>
              <w14:schemeClr w14:val="tx1"/>
            </w14:solidFill>
          </w14:textFill>
        </w:rPr>
        <w:t>部分：见评标办法前附表；</w:t>
      </w:r>
    </w:p>
    <w:p>
      <w:pPr>
        <w:spacing w:line="360" w:lineRule="auto"/>
        <w:ind w:firstLine="420" w:firstLineChars="20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（3）综合部分：见评标办法前附表；</w:t>
      </w:r>
    </w:p>
    <w:p>
      <w:pPr>
        <w:spacing w:line="360" w:lineRule="auto"/>
        <w:ind w:firstLine="420" w:firstLineChars="20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2.2.2 评标基准价计算</w:t>
      </w:r>
    </w:p>
    <w:p>
      <w:pPr>
        <w:spacing w:line="360" w:lineRule="auto"/>
        <w:ind w:firstLine="420" w:firstLineChars="20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评标基准价计算方法：见评标办法前附表。</w:t>
      </w:r>
    </w:p>
    <w:p>
      <w:pPr>
        <w:spacing w:line="360" w:lineRule="auto"/>
        <w:ind w:firstLine="420" w:firstLineChars="20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2.2.3 投标报价的偏差率计算</w:t>
      </w:r>
    </w:p>
    <w:p>
      <w:pPr>
        <w:spacing w:line="360" w:lineRule="auto"/>
        <w:ind w:firstLine="420" w:firstLineChars="20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投标报价的偏差率计算公式：见评标办法前附表。</w:t>
      </w:r>
    </w:p>
    <w:p>
      <w:pPr>
        <w:spacing w:line="360" w:lineRule="auto"/>
        <w:ind w:firstLine="420" w:firstLineChars="20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2.2.4 评分标准</w:t>
      </w:r>
    </w:p>
    <w:p>
      <w:pPr>
        <w:autoSpaceDE w:val="0"/>
        <w:autoSpaceDN w:val="0"/>
        <w:adjustRightInd w:val="0"/>
        <w:spacing w:line="360" w:lineRule="auto"/>
        <w:ind w:firstLine="420" w:firstLineChars="200"/>
        <w:jc w:val="left"/>
        <w:rPr>
          <w:rFonts w:ascii="宋体" w:hAnsi="宋体" w:cs="宋体"/>
          <w:color w:val="000000" w:themeColor="text1"/>
          <w:kern w:val="0"/>
          <w14:textFill>
            <w14:solidFill>
              <w14:schemeClr w14:val="tx1"/>
            </w14:solidFill>
          </w14:textFill>
        </w:rPr>
      </w:pPr>
      <w:bookmarkStart w:id="616" w:name="_Toc4456"/>
      <w:bookmarkStart w:id="617" w:name="_Toc10897"/>
      <w:bookmarkStart w:id="618" w:name="_Toc247527629"/>
      <w:bookmarkStart w:id="619" w:name="_Toc15889"/>
      <w:bookmarkStart w:id="620" w:name="_Toc152045604"/>
      <w:bookmarkStart w:id="621" w:name="_Toc247514028"/>
      <w:bookmarkStart w:id="622" w:name="_Toc152042381"/>
      <w:bookmarkStart w:id="623" w:name="_Toc144974571"/>
      <w:r>
        <w:rPr>
          <w:rFonts w:hint="eastAsia" w:ascii="宋体" w:hAnsi="宋体" w:cs="宋体"/>
          <w:color w:val="000000" w:themeColor="text1"/>
          <w:kern w:val="0"/>
          <w14:textFill>
            <w14:solidFill>
              <w14:schemeClr w14:val="tx1"/>
            </w14:solidFill>
          </w14:textFill>
        </w:rPr>
        <w:t>（1</w:t>
      </w:r>
      <w:r>
        <w:rPr>
          <w:rFonts w:hint="eastAsia" w:ascii="宋体" w:hAnsi="宋体" w:cs="宋体"/>
          <w:color w:val="000000" w:themeColor="text1"/>
          <w:spacing w:val="-2"/>
          <w:kern w:val="0"/>
          <w14:textFill>
            <w14:solidFill>
              <w14:schemeClr w14:val="tx1"/>
            </w14:solidFill>
          </w14:textFill>
        </w:rPr>
        <w:t>）</w:t>
      </w:r>
      <w:r>
        <w:rPr>
          <w:rFonts w:hint="eastAsia" w:ascii="宋体" w:hAnsi="宋体" w:cs="宋体"/>
          <w:color w:val="000000" w:themeColor="text1"/>
          <w:kern w:val="0"/>
          <w14:textFill>
            <w14:solidFill>
              <w14:schemeClr w14:val="tx1"/>
            </w14:solidFill>
          </w14:textFill>
        </w:rPr>
        <w:t>投</w:t>
      </w:r>
      <w:r>
        <w:rPr>
          <w:rFonts w:hint="eastAsia" w:ascii="宋体" w:hAnsi="宋体" w:cs="宋体"/>
          <w:color w:val="000000" w:themeColor="text1"/>
          <w:spacing w:val="-2"/>
          <w:kern w:val="0"/>
          <w14:textFill>
            <w14:solidFill>
              <w14:schemeClr w14:val="tx1"/>
            </w14:solidFill>
          </w14:textFill>
        </w:rPr>
        <w:t>标</w:t>
      </w:r>
      <w:r>
        <w:rPr>
          <w:rFonts w:hint="eastAsia" w:ascii="宋体" w:hAnsi="宋体" w:cs="宋体"/>
          <w:color w:val="000000" w:themeColor="text1"/>
          <w:kern w:val="0"/>
          <w14:textFill>
            <w14:solidFill>
              <w14:schemeClr w14:val="tx1"/>
            </w14:solidFill>
          </w14:textFill>
        </w:rPr>
        <w:t>报</w:t>
      </w:r>
      <w:r>
        <w:rPr>
          <w:rFonts w:hint="eastAsia" w:ascii="宋体" w:hAnsi="宋体" w:cs="宋体"/>
          <w:color w:val="000000" w:themeColor="text1"/>
          <w:spacing w:val="-2"/>
          <w:kern w:val="0"/>
          <w14:textFill>
            <w14:solidFill>
              <w14:schemeClr w14:val="tx1"/>
            </w14:solidFill>
          </w14:textFill>
        </w:rPr>
        <w:t>价</w:t>
      </w:r>
      <w:r>
        <w:rPr>
          <w:rFonts w:hint="eastAsia" w:ascii="宋体" w:hAnsi="宋体" w:cs="宋体"/>
          <w:color w:val="000000" w:themeColor="text1"/>
          <w:kern w:val="0"/>
          <w14:textFill>
            <w14:solidFill>
              <w14:schemeClr w14:val="tx1"/>
            </w14:solidFill>
          </w14:textFill>
        </w:rPr>
        <w:t>：</w:t>
      </w:r>
      <w:r>
        <w:rPr>
          <w:rFonts w:hint="eastAsia" w:ascii="宋体" w:hAnsi="宋体" w:cs="宋体"/>
          <w:color w:val="000000" w:themeColor="text1"/>
          <w:spacing w:val="-2"/>
          <w:kern w:val="0"/>
          <w14:textFill>
            <w14:solidFill>
              <w14:schemeClr w14:val="tx1"/>
            </w14:solidFill>
          </w14:textFill>
        </w:rPr>
        <w:t>见评</w:t>
      </w:r>
      <w:r>
        <w:rPr>
          <w:rFonts w:hint="eastAsia" w:ascii="宋体" w:hAnsi="宋体" w:cs="宋体"/>
          <w:color w:val="000000" w:themeColor="text1"/>
          <w:kern w:val="0"/>
          <w14:textFill>
            <w14:solidFill>
              <w14:schemeClr w14:val="tx1"/>
            </w14:solidFill>
          </w14:textFill>
        </w:rPr>
        <w:t>标办</w:t>
      </w:r>
      <w:r>
        <w:rPr>
          <w:rFonts w:hint="eastAsia" w:ascii="宋体" w:hAnsi="宋体" w:cs="宋体"/>
          <w:color w:val="000000" w:themeColor="text1"/>
          <w:spacing w:val="-2"/>
          <w:kern w:val="0"/>
          <w14:textFill>
            <w14:solidFill>
              <w14:schemeClr w14:val="tx1"/>
            </w14:solidFill>
          </w14:textFill>
        </w:rPr>
        <w:t>法</w:t>
      </w:r>
      <w:r>
        <w:rPr>
          <w:rFonts w:hint="eastAsia" w:ascii="宋体" w:hAnsi="宋体" w:cs="宋体"/>
          <w:color w:val="000000" w:themeColor="text1"/>
          <w:kern w:val="0"/>
          <w14:textFill>
            <w14:solidFill>
              <w14:schemeClr w14:val="tx1"/>
            </w14:solidFill>
          </w14:textFill>
        </w:rPr>
        <w:t>前</w:t>
      </w:r>
      <w:r>
        <w:rPr>
          <w:rFonts w:hint="eastAsia" w:ascii="宋体" w:hAnsi="宋体" w:cs="宋体"/>
          <w:color w:val="000000" w:themeColor="text1"/>
          <w:spacing w:val="-2"/>
          <w:kern w:val="0"/>
          <w14:textFill>
            <w14:solidFill>
              <w14:schemeClr w14:val="tx1"/>
            </w14:solidFill>
          </w14:textFill>
        </w:rPr>
        <w:t>附</w:t>
      </w:r>
      <w:r>
        <w:rPr>
          <w:rFonts w:hint="eastAsia" w:ascii="宋体" w:hAnsi="宋体" w:cs="宋体"/>
          <w:color w:val="000000" w:themeColor="text1"/>
          <w:kern w:val="0"/>
          <w14:textFill>
            <w14:solidFill>
              <w14:schemeClr w14:val="tx1"/>
            </w14:solidFill>
          </w14:textFill>
        </w:rPr>
        <w:t>表；</w:t>
      </w:r>
    </w:p>
    <w:p>
      <w:pPr>
        <w:autoSpaceDE w:val="0"/>
        <w:autoSpaceDN w:val="0"/>
        <w:adjustRightInd w:val="0"/>
        <w:spacing w:line="360" w:lineRule="auto"/>
        <w:ind w:firstLine="420" w:firstLineChars="200"/>
        <w:jc w:val="left"/>
        <w:rPr>
          <w:rFonts w:ascii="宋体" w:hAnsi="宋体" w:cs="宋体"/>
          <w:color w:val="000000" w:themeColor="text1"/>
          <w:kern w:val="0"/>
          <w14:textFill>
            <w14:solidFill>
              <w14:schemeClr w14:val="tx1"/>
            </w14:solidFill>
          </w14:textFill>
        </w:rPr>
      </w:pPr>
      <w:r>
        <w:rPr>
          <w:rFonts w:hint="eastAsia" w:ascii="宋体" w:hAnsi="宋体" w:cs="宋体"/>
          <w:color w:val="000000" w:themeColor="text1"/>
          <w:kern w:val="0"/>
          <w14:textFill>
            <w14:solidFill>
              <w14:schemeClr w14:val="tx1"/>
            </w14:solidFill>
          </w14:textFill>
        </w:rPr>
        <w:t>（2</w:t>
      </w:r>
      <w:r>
        <w:rPr>
          <w:rFonts w:hint="eastAsia" w:ascii="宋体" w:hAnsi="宋体" w:cs="宋体"/>
          <w:color w:val="000000" w:themeColor="text1"/>
          <w:spacing w:val="-2"/>
          <w:kern w:val="0"/>
          <w14:textFill>
            <w14:solidFill>
              <w14:schemeClr w14:val="tx1"/>
            </w14:solidFill>
          </w14:textFill>
        </w:rPr>
        <w:t>）监理大纲</w:t>
      </w:r>
      <w:r>
        <w:rPr>
          <w:rFonts w:hint="eastAsia" w:ascii="宋体" w:hAnsi="宋体" w:cs="宋体"/>
          <w:color w:val="000000" w:themeColor="text1"/>
          <w:kern w:val="0"/>
          <w14:textFill>
            <w14:solidFill>
              <w14:schemeClr w14:val="tx1"/>
            </w14:solidFill>
          </w14:textFill>
        </w:rPr>
        <w:t>部</w:t>
      </w:r>
      <w:r>
        <w:rPr>
          <w:rFonts w:hint="eastAsia" w:ascii="宋体" w:hAnsi="宋体" w:cs="宋体"/>
          <w:color w:val="000000" w:themeColor="text1"/>
          <w:spacing w:val="-2"/>
          <w:kern w:val="0"/>
          <w14:textFill>
            <w14:solidFill>
              <w14:schemeClr w14:val="tx1"/>
            </w14:solidFill>
          </w14:textFill>
        </w:rPr>
        <w:t>分</w:t>
      </w:r>
      <w:r>
        <w:rPr>
          <w:rFonts w:hint="eastAsia" w:ascii="宋体" w:hAnsi="宋体" w:cs="宋体"/>
          <w:color w:val="000000" w:themeColor="text1"/>
          <w:kern w:val="0"/>
          <w14:textFill>
            <w14:solidFill>
              <w14:schemeClr w14:val="tx1"/>
            </w14:solidFill>
          </w14:textFill>
        </w:rPr>
        <w:t>：</w:t>
      </w:r>
      <w:r>
        <w:rPr>
          <w:rFonts w:hint="eastAsia" w:ascii="宋体" w:hAnsi="宋体" w:cs="宋体"/>
          <w:color w:val="000000" w:themeColor="text1"/>
          <w:spacing w:val="-2"/>
          <w:kern w:val="0"/>
          <w14:textFill>
            <w14:solidFill>
              <w14:schemeClr w14:val="tx1"/>
            </w14:solidFill>
          </w14:textFill>
        </w:rPr>
        <w:t>见评</w:t>
      </w:r>
      <w:r>
        <w:rPr>
          <w:rFonts w:hint="eastAsia" w:ascii="宋体" w:hAnsi="宋体" w:cs="宋体"/>
          <w:color w:val="000000" w:themeColor="text1"/>
          <w:kern w:val="0"/>
          <w14:textFill>
            <w14:solidFill>
              <w14:schemeClr w14:val="tx1"/>
            </w14:solidFill>
          </w14:textFill>
        </w:rPr>
        <w:t>标办</w:t>
      </w:r>
      <w:r>
        <w:rPr>
          <w:rFonts w:hint="eastAsia" w:ascii="宋体" w:hAnsi="宋体" w:cs="宋体"/>
          <w:color w:val="000000" w:themeColor="text1"/>
          <w:spacing w:val="-2"/>
          <w:kern w:val="0"/>
          <w14:textFill>
            <w14:solidFill>
              <w14:schemeClr w14:val="tx1"/>
            </w14:solidFill>
          </w14:textFill>
        </w:rPr>
        <w:t>法</w:t>
      </w:r>
      <w:r>
        <w:rPr>
          <w:rFonts w:hint="eastAsia" w:ascii="宋体" w:hAnsi="宋体" w:cs="宋体"/>
          <w:color w:val="000000" w:themeColor="text1"/>
          <w:kern w:val="0"/>
          <w14:textFill>
            <w14:solidFill>
              <w14:schemeClr w14:val="tx1"/>
            </w14:solidFill>
          </w14:textFill>
        </w:rPr>
        <w:t>前</w:t>
      </w:r>
      <w:r>
        <w:rPr>
          <w:rFonts w:hint="eastAsia" w:ascii="宋体" w:hAnsi="宋体" w:cs="宋体"/>
          <w:color w:val="000000" w:themeColor="text1"/>
          <w:spacing w:val="-2"/>
          <w:kern w:val="0"/>
          <w14:textFill>
            <w14:solidFill>
              <w14:schemeClr w14:val="tx1"/>
            </w14:solidFill>
          </w14:textFill>
        </w:rPr>
        <w:t>附</w:t>
      </w:r>
      <w:r>
        <w:rPr>
          <w:rFonts w:hint="eastAsia" w:ascii="宋体" w:hAnsi="宋体" w:cs="宋体"/>
          <w:color w:val="000000" w:themeColor="text1"/>
          <w:kern w:val="0"/>
          <w14:textFill>
            <w14:solidFill>
              <w14:schemeClr w14:val="tx1"/>
            </w14:solidFill>
          </w14:textFill>
        </w:rPr>
        <w:t>表；</w:t>
      </w:r>
    </w:p>
    <w:p>
      <w:pPr>
        <w:autoSpaceDE w:val="0"/>
        <w:autoSpaceDN w:val="0"/>
        <w:adjustRightInd w:val="0"/>
        <w:spacing w:line="360" w:lineRule="auto"/>
        <w:ind w:firstLine="420" w:firstLineChars="200"/>
        <w:jc w:val="left"/>
        <w:rPr>
          <w:rFonts w:ascii="宋体" w:hAnsi="宋体" w:cs="宋体"/>
          <w:color w:val="000000" w:themeColor="text1"/>
          <w:kern w:val="0"/>
          <w14:textFill>
            <w14:solidFill>
              <w14:schemeClr w14:val="tx1"/>
            </w14:solidFill>
          </w14:textFill>
        </w:rPr>
      </w:pPr>
      <w:r>
        <w:rPr>
          <w:rFonts w:hint="eastAsia" w:ascii="宋体" w:hAnsi="宋体" w:cs="宋体"/>
          <w:color w:val="000000" w:themeColor="text1"/>
          <w:kern w:val="0"/>
          <w14:textFill>
            <w14:solidFill>
              <w14:schemeClr w14:val="tx1"/>
            </w14:solidFill>
          </w14:textFill>
        </w:rPr>
        <w:t>（3</w:t>
      </w:r>
      <w:r>
        <w:rPr>
          <w:rFonts w:hint="eastAsia" w:ascii="宋体" w:hAnsi="宋体" w:cs="宋体"/>
          <w:color w:val="000000" w:themeColor="text1"/>
          <w:spacing w:val="-2"/>
          <w:kern w:val="0"/>
          <w14:textFill>
            <w14:solidFill>
              <w14:schemeClr w14:val="tx1"/>
            </w14:solidFill>
          </w14:textFill>
        </w:rPr>
        <w:t>）</w:t>
      </w:r>
      <w:r>
        <w:rPr>
          <w:rFonts w:hint="eastAsia" w:ascii="宋体" w:hAnsi="宋体" w:cs="宋体"/>
          <w:color w:val="000000" w:themeColor="text1"/>
          <w:kern w:val="0"/>
          <w14:textFill>
            <w14:solidFill>
              <w14:schemeClr w14:val="tx1"/>
            </w14:solidFill>
          </w14:textFill>
        </w:rPr>
        <w:t>综合部</w:t>
      </w:r>
      <w:r>
        <w:rPr>
          <w:rFonts w:hint="eastAsia" w:ascii="宋体" w:hAnsi="宋体" w:cs="宋体"/>
          <w:color w:val="000000" w:themeColor="text1"/>
          <w:spacing w:val="-2"/>
          <w:kern w:val="0"/>
          <w14:textFill>
            <w14:solidFill>
              <w14:schemeClr w14:val="tx1"/>
            </w14:solidFill>
          </w14:textFill>
        </w:rPr>
        <w:t>分</w:t>
      </w:r>
      <w:r>
        <w:rPr>
          <w:rFonts w:hint="eastAsia" w:ascii="宋体" w:hAnsi="宋体" w:cs="宋体"/>
          <w:color w:val="000000" w:themeColor="text1"/>
          <w:kern w:val="0"/>
          <w14:textFill>
            <w14:solidFill>
              <w14:schemeClr w14:val="tx1"/>
            </w14:solidFill>
          </w14:textFill>
        </w:rPr>
        <w:t>：</w:t>
      </w:r>
      <w:r>
        <w:rPr>
          <w:rFonts w:hint="eastAsia" w:ascii="宋体" w:hAnsi="宋体" w:cs="宋体"/>
          <w:color w:val="000000" w:themeColor="text1"/>
          <w:spacing w:val="-2"/>
          <w:kern w:val="0"/>
          <w14:textFill>
            <w14:solidFill>
              <w14:schemeClr w14:val="tx1"/>
            </w14:solidFill>
          </w14:textFill>
        </w:rPr>
        <w:t>见</w:t>
      </w:r>
      <w:r>
        <w:rPr>
          <w:rFonts w:hint="eastAsia" w:ascii="宋体" w:hAnsi="宋体" w:cs="宋体"/>
          <w:color w:val="000000" w:themeColor="text1"/>
          <w:kern w:val="0"/>
          <w14:textFill>
            <w14:solidFill>
              <w14:schemeClr w14:val="tx1"/>
            </w14:solidFill>
          </w14:textFill>
        </w:rPr>
        <w:t>评</w:t>
      </w:r>
      <w:r>
        <w:rPr>
          <w:rFonts w:hint="eastAsia" w:ascii="宋体" w:hAnsi="宋体" w:cs="宋体"/>
          <w:color w:val="000000" w:themeColor="text1"/>
          <w:spacing w:val="-2"/>
          <w:kern w:val="0"/>
          <w14:textFill>
            <w14:solidFill>
              <w14:schemeClr w14:val="tx1"/>
            </w14:solidFill>
          </w14:textFill>
        </w:rPr>
        <w:t>标办</w:t>
      </w:r>
      <w:r>
        <w:rPr>
          <w:rFonts w:hint="eastAsia" w:ascii="宋体" w:hAnsi="宋体" w:cs="宋体"/>
          <w:color w:val="000000" w:themeColor="text1"/>
          <w:kern w:val="0"/>
          <w14:textFill>
            <w14:solidFill>
              <w14:schemeClr w14:val="tx1"/>
            </w14:solidFill>
          </w14:textFill>
        </w:rPr>
        <w:t>法前</w:t>
      </w:r>
      <w:r>
        <w:rPr>
          <w:rFonts w:hint="eastAsia" w:ascii="宋体" w:hAnsi="宋体" w:cs="宋体"/>
          <w:color w:val="000000" w:themeColor="text1"/>
          <w:spacing w:val="-2"/>
          <w:kern w:val="0"/>
          <w14:textFill>
            <w14:solidFill>
              <w14:schemeClr w14:val="tx1"/>
            </w14:solidFill>
          </w14:textFill>
        </w:rPr>
        <w:t>附</w:t>
      </w:r>
      <w:r>
        <w:rPr>
          <w:rFonts w:hint="eastAsia" w:ascii="宋体" w:hAnsi="宋体" w:cs="宋体"/>
          <w:color w:val="000000" w:themeColor="text1"/>
          <w:kern w:val="0"/>
          <w14:textFill>
            <w14:solidFill>
              <w14:schemeClr w14:val="tx1"/>
            </w14:solidFill>
          </w14:textFill>
        </w:rPr>
        <w:t>表；</w:t>
      </w:r>
    </w:p>
    <w:p>
      <w:pPr>
        <w:pStyle w:val="5"/>
        <w:spacing w:line="240" w:lineRule="auto"/>
        <w:rPr>
          <w:rFonts w:ascii="宋体" w:hAnsi="宋体" w:eastAsia="宋体" w:cs="宋体"/>
          <w:color w:val="000000" w:themeColor="text1"/>
          <w14:textFill>
            <w14:solidFill>
              <w14:schemeClr w14:val="tx1"/>
            </w14:solidFill>
          </w14:textFill>
        </w:rPr>
      </w:pPr>
      <w:bookmarkStart w:id="624" w:name="_Toc26287"/>
      <w:bookmarkStart w:id="625" w:name="_Toc1693"/>
      <w:bookmarkStart w:id="626" w:name="_Toc29552"/>
      <w:r>
        <w:rPr>
          <w:rFonts w:hint="eastAsia" w:ascii="宋体" w:hAnsi="宋体" w:eastAsia="宋体" w:cs="宋体"/>
          <w:color w:val="000000" w:themeColor="text1"/>
          <w14:textFill>
            <w14:solidFill>
              <w14:schemeClr w14:val="tx1"/>
            </w14:solidFill>
          </w14:textFill>
        </w:rPr>
        <w:t>3. 评标程序</w:t>
      </w:r>
      <w:bookmarkEnd w:id="616"/>
      <w:bookmarkEnd w:id="617"/>
      <w:bookmarkEnd w:id="618"/>
      <w:bookmarkEnd w:id="619"/>
      <w:bookmarkEnd w:id="620"/>
      <w:bookmarkEnd w:id="621"/>
      <w:bookmarkEnd w:id="622"/>
      <w:bookmarkEnd w:id="623"/>
      <w:bookmarkEnd w:id="624"/>
      <w:bookmarkEnd w:id="625"/>
      <w:bookmarkEnd w:id="626"/>
    </w:p>
    <w:p>
      <w:pPr>
        <w:spacing w:line="360" w:lineRule="auto"/>
        <w:rPr>
          <w:rFonts w:ascii="宋体" w:hAnsi="宋体" w:cs="宋体"/>
          <w:b/>
          <w:color w:val="000000" w:themeColor="text1"/>
          <w:sz w:val="24"/>
          <w14:textFill>
            <w14:solidFill>
              <w14:schemeClr w14:val="tx1"/>
            </w14:solidFill>
          </w14:textFill>
        </w:rPr>
      </w:pPr>
      <w:bookmarkStart w:id="627" w:name="_Toc152042382"/>
      <w:bookmarkStart w:id="628" w:name="_Toc144974572"/>
      <w:bookmarkStart w:id="629" w:name="_Toc25388"/>
      <w:bookmarkStart w:id="630" w:name="_Toc247514029"/>
      <w:bookmarkStart w:id="631" w:name="_Toc435930090"/>
      <w:bookmarkStart w:id="632" w:name="_Toc436316994"/>
      <w:bookmarkStart w:id="633" w:name="_Toc19405"/>
      <w:bookmarkStart w:id="634" w:name="_Toc152045605"/>
      <w:bookmarkStart w:id="635" w:name="_Toc247527630"/>
      <w:bookmarkStart w:id="636" w:name="_Toc436315382"/>
      <w:r>
        <w:rPr>
          <w:rFonts w:hint="eastAsia" w:ascii="宋体" w:hAnsi="宋体" w:cs="宋体"/>
          <w:b/>
          <w:color w:val="000000" w:themeColor="text1"/>
          <w:sz w:val="24"/>
          <w14:textFill>
            <w14:solidFill>
              <w14:schemeClr w14:val="tx1"/>
            </w14:solidFill>
          </w14:textFill>
        </w:rPr>
        <w:t>3.1 初步评审</w:t>
      </w:r>
      <w:bookmarkEnd w:id="627"/>
      <w:bookmarkEnd w:id="628"/>
      <w:bookmarkEnd w:id="629"/>
      <w:bookmarkEnd w:id="630"/>
      <w:bookmarkEnd w:id="631"/>
      <w:bookmarkEnd w:id="632"/>
      <w:bookmarkEnd w:id="633"/>
      <w:bookmarkEnd w:id="634"/>
      <w:bookmarkEnd w:id="635"/>
      <w:bookmarkEnd w:id="636"/>
    </w:p>
    <w:p>
      <w:pPr>
        <w:spacing w:line="360" w:lineRule="auto"/>
        <w:ind w:firstLine="420" w:firstLineChars="20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3.1.1 评标委员会依据本章第2.1款规定的标准对投标文件进行初步评审。有一项不符合评审标准的，作废标处理。</w:t>
      </w:r>
    </w:p>
    <w:p>
      <w:pPr>
        <w:spacing w:line="360" w:lineRule="auto"/>
        <w:ind w:firstLine="420" w:firstLineChars="20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3.1.2 投标人有以下情形之一的，其投标作废标处理：</w:t>
      </w:r>
    </w:p>
    <w:p>
      <w:pPr>
        <w:spacing w:line="360" w:lineRule="auto"/>
        <w:ind w:firstLine="718" w:firstLineChars="342"/>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（1）第二章“投标人须知”第1.4.3项规定的任何一种情形的</w:t>
      </w:r>
    </w:p>
    <w:p>
      <w:pPr>
        <w:spacing w:line="360" w:lineRule="auto"/>
        <w:ind w:firstLine="718" w:firstLineChars="342"/>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（2）串通投标或弄虚作假或有其他违法行为的；</w:t>
      </w:r>
    </w:p>
    <w:p>
      <w:pPr>
        <w:spacing w:line="360" w:lineRule="auto"/>
        <w:ind w:firstLine="718" w:firstLineChars="342"/>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（3）不按评标委员会要求澄清、说明或补正的。</w:t>
      </w:r>
    </w:p>
    <w:p>
      <w:pPr>
        <w:spacing w:line="360" w:lineRule="auto"/>
        <w:ind w:firstLine="420" w:firstLineChars="20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3.1.3投标报价有算术错误的，评标委员会按以下原则对投标报价进行修正，修正的价格经投标人确认后具有约束力。投标人不接受修正价格的，其投标作废标处理。</w:t>
      </w:r>
    </w:p>
    <w:p>
      <w:pPr>
        <w:spacing w:line="360" w:lineRule="auto"/>
        <w:ind w:firstLine="630" w:firstLineChars="300"/>
        <w:rPr>
          <w:rFonts w:ascii="宋体" w:hAnsi="宋体" w:cs="宋体"/>
          <w:color w:val="000000" w:themeColor="text1"/>
          <w14:textFill>
            <w14:solidFill>
              <w14:schemeClr w14:val="tx1"/>
            </w14:solidFill>
          </w14:textFill>
        </w:rPr>
      </w:pPr>
      <w:bookmarkStart w:id="637" w:name="_Toc152042383"/>
      <w:r>
        <w:rPr>
          <w:rFonts w:hint="eastAsia" w:ascii="宋体" w:hAnsi="宋体" w:cs="宋体"/>
          <w:color w:val="000000" w:themeColor="text1"/>
          <w14:textFill>
            <w14:solidFill>
              <w14:schemeClr w14:val="tx1"/>
            </w14:solidFill>
          </w14:textFill>
        </w:rPr>
        <w:t>（1）投标文件中的大写金额与小写金额不一致的，以大写金额为准；</w:t>
      </w:r>
      <w:bookmarkEnd w:id="637"/>
    </w:p>
    <w:p>
      <w:pPr>
        <w:spacing w:line="360" w:lineRule="auto"/>
        <w:ind w:firstLine="630" w:firstLineChars="30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（2）总价金额与依据单价计算出的结果不一致的，以单价金额为准修正总价，但单价金额小数点有明显错误的除外。</w:t>
      </w:r>
    </w:p>
    <w:p>
      <w:pPr>
        <w:spacing w:line="360" w:lineRule="auto"/>
        <w:rPr>
          <w:rFonts w:ascii="宋体" w:hAnsi="宋体" w:cs="宋体"/>
          <w:b/>
          <w:color w:val="000000" w:themeColor="text1"/>
          <w:sz w:val="10"/>
          <w:szCs w:val="10"/>
          <w14:textFill>
            <w14:solidFill>
              <w14:schemeClr w14:val="tx1"/>
            </w14:solidFill>
          </w14:textFill>
        </w:rPr>
      </w:pPr>
      <w:bookmarkStart w:id="638" w:name="_Toc247527631"/>
      <w:bookmarkStart w:id="639" w:name="_Toc247514030"/>
      <w:bookmarkStart w:id="640" w:name="_Toc435930091"/>
      <w:bookmarkStart w:id="641" w:name="_Toc152045606"/>
      <w:bookmarkStart w:id="642" w:name="_Toc436316995"/>
      <w:bookmarkStart w:id="643" w:name="_Toc152042384"/>
      <w:bookmarkStart w:id="644" w:name="_Toc144974573"/>
      <w:bookmarkStart w:id="645" w:name="_Toc28641"/>
      <w:bookmarkStart w:id="646" w:name="_Toc436315383"/>
      <w:bookmarkStart w:id="647" w:name="_Toc27463"/>
    </w:p>
    <w:p>
      <w:pPr>
        <w:spacing w:line="360" w:lineRule="auto"/>
        <w:rPr>
          <w:rFonts w:ascii="宋体" w:hAnsi="宋体" w:cs="宋体"/>
          <w:color w:val="000000" w:themeColor="text1"/>
          <w14:textFill>
            <w14:solidFill>
              <w14:schemeClr w14:val="tx1"/>
            </w14:solidFill>
          </w14:textFill>
        </w:rPr>
      </w:pPr>
      <w:r>
        <w:rPr>
          <w:rFonts w:hint="eastAsia" w:ascii="宋体" w:hAnsi="宋体" w:cs="宋体"/>
          <w:b/>
          <w:color w:val="000000" w:themeColor="text1"/>
          <w:sz w:val="24"/>
          <w14:textFill>
            <w14:solidFill>
              <w14:schemeClr w14:val="tx1"/>
            </w14:solidFill>
          </w14:textFill>
        </w:rPr>
        <w:t>3.2 详细评审</w:t>
      </w:r>
      <w:bookmarkEnd w:id="638"/>
      <w:bookmarkEnd w:id="639"/>
      <w:bookmarkEnd w:id="640"/>
      <w:bookmarkEnd w:id="641"/>
      <w:bookmarkEnd w:id="642"/>
      <w:bookmarkEnd w:id="643"/>
      <w:bookmarkEnd w:id="644"/>
      <w:bookmarkEnd w:id="645"/>
      <w:bookmarkEnd w:id="646"/>
      <w:bookmarkEnd w:id="647"/>
    </w:p>
    <w:p>
      <w:pPr>
        <w:spacing w:line="360" w:lineRule="auto"/>
        <w:ind w:firstLine="420" w:firstLineChars="20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3.2.1 评标委员会按本章第2.2款规定的量化因素和分值进行打分，并计算出综合评估得分。</w:t>
      </w:r>
    </w:p>
    <w:p>
      <w:pPr>
        <w:spacing w:line="360" w:lineRule="auto"/>
        <w:ind w:firstLine="718" w:firstLineChars="342"/>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（1）按本章第2.2.4（1）目规定的评审因素和分值对商务标计算出得分A；</w:t>
      </w:r>
    </w:p>
    <w:p>
      <w:pPr>
        <w:spacing w:line="360" w:lineRule="auto"/>
        <w:ind w:firstLine="718" w:firstLineChars="342"/>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（2）按本章第2.2.4（2）目规定的评审因素和分值对技术标计算出得分B；</w:t>
      </w:r>
    </w:p>
    <w:p>
      <w:pPr>
        <w:spacing w:line="360" w:lineRule="auto"/>
        <w:ind w:firstLine="718" w:firstLineChars="342"/>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（3）按本章第2.2.4（3）目规定的评审因素和分值对综合标计算出得分C。</w:t>
      </w:r>
    </w:p>
    <w:p>
      <w:pPr>
        <w:spacing w:line="360" w:lineRule="auto"/>
        <w:ind w:firstLine="420" w:firstLineChars="20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3.2.2 评分分值计算保留小数点后两位，小数点后第三位“四舍五入”。</w:t>
      </w:r>
    </w:p>
    <w:p>
      <w:pPr>
        <w:spacing w:line="360" w:lineRule="auto"/>
        <w:ind w:firstLine="420" w:firstLineChars="20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3.2.3 投标人得分=A+B+C。</w:t>
      </w:r>
    </w:p>
    <w:p>
      <w:pPr>
        <w:spacing w:line="360" w:lineRule="auto"/>
        <w:ind w:firstLine="420" w:firstLineChars="20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3.2.4 评标委员会发现投标人的报价明显低于其他投标报价，或者在设有标底时明显低于标底，使得其投标报价可能低于其个别成本的，应当要求该投标人作出说明并提供相应的证明材料。投标人不能合理说明或者不能提供相应证明材料的，由评标委员会认定该投标人以低于成本报价竞标，其投标作废标处理。</w:t>
      </w:r>
    </w:p>
    <w:p>
      <w:pPr>
        <w:spacing w:line="360" w:lineRule="auto"/>
        <w:rPr>
          <w:rFonts w:ascii="宋体" w:hAnsi="宋体" w:cs="宋体"/>
          <w:b/>
          <w:color w:val="000000" w:themeColor="text1"/>
          <w:sz w:val="10"/>
          <w:szCs w:val="10"/>
          <w14:textFill>
            <w14:solidFill>
              <w14:schemeClr w14:val="tx1"/>
            </w14:solidFill>
          </w14:textFill>
        </w:rPr>
      </w:pPr>
      <w:bookmarkStart w:id="648" w:name="_Toc144974575"/>
      <w:bookmarkStart w:id="649" w:name="_Toc247514031"/>
      <w:bookmarkStart w:id="650" w:name="_Toc25297"/>
      <w:bookmarkStart w:id="651" w:name="_Toc436316996"/>
      <w:bookmarkStart w:id="652" w:name="_Toc435930092"/>
      <w:bookmarkStart w:id="653" w:name="_Toc436315384"/>
      <w:bookmarkStart w:id="654" w:name="_Toc152042385"/>
      <w:bookmarkStart w:id="655" w:name="_Toc152045607"/>
      <w:bookmarkStart w:id="656" w:name="_Toc8031"/>
      <w:bookmarkStart w:id="657" w:name="_Toc247527632"/>
    </w:p>
    <w:p>
      <w:pPr>
        <w:spacing w:line="360" w:lineRule="auto"/>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3.3 投标文件的澄清</w:t>
      </w:r>
      <w:bookmarkEnd w:id="648"/>
      <w:r>
        <w:rPr>
          <w:rFonts w:hint="eastAsia" w:ascii="宋体" w:hAnsi="宋体" w:cs="宋体"/>
          <w:b/>
          <w:color w:val="000000" w:themeColor="text1"/>
          <w:sz w:val="24"/>
          <w14:textFill>
            <w14:solidFill>
              <w14:schemeClr w14:val="tx1"/>
            </w14:solidFill>
          </w14:textFill>
        </w:rPr>
        <w:t>和补正</w:t>
      </w:r>
      <w:bookmarkEnd w:id="649"/>
      <w:bookmarkEnd w:id="650"/>
      <w:bookmarkEnd w:id="651"/>
      <w:bookmarkEnd w:id="652"/>
      <w:bookmarkEnd w:id="653"/>
      <w:bookmarkEnd w:id="654"/>
      <w:bookmarkEnd w:id="655"/>
      <w:bookmarkEnd w:id="656"/>
      <w:bookmarkEnd w:id="657"/>
    </w:p>
    <w:p>
      <w:pPr>
        <w:spacing w:line="360" w:lineRule="auto"/>
        <w:ind w:firstLine="420" w:firstLineChars="200"/>
        <w:rPr>
          <w:rFonts w:ascii="宋体" w:hAnsi="宋体" w:cs="宋体"/>
          <w:color w:val="000000" w:themeColor="text1"/>
          <w14:textFill>
            <w14:solidFill>
              <w14:schemeClr w14:val="tx1"/>
            </w14:solidFill>
          </w14:textFill>
        </w:rPr>
      </w:pPr>
      <w:bookmarkStart w:id="658" w:name="_Toc436315385"/>
      <w:bookmarkStart w:id="659" w:name="_Toc17868"/>
      <w:bookmarkStart w:id="660" w:name="_Toc436316997"/>
      <w:bookmarkStart w:id="661" w:name="_Toc247514032"/>
      <w:bookmarkStart w:id="662" w:name="_Toc144974576"/>
      <w:bookmarkStart w:id="663" w:name="_Toc435930093"/>
      <w:bookmarkStart w:id="664" w:name="_Toc247527633"/>
      <w:bookmarkStart w:id="665" w:name="_Toc8622"/>
      <w:bookmarkStart w:id="666" w:name="_Toc152042386"/>
      <w:bookmarkStart w:id="667" w:name="_Toc152045608"/>
      <w:r>
        <w:rPr>
          <w:rFonts w:hint="eastAsia" w:ascii="宋体" w:hAnsi="宋体" w:cs="宋体"/>
          <w:color w:val="000000" w:themeColor="text1"/>
          <w14:textFill>
            <w14:solidFill>
              <w14:schemeClr w14:val="tx1"/>
            </w14:solidFill>
          </w14:textFill>
        </w:rPr>
        <w:t>3.3.1在评标过程中，评标委员会可以要求投标人对所提交投标文件中不明确的内容进行澄清或说明，或者对细微偏差进行补正。评标委员会不接受投标人主动提出的澄清、说明或补正。</w:t>
      </w:r>
    </w:p>
    <w:p>
      <w:pPr>
        <w:spacing w:line="360" w:lineRule="auto"/>
        <w:ind w:firstLine="420" w:firstLineChars="20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3.3.2 澄清、说明和补正不得改变投标文件的实质性内容（算术性错误修正的除外）。投标人的澄清、说明和补正属于投标文件的组成部分。</w:t>
      </w:r>
    </w:p>
    <w:p>
      <w:pPr>
        <w:spacing w:line="360" w:lineRule="auto"/>
        <w:ind w:firstLine="420" w:firstLineChars="20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3.3.3 评标委员会对投标人提交的澄清、说明或补正有疑问的，可以要求投标人进一步澄清、说明或补正，直至满足评标委员会的要求。</w:t>
      </w:r>
    </w:p>
    <w:p>
      <w:pPr>
        <w:spacing w:line="360" w:lineRule="auto"/>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3.4 评标结果</w:t>
      </w:r>
      <w:bookmarkEnd w:id="658"/>
      <w:bookmarkEnd w:id="659"/>
      <w:bookmarkEnd w:id="660"/>
      <w:bookmarkEnd w:id="661"/>
      <w:bookmarkEnd w:id="662"/>
      <w:bookmarkEnd w:id="663"/>
      <w:bookmarkEnd w:id="664"/>
      <w:bookmarkEnd w:id="665"/>
      <w:bookmarkEnd w:id="666"/>
      <w:bookmarkEnd w:id="667"/>
    </w:p>
    <w:p>
      <w:pPr>
        <w:spacing w:line="360" w:lineRule="auto"/>
        <w:ind w:firstLine="420" w:firstLineChars="20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3.4.1 除第二章“投标人须知”前附表授权直接确定中标单位外，评标委员会按照综合得分由高到低的顺序推荐3名中标候选人。</w:t>
      </w:r>
    </w:p>
    <w:p>
      <w:pPr>
        <w:spacing w:line="360" w:lineRule="auto"/>
        <w:ind w:firstLine="420" w:firstLineChars="20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3.4.2 评标委员会完成评标后，应当向招标人提交评标报告。</w:t>
      </w:r>
    </w:p>
    <w:p>
      <w:pPr>
        <w:pStyle w:val="4"/>
        <w:pageBreakBefore/>
        <w:jc w:val="center"/>
        <w:rPr>
          <w:rFonts w:ascii="宋体" w:hAnsi="宋体" w:cs="宋体"/>
          <w:color w:val="000000" w:themeColor="text1"/>
          <w14:textFill>
            <w14:solidFill>
              <w14:schemeClr w14:val="tx1"/>
            </w14:solidFill>
          </w14:textFill>
        </w:rPr>
      </w:pPr>
      <w:bookmarkStart w:id="668" w:name="_Toc14285"/>
      <w:bookmarkStart w:id="669" w:name="_Toc31582"/>
      <w:r>
        <w:rPr>
          <w:rFonts w:hint="eastAsia" w:ascii="宋体" w:hAnsi="宋体" w:cs="宋体"/>
          <w:color w:val="000000" w:themeColor="text1"/>
          <w14:textFill>
            <w14:solidFill>
              <w14:schemeClr w14:val="tx1"/>
            </w14:solidFill>
          </w14:textFill>
        </w:rPr>
        <w:t>第四章 技术条件和技术规范</w:t>
      </w:r>
      <w:bookmarkEnd w:id="668"/>
      <w:bookmarkEnd w:id="669"/>
    </w:p>
    <w:p>
      <w:pPr>
        <w:spacing w:line="440" w:lineRule="exact"/>
        <w:ind w:firstLine="420" w:firstLineChars="200"/>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1.工程施工质量控制</w:t>
      </w:r>
    </w:p>
    <w:p>
      <w:pPr>
        <w:spacing w:line="440" w:lineRule="exact"/>
        <w:ind w:firstLine="420" w:firstLineChars="200"/>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1）为确保工程项目质量目标的全面实现，提高工程项目投资效益、社会效益和环境效益，根据工程施工合同规定的质量目标，对施工全过程的质量实施监督管理；</w:t>
      </w:r>
    </w:p>
    <w:p>
      <w:pPr>
        <w:spacing w:line="440" w:lineRule="exact"/>
        <w:ind w:firstLine="420" w:firstLineChars="200"/>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2）建立本项目的质量控制体系；</w:t>
      </w:r>
    </w:p>
    <w:p>
      <w:pPr>
        <w:spacing w:line="440" w:lineRule="exact"/>
        <w:ind w:firstLine="420" w:firstLineChars="200"/>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3）定期组织工地例会或安全会议的；</w:t>
      </w:r>
    </w:p>
    <w:p>
      <w:pPr>
        <w:spacing w:line="440" w:lineRule="exact"/>
        <w:ind w:firstLine="420" w:firstLineChars="200"/>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4）督促承包商健全与完善质量保证体系；</w:t>
      </w:r>
    </w:p>
    <w:p>
      <w:pPr>
        <w:spacing w:line="440" w:lineRule="exact"/>
        <w:ind w:firstLine="420" w:firstLineChars="200"/>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5）审查承包商提交的施工组织设计或施工方案；</w:t>
      </w:r>
    </w:p>
    <w:p>
      <w:pPr>
        <w:spacing w:line="440" w:lineRule="exact"/>
        <w:ind w:firstLine="420" w:firstLineChars="200"/>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6）严格控制原材料、半成品、构配件及设备的质量；</w:t>
      </w:r>
    </w:p>
    <w:p>
      <w:pPr>
        <w:spacing w:line="440" w:lineRule="exact"/>
        <w:ind w:firstLine="420" w:firstLineChars="200"/>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7）施工工艺过程质量控制：现场检查、旁站、量测、试验；</w:t>
      </w:r>
    </w:p>
    <w:p>
      <w:pPr>
        <w:spacing w:line="440" w:lineRule="exact"/>
        <w:ind w:firstLine="420" w:firstLineChars="200"/>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8）隐蔽工程检查验收；</w:t>
      </w:r>
    </w:p>
    <w:p>
      <w:pPr>
        <w:spacing w:line="440" w:lineRule="exact"/>
        <w:ind w:firstLine="420" w:firstLineChars="200"/>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9）审核设计变更及技术核定并经委托人同意；</w:t>
      </w:r>
    </w:p>
    <w:p>
      <w:pPr>
        <w:spacing w:line="440" w:lineRule="exact"/>
        <w:ind w:firstLine="420" w:firstLineChars="200"/>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10）进行质量技术鉴定；</w:t>
      </w:r>
    </w:p>
    <w:p>
      <w:pPr>
        <w:spacing w:line="440" w:lineRule="exact"/>
        <w:ind w:firstLine="420" w:firstLineChars="200"/>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11）组织分项工程、分部工程、单位工程及单项工程的质量评定；</w:t>
      </w:r>
    </w:p>
    <w:p>
      <w:pPr>
        <w:spacing w:line="440" w:lineRule="exact"/>
        <w:ind w:firstLine="420" w:firstLineChars="200"/>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12）定期向委托人报告有关工程质量的动态情况；</w:t>
      </w:r>
    </w:p>
    <w:p>
      <w:pPr>
        <w:spacing w:line="440" w:lineRule="exact"/>
        <w:ind w:firstLine="420" w:firstLineChars="200"/>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13）组织工程竣工验收；</w:t>
      </w:r>
    </w:p>
    <w:p>
      <w:pPr>
        <w:spacing w:line="440" w:lineRule="exact"/>
        <w:ind w:firstLine="420" w:firstLineChars="200"/>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14）经建设单位同意后发布开工令、停工令、复工令；</w:t>
      </w:r>
    </w:p>
    <w:p>
      <w:pPr>
        <w:spacing w:line="440" w:lineRule="exact"/>
        <w:ind w:firstLine="420" w:firstLineChars="200"/>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15）监督施工单位按合同质量标准施工，达到合格工程标准，符合验收条件。</w:t>
      </w:r>
    </w:p>
    <w:p>
      <w:pPr>
        <w:spacing w:line="440" w:lineRule="exact"/>
        <w:ind w:firstLine="420" w:firstLineChars="200"/>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2.工程施工进度控制</w:t>
      </w:r>
    </w:p>
    <w:p>
      <w:pPr>
        <w:spacing w:line="440" w:lineRule="exact"/>
        <w:ind w:firstLine="420" w:firstLineChars="200"/>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1）编制工程施工进度控制工作细则；</w:t>
      </w:r>
    </w:p>
    <w:p>
      <w:pPr>
        <w:spacing w:line="440" w:lineRule="exact"/>
        <w:ind w:firstLine="420" w:firstLineChars="200"/>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2）审核承包商提交的施工进度网络计划或横道图计划；</w:t>
      </w:r>
    </w:p>
    <w:p>
      <w:pPr>
        <w:spacing w:line="440" w:lineRule="exact"/>
        <w:ind w:firstLine="420" w:firstLineChars="200"/>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3）审核承包商提交的年、季、月施工进度计划；</w:t>
      </w:r>
    </w:p>
    <w:p>
      <w:pPr>
        <w:spacing w:line="440" w:lineRule="exact"/>
        <w:ind w:firstLine="420" w:firstLineChars="200"/>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4）对施工进度实施动态控制，定期检查施工进度计划执行情况，对施工实际进度与进度计划进行比较，分析产生偏差的原因，并采取有效措施加以控制，以保证工程项目按期竣工交付使用；</w:t>
      </w:r>
    </w:p>
    <w:p>
      <w:pPr>
        <w:spacing w:line="440" w:lineRule="exact"/>
        <w:ind w:firstLine="420" w:firstLineChars="200"/>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5）定期向委托人报告工程施工进度的动态情况。</w:t>
      </w:r>
    </w:p>
    <w:p>
      <w:pPr>
        <w:spacing w:line="440" w:lineRule="exact"/>
        <w:ind w:firstLine="420" w:firstLineChars="200"/>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3.工程施工投资控制</w:t>
      </w:r>
    </w:p>
    <w:p>
      <w:pPr>
        <w:spacing w:line="440" w:lineRule="exact"/>
        <w:ind w:firstLine="420" w:firstLineChars="200"/>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1）编制工程施工年、季、月资金使用计划；</w:t>
      </w:r>
    </w:p>
    <w:p>
      <w:pPr>
        <w:spacing w:line="440" w:lineRule="exact"/>
        <w:ind w:firstLine="420" w:firstLineChars="200"/>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2）严格控制工程施工各项变更；</w:t>
      </w:r>
    </w:p>
    <w:p>
      <w:pPr>
        <w:spacing w:line="440" w:lineRule="exact"/>
        <w:ind w:firstLine="420" w:firstLineChars="200"/>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3）对主要技术方案进行技术经济分析；</w:t>
      </w:r>
    </w:p>
    <w:p>
      <w:pPr>
        <w:spacing w:line="440" w:lineRule="exact"/>
        <w:ind w:firstLine="420" w:firstLineChars="200"/>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4）核实、确认承包商已完工程量；</w:t>
      </w:r>
    </w:p>
    <w:p>
      <w:pPr>
        <w:spacing w:line="440" w:lineRule="exact"/>
        <w:ind w:firstLine="420" w:firstLineChars="200"/>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5）对工程建设投资实施动态控制，对实际投资与合同价进行比较，分析产生偏差的原因，并采取有效措施加以控制，以保证工程建设投资控制目标的实现；</w:t>
      </w:r>
    </w:p>
    <w:p>
      <w:pPr>
        <w:spacing w:line="440" w:lineRule="exact"/>
        <w:ind w:firstLine="420" w:firstLineChars="200"/>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6）以施工合同为依据，及时、合理地处理工程索赔。加强主动监理，减少工程索赔；</w:t>
      </w:r>
    </w:p>
    <w:p>
      <w:pPr>
        <w:spacing w:line="440" w:lineRule="exact"/>
        <w:ind w:firstLine="420" w:firstLineChars="200"/>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7）定期向委托人报告有关工程建设投资的动态情况；</w:t>
      </w:r>
    </w:p>
    <w:p>
      <w:pPr>
        <w:spacing w:line="440" w:lineRule="exact"/>
        <w:ind w:firstLine="420" w:firstLineChars="200"/>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8）编制工程施工结算文件。</w:t>
      </w:r>
    </w:p>
    <w:p>
      <w:pPr>
        <w:spacing w:line="440" w:lineRule="exact"/>
        <w:ind w:firstLine="420" w:firstLineChars="200"/>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4.安全、文明施工控制</w:t>
      </w:r>
    </w:p>
    <w:p>
      <w:pPr>
        <w:spacing w:line="440" w:lineRule="exact"/>
        <w:ind w:firstLine="420" w:firstLineChars="200"/>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1）审核承包商提交的安全、文明施工措施；</w:t>
      </w:r>
    </w:p>
    <w:p>
      <w:pPr>
        <w:spacing w:line="440" w:lineRule="exact"/>
        <w:ind w:firstLine="420" w:firstLineChars="200"/>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2）督促承包商落实安全、文明施工措施；</w:t>
      </w:r>
    </w:p>
    <w:p>
      <w:pPr>
        <w:spacing w:line="440" w:lineRule="exact"/>
        <w:ind w:firstLine="420" w:firstLineChars="200"/>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3）定期进行安全、文明施工检查，杜绝安全事故的发生；</w:t>
      </w:r>
    </w:p>
    <w:p>
      <w:pPr>
        <w:spacing w:line="440" w:lineRule="exact"/>
        <w:ind w:firstLine="420" w:firstLineChars="200"/>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4）监督施工承包单位按照工程建设强制性标准和专项安全施工方案组织施工制止违规施工作业；</w:t>
      </w:r>
    </w:p>
    <w:p>
      <w:pPr>
        <w:spacing w:line="440" w:lineRule="exact"/>
        <w:ind w:firstLine="420" w:firstLineChars="200"/>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5）督促施工承包单位定期组织施工现场安全生产自查工作；</w:t>
      </w:r>
    </w:p>
    <w:p>
      <w:pPr>
        <w:spacing w:line="440" w:lineRule="exact"/>
        <w:ind w:firstLine="420" w:firstLineChars="200"/>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6）督促施工承包单位按照济源市行政主管部门做好大气防治和扬尘管控等工作。</w:t>
      </w:r>
    </w:p>
    <w:p>
      <w:pPr>
        <w:spacing w:line="440" w:lineRule="exact"/>
        <w:ind w:firstLine="420" w:firstLineChars="200"/>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5.工程建设合同管理</w:t>
      </w:r>
    </w:p>
    <w:p>
      <w:pPr>
        <w:spacing w:line="440" w:lineRule="exact"/>
        <w:ind w:firstLine="420" w:firstLineChars="200"/>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1）协助委托人签订工程施工合同；</w:t>
      </w:r>
    </w:p>
    <w:p>
      <w:pPr>
        <w:spacing w:line="440" w:lineRule="exact"/>
        <w:ind w:firstLine="420" w:firstLineChars="200"/>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2）审核分包商及劳务队伍的资质情况，随时抽查上岗人员证书情况。</w:t>
      </w:r>
    </w:p>
    <w:p>
      <w:pPr>
        <w:spacing w:line="440" w:lineRule="exact"/>
        <w:ind w:firstLine="420" w:firstLineChars="200"/>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3）督促合同双方全面履行工程施工合同；</w:t>
      </w:r>
    </w:p>
    <w:p>
      <w:pPr>
        <w:spacing w:line="440" w:lineRule="exact"/>
        <w:ind w:firstLine="420" w:firstLineChars="200"/>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4）公正、科学、合理地处理施工合同纠纷；</w:t>
      </w:r>
    </w:p>
    <w:p>
      <w:pPr>
        <w:spacing w:line="440" w:lineRule="exact"/>
        <w:ind w:firstLine="420" w:firstLineChars="200"/>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5）定期向委托人报告施工合同的执行情况。</w:t>
      </w:r>
    </w:p>
    <w:p>
      <w:pPr>
        <w:spacing w:line="440" w:lineRule="exact"/>
        <w:ind w:firstLine="420" w:firstLineChars="200"/>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6.工程施工信息管理</w:t>
      </w:r>
    </w:p>
    <w:p>
      <w:pPr>
        <w:spacing w:line="440" w:lineRule="exact"/>
        <w:ind w:firstLine="420" w:firstLineChars="200"/>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1）及时收集、整理工程施工质量信息、进度信息、投资信息、合同管理信息，为各项决策提供服务；</w:t>
      </w:r>
    </w:p>
    <w:p>
      <w:pPr>
        <w:spacing w:line="440" w:lineRule="exact"/>
        <w:ind w:firstLine="420" w:firstLineChars="200"/>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2）利用计算机管理技术建立工程施工信息档案。</w:t>
      </w:r>
    </w:p>
    <w:p>
      <w:pPr>
        <w:spacing w:line="440" w:lineRule="exact"/>
        <w:ind w:firstLine="420" w:firstLineChars="200"/>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7.协调工程施工各有关单位的工作关系</w:t>
      </w:r>
    </w:p>
    <w:p>
      <w:pPr>
        <w:spacing w:line="440" w:lineRule="exact"/>
        <w:ind w:firstLine="420" w:firstLineChars="200"/>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1）协助委托人协调工程施工外部关系；</w:t>
      </w:r>
    </w:p>
    <w:p>
      <w:pPr>
        <w:spacing w:line="440" w:lineRule="exact"/>
        <w:ind w:firstLine="420" w:firstLineChars="200"/>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2）协调工程施工中委托人、设计单位、承包商之间的关系。</w:t>
      </w:r>
    </w:p>
    <w:p>
      <w:pPr>
        <w:spacing w:line="440" w:lineRule="exact"/>
        <w:ind w:firstLine="420" w:firstLineChars="200"/>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8.工程竣工后，依据监理合同的要求，监理单位应向委托人提供监理合同规定套数的完整的监理数据。</w:t>
      </w:r>
    </w:p>
    <w:p>
      <w:pPr>
        <w:pStyle w:val="4"/>
        <w:pageBreakBefore/>
        <w:jc w:val="center"/>
        <w:rPr>
          <w:rFonts w:ascii="宋体" w:hAnsi="宋体" w:cs="宋体"/>
          <w:color w:val="000000" w:themeColor="text1"/>
          <w14:textFill>
            <w14:solidFill>
              <w14:schemeClr w14:val="tx1"/>
            </w14:solidFill>
          </w14:textFill>
        </w:rPr>
      </w:pPr>
      <w:bookmarkStart w:id="670" w:name="_Toc20398"/>
      <w:bookmarkStart w:id="671" w:name="_Toc18914"/>
      <w:bookmarkStart w:id="672" w:name="_Toc25908"/>
      <w:bookmarkStart w:id="673" w:name="_Toc5807"/>
      <w:bookmarkStart w:id="674" w:name="_Toc21319"/>
      <w:r>
        <w:rPr>
          <w:rFonts w:hint="eastAsia" w:ascii="宋体" w:hAnsi="宋体" w:cs="宋体"/>
          <w:color w:val="000000" w:themeColor="text1"/>
          <w14:textFill>
            <w14:solidFill>
              <w14:schemeClr w14:val="tx1"/>
            </w14:solidFill>
          </w14:textFill>
        </w:rPr>
        <w:t>第五章 合同条款及格式</w:t>
      </w:r>
      <w:bookmarkEnd w:id="566"/>
      <w:bookmarkEnd w:id="567"/>
      <w:bookmarkEnd w:id="568"/>
      <w:bookmarkEnd w:id="569"/>
      <w:bookmarkEnd w:id="570"/>
      <w:bookmarkStart w:id="675" w:name="_Toc152042388"/>
      <w:bookmarkStart w:id="676" w:name="_Toc152045610"/>
      <w:bookmarkStart w:id="677" w:name="_Toc247527635"/>
      <w:bookmarkStart w:id="678" w:name="_Toc247514034"/>
      <w:bookmarkStart w:id="679" w:name="_Toc144974578"/>
      <w:bookmarkStart w:id="680" w:name="_Toc184635097"/>
      <w:r>
        <w:rPr>
          <w:rFonts w:hint="eastAsia" w:ascii="宋体" w:hAnsi="宋体" w:cs="宋体"/>
          <w:color w:val="000000" w:themeColor="text1"/>
          <w14:textFill>
            <w14:solidFill>
              <w14:schemeClr w14:val="tx1"/>
            </w14:solidFill>
          </w14:textFill>
        </w:rPr>
        <w:t>（参考）</w:t>
      </w:r>
      <w:bookmarkEnd w:id="670"/>
      <w:bookmarkEnd w:id="671"/>
      <w:bookmarkEnd w:id="672"/>
      <w:bookmarkEnd w:id="673"/>
      <w:bookmarkEnd w:id="674"/>
    </w:p>
    <w:bookmarkEnd w:id="675"/>
    <w:bookmarkEnd w:id="676"/>
    <w:bookmarkEnd w:id="677"/>
    <w:bookmarkEnd w:id="678"/>
    <w:bookmarkEnd w:id="679"/>
    <w:bookmarkEnd w:id="680"/>
    <w:p>
      <w:pPr>
        <w:spacing w:line="500" w:lineRule="exact"/>
        <w:ind w:firstLine="2811" w:firstLineChars="1000"/>
        <w:rPr>
          <w:rFonts w:ascii="宋体" w:hAnsi="宋体" w:cs="宋体"/>
          <w:b/>
          <w:color w:val="000000" w:themeColor="text1"/>
          <w:sz w:val="13"/>
          <w:szCs w:val="24"/>
          <w14:textFill>
            <w14:solidFill>
              <w14:schemeClr w14:val="tx1"/>
            </w14:solidFill>
          </w14:textFill>
        </w:rPr>
      </w:pPr>
      <w:bookmarkStart w:id="681" w:name="_Toc144974855"/>
      <w:bookmarkStart w:id="682" w:name="_Toc247527826"/>
      <w:bookmarkStart w:id="683" w:name="_Toc152042575"/>
      <w:bookmarkStart w:id="684" w:name="_Toc152045786"/>
      <w:bookmarkStart w:id="685" w:name="_Toc247514245"/>
      <w:r>
        <w:rPr>
          <w:rFonts w:hint="eastAsia" w:ascii="宋体" w:hAnsi="宋体" w:cs="宋体"/>
          <w:b/>
          <w:color w:val="000000" w:themeColor="text1"/>
          <w:kern w:val="44"/>
          <w:sz w:val="28"/>
          <w:szCs w:val="24"/>
          <w14:textFill>
            <w14:solidFill>
              <w14:schemeClr w14:val="tx1"/>
            </w14:solidFill>
          </w14:textFill>
        </w:rPr>
        <w:t>第一部分  协议书</w:t>
      </w:r>
    </w:p>
    <w:p>
      <w:pPr>
        <w:snapToGrid w:val="0"/>
        <w:spacing w:line="360" w:lineRule="auto"/>
        <w:ind w:firstLine="422" w:firstLineChars="200"/>
        <w:rPr>
          <w:rFonts w:ascii="宋体" w:hAnsi="宋体" w:cs="宋体"/>
          <w:b/>
          <w:color w:val="000000" w:themeColor="text1"/>
          <w:szCs w:val="24"/>
          <w14:textFill>
            <w14:solidFill>
              <w14:schemeClr w14:val="tx1"/>
            </w14:solidFill>
          </w14:textFill>
        </w:rPr>
      </w:pPr>
      <w:r>
        <w:rPr>
          <w:rFonts w:hint="eastAsia" w:ascii="宋体" w:hAnsi="宋体" w:cs="宋体"/>
          <w:b/>
          <w:color w:val="000000" w:themeColor="text1"/>
          <w:szCs w:val="24"/>
          <w14:textFill>
            <w14:solidFill>
              <w14:schemeClr w14:val="tx1"/>
            </w14:solidFill>
          </w14:textFill>
        </w:rPr>
        <w:t>委托人（全称）：</w:t>
      </w:r>
      <w:r>
        <w:rPr>
          <w:rFonts w:hint="eastAsia" w:ascii="宋体" w:hAnsi="宋体" w:cs="宋体"/>
          <w:b/>
          <w:color w:val="000000" w:themeColor="text1"/>
          <w:szCs w:val="24"/>
          <w:u w:val="single"/>
          <w14:textFill>
            <w14:solidFill>
              <w14:schemeClr w14:val="tx1"/>
            </w14:solidFill>
          </w14:textFill>
        </w:rPr>
        <w:t xml:space="preserve">            </w:t>
      </w:r>
    </w:p>
    <w:p>
      <w:pPr>
        <w:snapToGrid w:val="0"/>
        <w:spacing w:line="360" w:lineRule="auto"/>
        <w:ind w:firstLine="422" w:firstLineChars="200"/>
        <w:rPr>
          <w:rFonts w:ascii="宋体" w:hAnsi="宋体" w:cs="宋体"/>
          <w:color w:val="000000" w:themeColor="text1"/>
          <w:szCs w:val="24"/>
          <w14:textFill>
            <w14:solidFill>
              <w14:schemeClr w14:val="tx1"/>
            </w14:solidFill>
          </w14:textFill>
        </w:rPr>
      </w:pPr>
      <w:r>
        <w:rPr>
          <w:rFonts w:hint="eastAsia" w:ascii="宋体" w:hAnsi="宋体" w:cs="宋体"/>
          <w:b/>
          <w:color w:val="000000" w:themeColor="text1"/>
          <w:szCs w:val="24"/>
          <w14:textFill>
            <w14:solidFill>
              <w14:schemeClr w14:val="tx1"/>
            </w14:solidFill>
          </w14:textFill>
        </w:rPr>
        <w:t>监理人（全称）：</w:t>
      </w:r>
      <w:r>
        <w:rPr>
          <w:rFonts w:hint="eastAsia" w:ascii="宋体" w:hAnsi="宋体" w:cs="宋体"/>
          <w:b/>
          <w:color w:val="000000" w:themeColor="text1"/>
          <w:szCs w:val="24"/>
          <w:u w:val="single"/>
          <w14:textFill>
            <w14:solidFill>
              <w14:schemeClr w14:val="tx1"/>
            </w14:solidFill>
          </w14:textFill>
        </w:rPr>
        <w:t xml:space="preserve">            </w:t>
      </w:r>
    </w:p>
    <w:p>
      <w:pPr>
        <w:snapToGrid w:val="0"/>
        <w:spacing w:line="360" w:lineRule="auto"/>
        <w:ind w:firstLine="420" w:firstLineChars="200"/>
        <w:rPr>
          <w:rFonts w:ascii="宋体" w:hAnsi="宋体" w:cs="宋体"/>
          <w:color w:val="000000" w:themeColor="text1"/>
          <w:szCs w:val="24"/>
          <w:u w:val="single"/>
          <w14:textFill>
            <w14:solidFill>
              <w14:schemeClr w14:val="tx1"/>
            </w14:solidFill>
          </w14:textFill>
        </w:rPr>
      </w:pPr>
      <w:r>
        <w:rPr>
          <w:rFonts w:hint="eastAsia" w:ascii="宋体" w:hAnsi="宋体" w:cs="宋体"/>
          <w:color w:val="000000" w:themeColor="text1"/>
          <w:szCs w:val="24"/>
          <w14:textFill>
            <w14:solidFill>
              <w14:schemeClr w14:val="tx1"/>
            </w14:solidFill>
          </w14:textFill>
        </w:rPr>
        <w:t>根据《中华人民共和国民法典》、《中华人民共和国建筑法》及其他有关法律、法规，遵循平等、自愿、公平和诚信的原则，双方就下述工程委托监理与相关服务事项协商一致，订立本合同。</w:t>
      </w:r>
    </w:p>
    <w:p>
      <w:pPr>
        <w:keepNext w:val="0"/>
        <w:keepLines w:val="0"/>
        <w:widowControl w:val="0"/>
        <w:kinsoku/>
        <w:wordWrap/>
        <w:overflowPunct/>
        <w:topLinePunct w:val="0"/>
        <w:autoSpaceDE/>
        <w:autoSpaceDN/>
        <w:bidi w:val="0"/>
        <w:adjustRightInd/>
        <w:spacing w:line="360" w:lineRule="auto"/>
        <w:ind w:firstLine="417" w:firstLineChars="198"/>
        <w:textAlignment w:val="auto"/>
        <w:outlineLvl w:val="9"/>
        <w:rPr>
          <w:rFonts w:ascii="宋体" w:hAnsi="宋体" w:cs="宋体"/>
          <w:b/>
          <w:color w:val="000000" w:themeColor="text1"/>
          <w:szCs w:val="24"/>
          <w14:textFill>
            <w14:solidFill>
              <w14:schemeClr w14:val="tx1"/>
            </w14:solidFill>
          </w14:textFill>
        </w:rPr>
      </w:pPr>
      <w:bookmarkStart w:id="686" w:name="_Toc29203"/>
      <w:bookmarkStart w:id="687" w:name="_Toc29850"/>
      <w:bookmarkStart w:id="688" w:name="_Toc27895"/>
      <w:bookmarkStart w:id="689" w:name="_Toc26799"/>
      <w:r>
        <w:rPr>
          <w:rFonts w:hint="eastAsia" w:ascii="宋体" w:hAnsi="宋体" w:cs="宋体"/>
          <w:b/>
          <w:color w:val="000000" w:themeColor="text1"/>
          <w:szCs w:val="24"/>
          <w14:textFill>
            <w14:solidFill>
              <w14:schemeClr w14:val="tx1"/>
            </w14:solidFill>
          </w14:textFill>
        </w:rPr>
        <w:t>一、工程概况</w:t>
      </w:r>
      <w:bookmarkEnd w:id="686"/>
      <w:bookmarkEnd w:id="687"/>
      <w:bookmarkEnd w:id="688"/>
      <w:bookmarkEnd w:id="689"/>
    </w:p>
    <w:p>
      <w:pPr>
        <w:keepNext w:val="0"/>
        <w:keepLines w:val="0"/>
        <w:widowControl w:val="0"/>
        <w:kinsoku/>
        <w:wordWrap/>
        <w:overflowPunct/>
        <w:topLinePunct w:val="0"/>
        <w:autoSpaceDE/>
        <w:autoSpaceDN/>
        <w:bidi w:val="0"/>
        <w:adjustRightInd/>
        <w:snapToGrid w:val="0"/>
        <w:spacing w:line="360" w:lineRule="auto"/>
        <w:ind w:firstLine="415" w:firstLineChars="198"/>
        <w:textAlignment w:val="auto"/>
        <w:outlineLvl w:val="9"/>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1. 工程名称：</w:t>
      </w:r>
      <w:r>
        <w:rPr>
          <w:rFonts w:hint="eastAsia" w:ascii="宋体" w:hAnsi="宋体" w:cs="宋体"/>
          <w:color w:val="000000" w:themeColor="text1"/>
          <w:sz w:val="24"/>
          <w:szCs w:val="24"/>
          <w:u w:val="single"/>
          <w14:textFill>
            <w14:solidFill>
              <w14:schemeClr w14:val="tx1"/>
            </w14:solidFill>
          </w14:textFill>
        </w:rPr>
        <w:t xml:space="preserve">                              </w:t>
      </w:r>
      <w:r>
        <w:rPr>
          <w:rFonts w:hint="eastAsia" w:ascii="宋体" w:hAnsi="宋体" w:cs="宋体"/>
          <w:color w:val="000000" w:themeColor="text1"/>
          <w:sz w:val="24"/>
          <w:szCs w:val="24"/>
          <w14:textFill>
            <w14:solidFill>
              <w14:schemeClr w14:val="tx1"/>
            </w14:solidFill>
          </w14:textFill>
        </w:rPr>
        <w:t>。</w:t>
      </w:r>
    </w:p>
    <w:p>
      <w:pPr>
        <w:keepNext w:val="0"/>
        <w:keepLines w:val="0"/>
        <w:widowControl w:val="0"/>
        <w:kinsoku/>
        <w:wordWrap/>
        <w:overflowPunct/>
        <w:topLinePunct w:val="0"/>
        <w:autoSpaceDE/>
        <w:autoSpaceDN/>
        <w:bidi w:val="0"/>
        <w:adjustRightInd/>
        <w:snapToGrid w:val="0"/>
        <w:spacing w:line="360" w:lineRule="auto"/>
        <w:ind w:firstLine="415" w:firstLineChars="198"/>
        <w:textAlignment w:val="auto"/>
        <w:outlineLvl w:val="9"/>
        <w:rPr>
          <w:rFonts w:ascii="宋体" w:hAnsi="宋体" w:cs="宋体"/>
          <w:b/>
          <w:color w:val="000000" w:themeColor="text1"/>
          <w:szCs w:val="24"/>
          <w:u w:val="single"/>
          <w14:textFill>
            <w14:solidFill>
              <w14:schemeClr w14:val="tx1"/>
            </w14:solidFill>
          </w14:textFill>
        </w:rPr>
      </w:pPr>
      <w:r>
        <w:rPr>
          <w:rFonts w:hint="eastAsia" w:ascii="宋体" w:hAnsi="宋体" w:cs="宋体"/>
          <w:color w:val="000000" w:themeColor="text1"/>
          <w:szCs w:val="24"/>
          <w14:textFill>
            <w14:solidFill>
              <w14:schemeClr w14:val="tx1"/>
            </w14:solidFill>
          </w14:textFill>
        </w:rPr>
        <w:t>2. 工程地点：</w:t>
      </w:r>
      <w:r>
        <w:rPr>
          <w:rFonts w:hint="eastAsia" w:ascii="宋体" w:hAnsi="宋体" w:cs="宋体"/>
          <w:color w:val="000000" w:themeColor="text1"/>
          <w:szCs w:val="24"/>
          <w:u w:val="single"/>
          <w14:textFill>
            <w14:solidFill>
              <w14:schemeClr w14:val="tx1"/>
            </w14:solidFill>
          </w14:textFill>
        </w:rPr>
        <w:t xml:space="preserve">                  </w:t>
      </w:r>
      <w:r>
        <w:rPr>
          <w:rFonts w:hint="eastAsia" w:ascii="宋体" w:hAnsi="宋体" w:cs="宋体"/>
          <w:color w:val="000000" w:themeColor="text1"/>
          <w:szCs w:val="24"/>
          <w14:textFill>
            <w14:solidFill>
              <w14:schemeClr w14:val="tx1"/>
            </w14:solidFill>
          </w14:textFill>
        </w:rPr>
        <w:t>。</w:t>
      </w:r>
    </w:p>
    <w:p>
      <w:pPr>
        <w:keepNext w:val="0"/>
        <w:keepLines w:val="0"/>
        <w:widowControl w:val="0"/>
        <w:kinsoku/>
        <w:wordWrap/>
        <w:overflowPunct/>
        <w:topLinePunct w:val="0"/>
        <w:autoSpaceDE/>
        <w:autoSpaceDN/>
        <w:bidi w:val="0"/>
        <w:adjustRightInd/>
        <w:spacing w:line="360" w:lineRule="auto"/>
        <w:ind w:firstLine="420" w:firstLineChars="200"/>
        <w:textAlignment w:val="auto"/>
        <w:outlineLvl w:val="9"/>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3. 工程规模：</w:t>
      </w:r>
      <w:r>
        <w:rPr>
          <w:rFonts w:hint="eastAsia" w:ascii="宋体" w:hAnsi="宋体" w:cs="宋体"/>
          <w:color w:val="000000" w:themeColor="text1"/>
          <w:sz w:val="24"/>
          <w:szCs w:val="24"/>
          <w:u w:val="single"/>
          <w14:textFill>
            <w14:solidFill>
              <w14:schemeClr w14:val="tx1"/>
            </w14:solidFill>
          </w14:textFill>
        </w:rPr>
        <w:t xml:space="preserve">                </w:t>
      </w:r>
      <w:r>
        <w:rPr>
          <w:rFonts w:hint="eastAsia" w:ascii="宋体" w:hAnsi="宋体" w:cs="宋体"/>
          <w:color w:val="000000" w:themeColor="text1"/>
          <w:sz w:val="24"/>
          <w:szCs w:val="24"/>
          <w14:textFill>
            <w14:solidFill>
              <w14:schemeClr w14:val="tx1"/>
            </w14:solidFill>
          </w14:textFill>
        </w:rPr>
        <w:t>。</w:t>
      </w:r>
    </w:p>
    <w:p>
      <w:pPr>
        <w:keepNext w:val="0"/>
        <w:keepLines w:val="0"/>
        <w:widowControl w:val="0"/>
        <w:kinsoku/>
        <w:wordWrap/>
        <w:overflowPunct/>
        <w:topLinePunct w:val="0"/>
        <w:autoSpaceDE/>
        <w:autoSpaceDN/>
        <w:bidi w:val="0"/>
        <w:adjustRightInd/>
        <w:spacing w:line="360" w:lineRule="auto"/>
        <w:ind w:firstLine="420" w:firstLineChars="200"/>
        <w:textAlignment w:val="auto"/>
        <w:outlineLvl w:val="9"/>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4. 工程概算投资额或</w:t>
      </w:r>
      <w:r>
        <w:rPr>
          <w:rFonts w:hint="eastAsia"/>
          <w:bCs/>
          <w:color w:val="000000" w:themeColor="text1"/>
          <w14:textFill>
            <w14:solidFill>
              <w14:schemeClr w14:val="tx1"/>
            </w14:solidFill>
          </w14:textFill>
        </w:rPr>
        <w:t>建筑安装工程费</w:t>
      </w:r>
      <w:r>
        <w:rPr>
          <w:rFonts w:hint="eastAsia" w:ascii="宋体" w:hAnsi="宋体" w:cs="宋体"/>
          <w:color w:val="000000" w:themeColor="text1"/>
          <w:szCs w:val="24"/>
          <w14:textFill>
            <w14:solidFill>
              <w14:schemeClr w14:val="tx1"/>
            </w14:solidFill>
          </w14:textFill>
        </w:rPr>
        <w:t>：</w:t>
      </w:r>
      <w:r>
        <w:rPr>
          <w:rFonts w:hint="eastAsia" w:ascii="宋体" w:hAnsi="宋体" w:cs="宋体"/>
          <w:color w:val="000000" w:themeColor="text1"/>
          <w:sz w:val="24"/>
          <w:szCs w:val="24"/>
          <w:u w:val="single"/>
          <w14:textFill>
            <w14:solidFill>
              <w14:schemeClr w14:val="tx1"/>
            </w14:solidFill>
          </w14:textFill>
        </w:rPr>
        <w:t xml:space="preserve">                </w:t>
      </w:r>
      <w:r>
        <w:rPr>
          <w:rFonts w:hint="eastAsia" w:ascii="宋体" w:hAnsi="宋体" w:cs="宋体"/>
          <w:color w:val="000000" w:themeColor="text1"/>
          <w:sz w:val="24"/>
          <w:szCs w:val="24"/>
          <w14:textFill>
            <w14:solidFill>
              <w14:schemeClr w14:val="tx1"/>
            </w14:solidFill>
          </w14:textFill>
        </w:rPr>
        <w:t>。</w:t>
      </w:r>
    </w:p>
    <w:p>
      <w:pPr>
        <w:keepNext w:val="0"/>
        <w:keepLines w:val="0"/>
        <w:widowControl w:val="0"/>
        <w:kinsoku/>
        <w:wordWrap/>
        <w:overflowPunct/>
        <w:topLinePunct w:val="0"/>
        <w:autoSpaceDE/>
        <w:autoSpaceDN/>
        <w:bidi w:val="0"/>
        <w:adjustRightInd/>
        <w:spacing w:line="360" w:lineRule="auto"/>
        <w:ind w:firstLine="417" w:firstLineChars="198"/>
        <w:textAlignment w:val="auto"/>
        <w:outlineLvl w:val="9"/>
        <w:rPr>
          <w:rFonts w:ascii="宋体" w:hAnsi="宋体" w:cs="宋体"/>
          <w:b/>
          <w:color w:val="000000" w:themeColor="text1"/>
          <w:szCs w:val="24"/>
          <w14:textFill>
            <w14:solidFill>
              <w14:schemeClr w14:val="tx1"/>
            </w14:solidFill>
          </w14:textFill>
        </w:rPr>
      </w:pPr>
      <w:r>
        <w:rPr>
          <w:rFonts w:hint="eastAsia" w:ascii="宋体" w:hAnsi="宋体" w:cs="宋体"/>
          <w:b/>
          <w:color w:val="000000" w:themeColor="text1"/>
          <w:szCs w:val="24"/>
          <w14:textFill>
            <w14:solidFill>
              <w14:schemeClr w14:val="tx1"/>
            </w14:solidFill>
          </w14:textFill>
        </w:rPr>
        <w:t>二、词语限定</w:t>
      </w:r>
    </w:p>
    <w:p>
      <w:pPr>
        <w:keepNext w:val="0"/>
        <w:keepLines w:val="0"/>
        <w:widowControl w:val="0"/>
        <w:kinsoku/>
        <w:wordWrap/>
        <w:overflowPunct/>
        <w:topLinePunct w:val="0"/>
        <w:autoSpaceDE/>
        <w:autoSpaceDN/>
        <w:bidi w:val="0"/>
        <w:adjustRightInd/>
        <w:snapToGrid w:val="0"/>
        <w:spacing w:line="360" w:lineRule="auto"/>
        <w:ind w:firstLine="415" w:firstLineChars="198"/>
        <w:textAlignment w:val="auto"/>
        <w:outlineLvl w:val="9"/>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协议书中相关词语的含义与通用条件中的定义与解释相同。</w:t>
      </w:r>
    </w:p>
    <w:p>
      <w:pPr>
        <w:keepNext w:val="0"/>
        <w:keepLines w:val="0"/>
        <w:widowControl w:val="0"/>
        <w:kinsoku/>
        <w:wordWrap/>
        <w:overflowPunct/>
        <w:topLinePunct w:val="0"/>
        <w:autoSpaceDE/>
        <w:autoSpaceDN/>
        <w:bidi w:val="0"/>
        <w:adjustRightInd/>
        <w:spacing w:line="360" w:lineRule="auto"/>
        <w:ind w:firstLine="417" w:firstLineChars="198"/>
        <w:textAlignment w:val="auto"/>
        <w:outlineLvl w:val="9"/>
        <w:rPr>
          <w:rFonts w:ascii="宋体" w:hAnsi="宋体" w:cs="宋体"/>
          <w:b/>
          <w:color w:val="000000" w:themeColor="text1"/>
          <w:szCs w:val="24"/>
          <w14:textFill>
            <w14:solidFill>
              <w14:schemeClr w14:val="tx1"/>
            </w14:solidFill>
          </w14:textFill>
        </w:rPr>
      </w:pPr>
      <w:bookmarkStart w:id="690" w:name="_Toc7740"/>
      <w:bookmarkStart w:id="691" w:name="_Toc19046"/>
      <w:bookmarkStart w:id="692" w:name="_Toc6322"/>
      <w:bookmarkStart w:id="693" w:name="_Toc25040"/>
      <w:r>
        <w:rPr>
          <w:rFonts w:hint="eastAsia" w:ascii="宋体" w:hAnsi="宋体" w:cs="宋体"/>
          <w:b/>
          <w:color w:val="000000" w:themeColor="text1"/>
          <w:szCs w:val="24"/>
          <w14:textFill>
            <w14:solidFill>
              <w14:schemeClr w14:val="tx1"/>
            </w14:solidFill>
          </w14:textFill>
        </w:rPr>
        <w:t>三、组成本合同的文件</w:t>
      </w:r>
      <w:bookmarkEnd w:id="690"/>
      <w:bookmarkEnd w:id="691"/>
      <w:bookmarkEnd w:id="692"/>
      <w:bookmarkEnd w:id="693"/>
    </w:p>
    <w:p>
      <w:pPr>
        <w:keepNext w:val="0"/>
        <w:keepLines w:val="0"/>
        <w:widowControl w:val="0"/>
        <w:kinsoku/>
        <w:wordWrap/>
        <w:overflowPunct/>
        <w:topLinePunct w:val="0"/>
        <w:autoSpaceDE/>
        <w:autoSpaceDN/>
        <w:bidi w:val="0"/>
        <w:adjustRightInd/>
        <w:snapToGrid w:val="0"/>
        <w:spacing w:line="360" w:lineRule="auto"/>
        <w:ind w:firstLine="415" w:firstLineChars="198"/>
        <w:textAlignment w:val="auto"/>
        <w:outlineLvl w:val="9"/>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1. 协议书；</w:t>
      </w:r>
    </w:p>
    <w:p>
      <w:pPr>
        <w:keepNext w:val="0"/>
        <w:keepLines w:val="0"/>
        <w:widowControl w:val="0"/>
        <w:kinsoku/>
        <w:wordWrap/>
        <w:overflowPunct/>
        <w:topLinePunct w:val="0"/>
        <w:autoSpaceDE/>
        <w:autoSpaceDN/>
        <w:bidi w:val="0"/>
        <w:adjustRightInd/>
        <w:snapToGrid w:val="0"/>
        <w:spacing w:line="360" w:lineRule="auto"/>
        <w:ind w:firstLine="415" w:firstLineChars="198"/>
        <w:textAlignment w:val="auto"/>
        <w:outlineLvl w:val="9"/>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2. 中标通知书（适用于招标工程）或委托书（适用于非招标工程）；</w:t>
      </w:r>
    </w:p>
    <w:p>
      <w:pPr>
        <w:keepNext w:val="0"/>
        <w:keepLines w:val="0"/>
        <w:widowControl w:val="0"/>
        <w:kinsoku/>
        <w:wordWrap/>
        <w:overflowPunct/>
        <w:topLinePunct w:val="0"/>
        <w:autoSpaceDE/>
        <w:autoSpaceDN/>
        <w:bidi w:val="0"/>
        <w:adjustRightInd/>
        <w:snapToGrid w:val="0"/>
        <w:spacing w:line="360" w:lineRule="auto"/>
        <w:ind w:firstLine="415" w:firstLineChars="198"/>
        <w:textAlignment w:val="auto"/>
        <w:outlineLvl w:val="9"/>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3. 投标文件（适用于招标工程）或监理与相关服务建议书（适用于非招标工程）；</w:t>
      </w:r>
    </w:p>
    <w:p>
      <w:pPr>
        <w:keepNext w:val="0"/>
        <w:keepLines w:val="0"/>
        <w:widowControl w:val="0"/>
        <w:kinsoku/>
        <w:wordWrap/>
        <w:overflowPunct/>
        <w:topLinePunct w:val="0"/>
        <w:autoSpaceDE/>
        <w:autoSpaceDN/>
        <w:bidi w:val="0"/>
        <w:adjustRightInd/>
        <w:snapToGrid w:val="0"/>
        <w:spacing w:line="360" w:lineRule="auto"/>
        <w:textAlignment w:val="auto"/>
        <w:outlineLvl w:val="9"/>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 xml:space="preserve">    4. 专用条件；</w:t>
      </w:r>
    </w:p>
    <w:p>
      <w:pPr>
        <w:keepNext w:val="0"/>
        <w:keepLines w:val="0"/>
        <w:widowControl w:val="0"/>
        <w:kinsoku/>
        <w:wordWrap/>
        <w:overflowPunct/>
        <w:topLinePunct w:val="0"/>
        <w:autoSpaceDE/>
        <w:autoSpaceDN/>
        <w:bidi w:val="0"/>
        <w:adjustRightInd/>
        <w:snapToGrid w:val="0"/>
        <w:spacing w:line="360" w:lineRule="auto"/>
        <w:ind w:firstLine="415" w:firstLineChars="198"/>
        <w:textAlignment w:val="auto"/>
        <w:outlineLvl w:val="9"/>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5. 通用条件；</w:t>
      </w:r>
    </w:p>
    <w:p>
      <w:pPr>
        <w:keepNext w:val="0"/>
        <w:keepLines w:val="0"/>
        <w:widowControl w:val="0"/>
        <w:kinsoku/>
        <w:wordWrap/>
        <w:overflowPunct/>
        <w:topLinePunct w:val="0"/>
        <w:autoSpaceDE/>
        <w:autoSpaceDN/>
        <w:bidi w:val="0"/>
        <w:adjustRightInd/>
        <w:snapToGrid w:val="0"/>
        <w:spacing w:line="360" w:lineRule="auto"/>
        <w:ind w:firstLine="415" w:firstLineChars="198"/>
        <w:textAlignment w:val="auto"/>
        <w:outlineLvl w:val="9"/>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6. 附录，即：</w:t>
      </w:r>
    </w:p>
    <w:p>
      <w:pPr>
        <w:keepNext w:val="0"/>
        <w:keepLines w:val="0"/>
        <w:widowControl w:val="0"/>
        <w:kinsoku/>
        <w:wordWrap/>
        <w:overflowPunct/>
        <w:topLinePunct w:val="0"/>
        <w:autoSpaceDE/>
        <w:autoSpaceDN/>
        <w:bidi w:val="0"/>
        <w:adjustRightInd/>
        <w:snapToGrid w:val="0"/>
        <w:spacing w:line="360" w:lineRule="auto"/>
        <w:ind w:firstLine="415" w:firstLineChars="198"/>
        <w:textAlignment w:val="auto"/>
        <w:outlineLvl w:val="9"/>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附录A  相关服务的范围和内容。</w:t>
      </w:r>
    </w:p>
    <w:p>
      <w:pPr>
        <w:keepNext w:val="0"/>
        <w:keepLines w:val="0"/>
        <w:widowControl w:val="0"/>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附录B  委托人派遣的人员和提供的房屋、资料、设备。</w:t>
      </w:r>
    </w:p>
    <w:p>
      <w:pPr>
        <w:keepNext w:val="0"/>
        <w:keepLines w:val="0"/>
        <w:widowControl w:val="0"/>
        <w:kinsoku/>
        <w:wordWrap/>
        <w:overflowPunct/>
        <w:topLinePunct w:val="0"/>
        <w:autoSpaceDE/>
        <w:autoSpaceDN/>
        <w:bidi w:val="0"/>
        <w:adjustRightInd/>
        <w:snapToGrid w:val="0"/>
        <w:spacing w:line="360" w:lineRule="auto"/>
        <w:ind w:firstLine="415" w:firstLineChars="198"/>
        <w:textAlignment w:val="auto"/>
        <w:outlineLvl w:val="9"/>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本合同签订后，双方依法签订的补充协议也是本合同文件的组成部分。</w:t>
      </w:r>
    </w:p>
    <w:p>
      <w:pPr>
        <w:keepNext w:val="0"/>
        <w:keepLines w:val="0"/>
        <w:widowControl w:val="0"/>
        <w:kinsoku/>
        <w:wordWrap/>
        <w:overflowPunct/>
        <w:topLinePunct w:val="0"/>
        <w:autoSpaceDE/>
        <w:autoSpaceDN/>
        <w:bidi w:val="0"/>
        <w:adjustRightInd/>
        <w:spacing w:line="360" w:lineRule="auto"/>
        <w:ind w:firstLine="417" w:firstLineChars="198"/>
        <w:textAlignment w:val="auto"/>
        <w:outlineLvl w:val="9"/>
        <w:rPr>
          <w:rFonts w:ascii="宋体" w:hAnsi="宋体" w:cs="宋体"/>
          <w:b/>
          <w:color w:val="000000" w:themeColor="text1"/>
          <w:szCs w:val="24"/>
          <w14:textFill>
            <w14:solidFill>
              <w14:schemeClr w14:val="tx1"/>
            </w14:solidFill>
          </w14:textFill>
        </w:rPr>
      </w:pPr>
      <w:bookmarkStart w:id="694" w:name="_Toc24912"/>
      <w:bookmarkStart w:id="695" w:name="_Toc9594"/>
      <w:bookmarkStart w:id="696" w:name="_Toc9303"/>
      <w:bookmarkStart w:id="697" w:name="_Toc5194"/>
      <w:r>
        <w:rPr>
          <w:rFonts w:hint="eastAsia" w:ascii="宋体" w:hAnsi="宋体" w:cs="宋体"/>
          <w:b/>
          <w:color w:val="000000" w:themeColor="text1"/>
          <w:szCs w:val="24"/>
          <w14:textFill>
            <w14:solidFill>
              <w14:schemeClr w14:val="tx1"/>
            </w14:solidFill>
          </w14:textFill>
        </w:rPr>
        <w:t>四、总监理工程师</w:t>
      </w:r>
      <w:bookmarkEnd w:id="694"/>
      <w:bookmarkEnd w:id="695"/>
      <w:bookmarkEnd w:id="696"/>
      <w:bookmarkEnd w:id="697"/>
    </w:p>
    <w:p>
      <w:pPr>
        <w:keepNext w:val="0"/>
        <w:keepLines w:val="0"/>
        <w:widowControl w:val="0"/>
        <w:kinsoku/>
        <w:wordWrap/>
        <w:overflowPunct/>
        <w:topLinePunct w:val="0"/>
        <w:autoSpaceDE/>
        <w:autoSpaceDN/>
        <w:bidi w:val="0"/>
        <w:adjustRightInd/>
        <w:snapToGrid w:val="0"/>
        <w:spacing w:line="360" w:lineRule="auto"/>
        <w:ind w:firstLine="415" w:firstLineChars="198"/>
        <w:textAlignment w:val="auto"/>
        <w:outlineLvl w:val="9"/>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总监理工程师姓名：</w:t>
      </w:r>
      <w:r>
        <w:rPr>
          <w:rFonts w:hint="eastAsia" w:ascii="宋体" w:hAnsi="宋体" w:cs="宋体"/>
          <w:b/>
          <w:color w:val="000000" w:themeColor="text1"/>
          <w:szCs w:val="24"/>
          <w:u w:val="single"/>
          <w14:textFill>
            <w14:solidFill>
              <w14:schemeClr w14:val="tx1"/>
            </w14:solidFill>
          </w14:textFill>
        </w:rPr>
        <w:t xml:space="preserve"> </w:t>
      </w:r>
      <w:r>
        <w:rPr>
          <w:rFonts w:hint="eastAsia" w:ascii="宋体" w:hAnsi="宋体" w:cs="宋体"/>
          <w:color w:val="000000" w:themeColor="text1"/>
          <w:sz w:val="24"/>
          <w:szCs w:val="24"/>
          <w:u w:val="single"/>
          <w14:textFill>
            <w14:solidFill>
              <w14:schemeClr w14:val="tx1"/>
            </w14:solidFill>
          </w14:textFill>
        </w:rPr>
        <w:t xml:space="preserve">     </w:t>
      </w:r>
      <w:r>
        <w:rPr>
          <w:rFonts w:hint="eastAsia" w:ascii="宋体" w:hAnsi="宋体" w:cs="宋体"/>
          <w:b/>
          <w:color w:val="000000" w:themeColor="text1"/>
          <w:szCs w:val="24"/>
          <w:u w:val="single"/>
          <w14:textFill>
            <w14:solidFill>
              <w14:schemeClr w14:val="tx1"/>
            </w14:solidFill>
          </w14:textFill>
        </w:rPr>
        <w:t xml:space="preserve"> </w:t>
      </w:r>
      <w:r>
        <w:rPr>
          <w:rFonts w:hint="eastAsia" w:ascii="宋体" w:hAnsi="宋体" w:cs="宋体"/>
          <w:color w:val="000000" w:themeColor="text1"/>
          <w:szCs w:val="24"/>
          <w14:textFill>
            <w14:solidFill>
              <w14:schemeClr w14:val="tx1"/>
            </w14:solidFill>
          </w14:textFill>
        </w:rPr>
        <w:t>，身份证号码：</w:t>
      </w:r>
      <w:r>
        <w:rPr>
          <w:rFonts w:hint="eastAsia" w:ascii="宋体" w:hAnsi="宋体" w:cs="宋体"/>
          <w:b/>
          <w:color w:val="000000" w:themeColor="text1"/>
          <w:szCs w:val="24"/>
          <w:u w:val="single"/>
          <w14:textFill>
            <w14:solidFill>
              <w14:schemeClr w14:val="tx1"/>
            </w14:solidFill>
          </w14:textFill>
        </w:rPr>
        <w:t xml:space="preserve"> </w:t>
      </w:r>
      <w:r>
        <w:rPr>
          <w:rFonts w:hint="eastAsia" w:ascii="宋体" w:hAnsi="宋体" w:cs="宋体"/>
          <w:color w:val="000000" w:themeColor="text1"/>
          <w:sz w:val="24"/>
          <w:szCs w:val="24"/>
          <w:u w:val="single"/>
          <w14:textFill>
            <w14:solidFill>
              <w14:schemeClr w14:val="tx1"/>
            </w14:solidFill>
          </w14:textFill>
        </w:rPr>
        <w:t xml:space="preserve">     </w:t>
      </w:r>
      <w:r>
        <w:rPr>
          <w:rFonts w:hint="eastAsia" w:ascii="宋体" w:hAnsi="宋体" w:cs="宋体"/>
          <w:color w:val="000000" w:themeColor="text1"/>
          <w:szCs w:val="24"/>
          <w14:textFill>
            <w14:solidFill>
              <w14:schemeClr w14:val="tx1"/>
            </w14:solidFill>
          </w14:textFill>
        </w:rPr>
        <w:t>，注册号：</w:t>
      </w:r>
      <w:r>
        <w:rPr>
          <w:rFonts w:hint="eastAsia" w:ascii="宋体" w:hAnsi="宋体" w:cs="宋体"/>
          <w:color w:val="000000" w:themeColor="text1"/>
          <w:szCs w:val="24"/>
          <w:u w:val="single"/>
          <w14:textFill>
            <w14:solidFill>
              <w14:schemeClr w14:val="tx1"/>
            </w14:solidFill>
          </w14:textFill>
        </w:rPr>
        <w:t xml:space="preserve">       </w:t>
      </w:r>
      <w:r>
        <w:rPr>
          <w:rFonts w:hint="eastAsia" w:ascii="宋体" w:hAnsi="宋体" w:cs="宋体"/>
          <w:color w:val="000000" w:themeColor="text1"/>
          <w:szCs w:val="24"/>
          <w14:textFill>
            <w14:solidFill>
              <w14:schemeClr w14:val="tx1"/>
            </w14:solidFill>
          </w14:textFill>
        </w:rPr>
        <w:t>。</w:t>
      </w:r>
    </w:p>
    <w:p>
      <w:pPr>
        <w:keepNext w:val="0"/>
        <w:keepLines w:val="0"/>
        <w:widowControl w:val="0"/>
        <w:kinsoku/>
        <w:wordWrap/>
        <w:overflowPunct/>
        <w:topLinePunct w:val="0"/>
        <w:autoSpaceDE/>
        <w:autoSpaceDN/>
        <w:bidi w:val="0"/>
        <w:adjustRightInd/>
        <w:spacing w:line="360" w:lineRule="auto"/>
        <w:ind w:firstLine="417" w:firstLineChars="198"/>
        <w:textAlignment w:val="auto"/>
        <w:outlineLvl w:val="9"/>
        <w:rPr>
          <w:rFonts w:ascii="宋体" w:hAnsi="宋体" w:cs="宋体"/>
          <w:b/>
          <w:color w:val="000000" w:themeColor="text1"/>
          <w:szCs w:val="24"/>
          <w14:textFill>
            <w14:solidFill>
              <w14:schemeClr w14:val="tx1"/>
            </w14:solidFill>
          </w14:textFill>
        </w:rPr>
      </w:pPr>
      <w:bookmarkStart w:id="698" w:name="_Toc3824"/>
      <w:bookmarkStart w:id="699" w:name="_Toc25713"/>
      <w:bookmarkStart w:id="700" w:name="_Toc15406"/>
      <w:bookmarkStart w:id="701" w:name="_Toc7512"/>
      <w:r>
        <w:rPr>
          <w:rFonts w:hint="eastAsia" w:ascii="宋体" w:hAnsi="宋体" w:cs="宋体"/>
          <w:b/>
          <w:color w:val="000000" w:themeColor="text1"/>
          <w:szCs w:val="24"/>
          <w14:textFill>
            <w14:solidFill>
              <w14:schemeClr w14:val="tx1"/>
            </w14:solidFill>
          </w14:textFill>
        </w:rPr>
        <w:t>五、签约酬金</w:t>
      </w:r>
      <w:bookmarkEnd w:id="698"/>
      <w:bookmarkEnd w:id="699"/>
      <w:bookmarkEnd w:id="700"/>
      <w:bookmarkEnd w:id="701"/>
    </w:p>
    <w:p>
      <w:pPr>
        <w:keepNext w:val="0"/>
        <w:keepLines w:val="0"/>
        <w:widowControl w:val="0"/>
        <w:kinsoku/>
        <w:wordWrap/>
        <w:overflowPunct/>
        <w:topLinePunct w:val="0"/>
        <w:autoSpaceDE/>
        <w:autoSpaceDN/>
        <w:bidi w:val="0"/>
        <w:adjustRightInd/>
        <w:snapToGrid w:val="0"/>
        <w:spacing w:line="360" w:lineRule="auto"/>
        <w:ind w:firstLine="415" w:firstLineChars="198"/>
        <w:textAlignment w:val="auto"/>
        <w:outlineLvl w:val="9"/>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监理合同额=监理单位中标金额</w:t>
      </w:r>
    </w:p>
    <w:p>
      <w:pPr>
        <w:keepNext w:val="0"/>
        <w:keepLines w:val="0"/>
        <w:widowControl w:val="0"/>
        <w:kinsoku/>
        <w:wordWrap/>
        <w:overflowPunct/>
        <w:topLinePunct w:val="0"/>
        <w:autoSpaceDE/>
        <w:autoSpaceDN/>
        <w:bidi w:val="0"/>
        <w:adjustRightInd/>
        <w:snapToGrid w:val="0"/>
        <w:spacing w:line="360" w:lineRule="auto"/>
        <w:ind w:firstLine="415" w:firstLineChars="198"/>
        <w:textAlignment w:val="auto"/>
        <w:outlineLvl w:val="9"/>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包括：</w:t>
      </w:r>
    </w:p>
    <w:p>
      <w:pPr>
        <w:keepNext w:val="0"/>
        <w:keepLines w:val="0"/>
        <w:widowControl w:val="0"/>
        <w:kinsoku/>
        <w:wordWrap/>
        <w:overflowPunct/>
        <w:topLinePunct w:val="0"/>
        <w:autoSpaceDE/>
        <w:autoSpaceDN/>
        <w:bidi w:val="0"/>
        <w:adjustRightInd/>
        <w:snapToGrid w:val="0"/>
        <w:spacing w:line="360" w:lineRule="auto"/>
        <w:ind w:firstLine="420" w:firstLineChars="200"/>
        <w:jc w:val="left"/>
        <w:textAlignment w:val="auto"/>
        <w:outlineLvl w:val="9"/>
        <w:rPr>
          <w:rFonts w:ascii="宋体" w:hAnsi="宋体" w:cs="宋体"/>
          <w:b/>
          <w:color w:val="000000" w:themeColor="text1"/>
          <w:szCs w:val="24"/>
          <w:u w:val="single"/>
          <w14:textFill>
            <w14:solidFill>
              <w14:schemeClr w14:val="tx1"/>
            </w14:solidFill>
          </w14:textFill>
        </w:rPr>
      </w:pPr>
      <w:r>
        <w:rPr>
          <w:rFonts w:hint="eastAsia" w:ascii="宋体" w:hAnsi="宋体" w:cs="宋体"/>
          <w:color w:val="000000" w:themeColor="text1"/>
          <w:szCs w:val="24"/>
          <w14:textFill>
            <w14:solidFill>
              <w14:schemeClr w14:val="tx1"/>
            </w14:solidFill>
          </w14:textFill>
        </w:rPr>
        <w:t>1. 监理酬金：</w:t>
      </w:r>
      <w:r>
        <w:rPr>
          <w:rFonts w:hint="eastAsia" w:ascii="宋体" w:hAnsi="宋体" w:cs="宋体"/>
          <w:color w:val="000000" w:themeColor="text1"/>
          <w:szCs w:val="24"/>
          <w:u w:val="single"/>
          <w14:textFill>
            <w14:solidFill>
              <w14:schemeClr w14:val="tx1"/>
            </w14:solidFill>
          </w14:textFill>
        </w:rPr>
        <w:t xml:space="preserve">  </w:t>
      </w:r>
      <w:r>
        <w:rPr>
          <w:rFonts w:hint="eastAsia" w:ascii="宋体" w:hAnsi="宋体" w:cs="宋体"/>
          <w:color w:val="000000" w:themeColor="text1"/>
          <w:szCs w:val="24"/>
          <w:u w:val="single"/>
          <w:lang w:val="en-US" w:eastAsia="zh-CN"/>
          <w14:textFill>
            <w14:solidFill>
              <w14:schemeClr w14:val="tx1"/>
            </w14:solidFill>
          </w14:textFill>
        </w:rPr>
        <w:t xml:space="preserve">   </w:t>
      </w:r>
      <w:r>
        <w:rPr>
          <w:rFonts w:hint="eastAsia" w:ascii="宋体" w:hAnsi="宋体" w:cs="宋体"/>
          <w:color w:val="000000" w:themeColor="text1"/>
          <w:szCs w:val="24"/>
          <w:u w:val="single"/>
          <w14:textFill>
            <w14:solidFill>
              <w14:schemeClr w14:val="tx1"/>
            </w14:solidFill>
          </w14:textFill>
        </w:rPr>
        <w:t xml:space="preserve">   </w:t>
      </w:r>
      <w:r>
        <w:rPr>
          <w:rFonts w:hint="eastAsia" w:ascii="宋体" w:hAnsi="宋体" w:cs="宋体"/>
          <w:color w:val="000000" w:themeColor="text1"/>
          <w:sz w:val="24"/>
          <w:szCs w:val="24"/>
          <w:u w:val="single"/>
          <w14:textFill>
            <w14:solidFill>
              <w14:schemeClr w14:val="tx1"/>
            </w14:solidFill>
          </w14:textFill>
        </w:rPr>
        <w:t xml:space="preserve">     </w:t>
      </w:r>
      <w:r>
        <w:rPr>
          <w:rFonts w:hint="eastAsia" w:ascii="宋体" w:hAnsi="宋体" w:cs="宋体"/>
          <w:b/>
          <w:color w:val="000000" w:themeColor="text1"/>
          <w:szCs w:val="24"/>
          <w14:textFill>
            <w14:solidFill>
              <w14:schemeClr w14:val="tx1"/>
            </w14:solidFill>
          </w14:textFill>
        </w:rPr>
        <w:t>；</w:t>
      </w:r>
    </w:p>
    <w:p>
      <w:pPr>
        <w:keepNext w:val="0"/>
        <w:keepLines w:val="0"/>
        <w:widowControl w:val="0"/>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2. 相关服务酬金：</w:t>
      </w:r>
      <w:r>
        <w:rPr>
          <w:rFonts w:hint="eastAsia" w:ascii="宋体" w:hAnsi="宋体" w:cs="宋体"/>
          <w:color w:val="000000" w:themeColor="text1"/>
          <w:szCs w:val="24"/>
          <w:u w:val="single"/>
          <w14:textFill>
            <w14:solidFill>
              <w14:schemeClr w14:val="tx1"/>
            </w14:solidFill>
          </w14:textFill>
        </w:rPr>
        <w:t xml:space="preserve">  </w:t>
      </w:r>
      <w:r>
        <w:rPr>
          <w:rFonts w:hint="eastAsia" w:ascii="宋体" w:hAnsi="宋体" w:cs="宋体"/>
          <w:b/>
          <w:color w:val="000000" w:themeColor="text1"/>
          <w:szCs w:val="24"/>
          <w:u w:val="single"/>
          <w14:textFill>
            <w14:solidFill>
              <w14:schemeClr w14:val="tx1"/>
            </w14:solidFill>
          </w14:textFill>
        </w:rPr>
        <w:t xml:space="preserve">  </w:t>
      </w:r>
      <w:r>
        <w:rPr>
          <w:rFonts w:hint="eastAsia" w:ascii="宋体" w:hAnsi="宋体" w:cs="宋体"/>
          <w:color w:val="000000" w:themeColor="text1"/>
          <w:sz w:val="24"/>
          <w:szCs w:val="24"/>
          <w:u w:val="single"/>
          <w14:textFill>
            <w14:solidFill>
              <w14:schemeClr w14:val="tx1"/>
            </w14:solidFill>
          </w14:textFill>
        </w:rPr>
        <w:t xml:space="preserve"> 无</w:t>
      </w:r>
      <w:r>
        <w:rPr>
          <w:rFonts w:hint="eastAsia" w:ascii="宋体" w:hAnsi="宋体" w:cs="宋体"/>
          <w:color w:val="000000" w:themeColor="text1"/>
          <w:szCs w:val="24"/>
          <w:u w:val="single"/>
          <w14:textFill>
            <w14:solidFill>
              <w14:schemeClr w14:val="tx1"/>
            </w14:solidFill>
          </w14:textFill>
        </w:rPr>
        <w:t xml:space="preserve">  </w:t>
      </w:r>
      <w:r>
        <w:rPr>
          <w:rFonts w:hint="eastAsia" w:ascii="宋体" w:hAnsi="宋体" w:cs="宋体"/>
          <w:b/>
          <w:color w:val="000000" w:themeColor="text1"/>
          <w:szCs w:val="24"/>
          <w:u w:val="single"/>
          <w14:textFill>
            <w14:solidFill>
              <w14:schemeClr w14:val="tx1"/>
            </w14:solidFill>
          </w14:textFill>
        </w:rPr>
        <w:t xml:space="preserve">  </w:t>
      </w:r>
      <w:r>
        <w:rPr>
          <w:rFonts w:hint="eastAsia" w:ascii="宋体" w:hAnsi="宋体" w:cs="宋体"/>
          <w:color w:val="000000" w:themeColor="text1"/>
          <w:szCs w:val="24"/>
          <w:u w:val="single"/>
          <w14:textFill>
            <w14:solidFill>
              <w14:schemeClr w14:val="tx1"/>
            </w14:solidFill>
          </w14:textFill>
        </w:rPr>
        <w:t xml:space="preserve">  </w:t>
      </w:r>
      <w:r>
        <w:rPr>
          <w:rFonts w:hint="eastAsia" w:ascii="宋体" w:hAnsi="宋体" w:cs="宋体"/>
          <w:color w:val="000000" w:themeColor="text1"/>
          <w:szCs w:val="24"/>
          <w14:textFill>
            <w14:solidFill>
              <w14:schemeClr w14:val="tx1"/>
            </w14:solidFill>
          </w14:textFill>
        </w:rPr>
        <w:t>。</w:t>
      </w:r>
    </w:p>
    <w:p>
      <w:pPr>
        <w:keepNext w:val="0"/>
        <w:keepLines w:val="0"/>
        <w:widowControl w:val="0"/>
        <w:kinsoku/>
        <w:wordWrap/>
        <w:overflowPunct/>
        <w:topLinePunct w:val="0"/>
        <w:autoSpaceDE/>
        <w:autoSpaceDN/>
        <w:bidi w:val="0"/>
        <w:adjustRightInd/>
        <w:snapToGrid w:val="0"/>
        <w:spacing w:line="360" w:lineRule="auto"/>
        <w:ind w:firstLine="525" w:firstLineChars="250"/>
        <w:textAlignment w:val="auto"/>
        <w:outlineLvl w:val="9"/>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其中：</w:t>
      </w:r>
    </w:p>
    <w:p>
      <w:pPr>
        <w:keepNext w:val="0"/>
        <w:keepLines w:val="0"/>
        <w:widowControl w:val="0"/>
        <w:kinsoku/>
        <w:wordWrap/>
        <w:overflowPunct/>
        <w:topLinePunct w:val="0"/>
        <w:autoSpaceDE/>
        <w:autoSpaceDN/>
        <w:bidi w:val="0"/>
        <w:adjustRightInd/>
        <w:snapToGrid w:val="0"/>
        <w:spacing w:line="360" w:lineRule="auto"/>
        <w:ind w:firstLine="840" w:firstLineChars="400"/>
        <w:textAlignment w:val="auto"/>
        <w:outlineLvl w:val="9"/>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（1）勘察阶段服务酬金：</w:t>
      </w:r>
      <w:r>
        <w:rPr>
          <w:rFonts w:hint="eastAsia" w:ascii="宋体" w:hAnsi="宋体" w:cs="宋体"/>
          <w:color w:val="000000" w:themeColor="text1"/>
          <w:szCs w:val="24"/>
          <w:u w:val="single"/>
          <w14:textFill>
            <w14:solidFill>
              <w14:schemeClr w14:val="tx1"/>
            </w14:solidFill>
          </w14:textFill>
        </w:rPr>
        <w:t xml:space="preserve">   </w:t>
      </w:r>
      <w:r>
        <w:rPr>
          <w:rFonts w:hint="eastAsia" w:ascii="宋体" w:hAnsi="宋体" w:cs="宋体"/>
          <w:b/>
          <w:color w:val="000000" w:themeColor="text1"/>
          <w:szCs w:val="24"/>
          <w:u w:val="single"/>
          <w14:textFill>
            <w14:solidFill>
              <w14:schemeClr w14:val="tx1"/>
            </w14:solidFill>
          </w14:textFill>
        </w:rPr>
        <w:t xml:space="preserve">  </w:t>
      </w:r>
      <w:r>
        <w:rPr>
          <w:rFonts w:hint="eastAsia" w:ascii="宋体" w:hAnsi="宋体" w:cs="宋体"/>
          <w:color w:val="000000" w:themeColor="text1"/>
          <w:szCs w:val="24"/>
          <w:u w:val="single"/>
          <w14:textFill>
            <w14:solidFill>
              <w14:schemeClr w14:val="tx1"/>
            </w14:solidFill>
          </w14:textFill>
        </w:rPr>
        <w:t xml:space="preserve"> 无 </w:t>
      </w:r>
      <w:r>
        <w:rPr>
          <w:rFonts w:hint="eastAsia" w:ascii="宋体" w:hAnsi="宋体" w:cs="宋体"/>
          <w:b/>
          <w:color w:val="000000" w:themeColor="text1"/>
          <w:szCs w:val="24"/>
          <w:u w:val="single"/>
          <w14:textFill>
            <w14:solidFill>
              <w14:schemeClr w14:val="tx1"/>
            </w14:solidFill>
          </w14:textFill>
        </w:rPr>
        <w:t xml:space="preserve"> </w:t>
      </w:r>
      <w:r>
        <w:rPr>
          <w:rFonts w:hint="eastAsia" w:ascii="宋体" w:hAnsi="宋体" w:cs="宋体"/>
          <w:color w:val="000000" w:themeColor="text1"/>
          <w:szCs w:val="24"/>
          <w:u w:val="single"/>
          <w14:textFill>
            <w14:solidFill>
              <w14:schemeClr w14:val="tx1"/>
            </w14:solidFill>
          </w14:textFill>
        </w:rPr>
        <w:t xml:space="preserve">    </w:t>
      </w:r>
      <w:r>
        <w:rPr>
          <w:rFonts w:hint="eastAsia" w:ascii="宋体" w:hAnsi="宋体" w:cs="宋体"/>
          <w:color w:val="000000" w:themeColor="text1"/>
          <w:szCs w:val="24"/>
          <w14:textFill>
            <w14:solidFill>
              <w14:schemeClr w14:val="tx1"/>
            </w14:solidFill>
          </w14:textFill>
        </w:rPr>
        <w:t>。</w:t>
      </w:r>
    </w:p>
    <w:p>
      <w:pPr>
        <w:keepNext w:val="0"/>
        <w:keepLines w:val="0"/>
        <w:widowControl w:val="0"/>
        <w:kinsoku/>
        <w:wordWrap/>
        <w:overflowPunct/>
        <w:topLinePunct w:val="0"/>
        <w:autoSpaceDE/>
        <w:autoSpaceDN/>
        <w:bidi w:val="0"/>
        <w:adjustRightInd/>
        <w:snapToGrid w:val="0"/>
        <w:spacing w:line="360" w:lineRule="auto"/>
        <w:ind w:firstLine="840" w:firstLineChars="400"/>
        <w:textAlignment w:val="auto"/>
        <w:outlineLvl w:val="9"/>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（2）设计阶段服务酬金：</w:t>
      </w:r>
      <w:r>
        <w:rPr>
          <w:rFonts w:hint="eastAsia" w:ascii="宋体" w:hAnsi="宋体" w:cs="宋体"/>
          <w:color w:val="000000" w:themeColor="text1"/>
          <w:szCs w:val="24"/>
          <w:u w:val="single"/>
          <w14:textFill>
            <w14:solidFill>
              <w14:schemeClr w14:val="tx1"/>
            </w14:solidFill>
          </w14:textFill>
        </w:rPr>
        <w:t xml:space="preserve">   </w:t>
      </w:r>
      <w:r>
        <w:rPr>
          <w:rFonts w:hint="eastAsia" w:ascii="宋体" w:hAnsi="宋体" w:cs="宋体"/>
          <w:b/>
          <w:color w:val="000000" w:themeColor="text1"/>
          <w:szCs w:val="24"/>
          <w:u w:val="single"/>
          <w14:textFill>
            <w14:solidFill>
              <w14:schemeClr w14:val="tx1"/>
            </w14:solidFill>
          </w14:textFill>
        </w:rPr>
        <w:t xml:space="preserve">   </w:t>
      </w:r>
      <w:r>
        <w:rPr>
          <w:rFonts w:hint="eastAsia" w:ascii="宋体" w:hAnsi="宋体" w:cs="宋体"/>
          <w:color w:val="000000" w:themeColor="text1"/>
          <w:szCs w:val="24"/>
          <w:u w:val="single"/>
          <w14:textFill>
            <w14:solidFill>
              <w14:schemeClr w14:val="tx1"/>
            </w14:solidFill>
          </w14:textFill>
        </w:rPr>
        <w:t>无</w:t>
      </w:r>
      <w:r>
        <w:rPr>
          <w:rFonts w:hint="eastAsia" w:ascii="宋体" w:hAnsi="宋体" w:cs="宋体"/>
          <w:b/>
          <w:color w:val="000000" w:themeColor="text1"/>
          <w:szCs w:val="24"/>
          <w:u w:val="single"/>
          <w14:textFill>
            <w14:solidFill>
              <w14:schemeClr w14:val="tx1"/>
            </w14:solidFill>
          </w14:textFill>
        </w:rPr>
        <w:t xml:space="preserve"> </w:t>
      </w:r>
      <w:r>
        <w:rPr>
          <w:rFonts w:hint="eastAsia" w:ascii="宋体" w:hAnsi="宋体" w:cs="宋体"/>
          <w:color w:val="000000" w:themeColor="text1"/>
          <w:szCs w:val="24"/>
          <w:u w:val="single"/>
          <w14:textFill>
            <w14:solidFill>
              <w14:schemeClr w14:val="tx1"/>
            </w14:solidFill>
          </w14:textFill>
        </w:rPr>
        <w:t xml:space="preserve">     </w:t>
      </w:r>
      <w:r>
        <w:rPr>
          <w:rFonts w:hint="eastAsia" w:ascii="宋体" w:hAnsi="宋体" w:cs="宋体"/>
          <w:color w:val="000000" w:themeColor="text1"/>
          <w:szCs w:val="24"/>
          <w14:textFill>
            <w14:solidFill>
              <w14:schemeClr w14:val="tx1"/>
            </w14:solidFill>
          </w14:textFill>
        </w:rPr>
        <w:t>。</w:t>
      </w:r>
    </w:p>
    <w:p>
      <w:pPr>
        <w:keepNext w:val="0"/>
        <w:keepLines w:val="0"/>
        <w:widowControl w:val="0"/>
        <w:kinsoku/>
        <w:wordWrap/>
        <w:overflowPunct/>
        <w:topLinePunct w:val="0"/>
        <w:autoSpaceDE/>
        <w:autoSpaceDN/>
        <w:bidi w:val="0"/>
        <w:adjustRightInd/>
        <w:snapToGrid w:val="0"/>
        <w:spacing w:line="360" w:lineRule="auto"/>
        <w:ind w:firstLine="840" w:firstLineChars="400"/>
        <w:textAlignment w:val="auto"/>
        <w:outlineLvl w:val="9"/>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（3）保修阶段服务酬金：</w:t>
      </w:r>
      <w:r>
        <w:rPr>
          <w:rFonts w:hint="eastAsia" w:ascii="宋体" w:hAnsi="宋体" w:cs="宋体"/>
          <w:color w:val="000000" w:themeColor="text1"/>
          <w:szCs w:val="24"/>
          <w:u w:val="single"/>
          <w14:textFill>
            <w14:solidFill>
              <w14:schemeClr w14:val="tx1"/>
            </w14:solidFill>
          </w14:textFill>
        </w:rPr>
        <w:t xml:space="preserve">      无      </w:t>
      </w:r>
      <w:r>
        <w:rPr>
          <w:rFonts w:hint="eastAsia" w:ascii="宋体" w:hAnsi="宋体" w:cs="宋体"/>
          <w:color w:val="000000" w:themeColor="text1"/>
          <w:szCs w:val="24"/>
          <w14:textFill>
            <w14:solidFill>
              <w14:schemeClr w14:val="tx1"/>
            </w14:solidFill>
          </w14:textFill>
        </w:rPr>
        <w:t>。</w:t>
      </w:r>
    </w:p>
    <w:p>
      <w:pPr>
        <w:keepNext w:val="0"/>
        <w:keepLines w:val="0"/>
        <w:widowControl w:val="0"/>
        <w:kinsoku/>
        <w:wordWrap/>
        <w:overflowPunct/>
        <w:topLinePunct w:val="0"/>
        <w:autoSpaceDE/>
        <w:autoSpaceDN/>
        <w:bidi w:val="0"/>
        <w:adjustRightInd/>
        <w:snapToGrid w:val="0"/>
        <w:spacing w:line="360" w:lineRule="auto"/>
        <w:ind w:firstLine="840" w:firstLineChars="400"/>
        <w:textAlignment w:val="auto"/>
        <w:outlineLvl w:val="9"/>
        <w:rPr>
          <w:rFonts w:ascii="宋体" w:hAnsi="宋体" w:cs="宋体"/>
          <w:b/>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（4）其他相关服务酬金：</w:t>
      </w:r>
      <w:r>
        <w:rPr>
          <w:rFonts w:hint="eastAsia" w:ascii="宋体" w:hAnsi="宋体" w:cs="宋体"/>
          <w:color w:val="000000" w:themeColor="text1"/>
          <w:szCs w:val="24"/>
          <w:u w:val="single"/>
          <w14:textFill>
            <w14:solidFill>
              <w14:schemeClr w14:val="tx1"/>
            </w14:solidFill>
          </w14:textFill>
        </w:rPr>
        <w:t xml:space="preserve">      无      </w:t>
      </w:r>
      <w:r>
        <w:rPr>
          <w:rFonts w:hint="eastAsia" w:ascii="宋体" w:hAnsi="宋体" w:cs="宋体"/>
          <w:color w:val="000000" w:themeColor="text1"/>
          <w:szCs w:val="24"/>
          <w14:textFill>
            <w14:solidFill>
              <w14:schemeClr w14:val="tx1"/>
            </w14:solidFill>
          </w14:textFill>
        </w:rPr>
        <w:t>。</w:t>
      </w:r>
    </w:p>
    <w:p>
      <w:pPr>
        <w:keepNext w:val="0"/>
        <w:keepLines w:val="0"/>
        <w:widowControl w:val="0"/>
        <w:kinsoku/>
        <w:wordWrap/>
        <w:overflowPunct/>
        <w:topLinePunct w:val="0"/>
        <w:autoSpaceDE/>
        <w:autoSpaceDN/>
        <w:bidi w:val="0"/>
        <w:adjustRightInd/>
        <w:spacing w:line="360" w:lineRule="auto"/>
        <w:ind w:firstLine="417" w:firstLineChars="198"/>
        <w:textAlignment w:val="auto"/>
        <w:outlineLvl w:val="9"/>
        <w:rPr>
          <w:rFonts w:ascii="宋体" w:hAnsi="宋体" w:cs="宋体"/>
          <w:b/>
          <w:color w:val="000000" w:themeColor="text1"/>
          <w:szCs w:val="24"/>
          <w14:textFill>
            <w14:solidFill>
              <w14:schemeClr w14:val="tx1"/>
            </w14:solidFill>
          </w14:textFill>
        </w:rPr>
      </w:pPr>
      <w:bookmarkStart w:id="702" w:name="_Toc18909"/>
      <w:bookmarkStart w:id="703" w:name="_Toc14874"/>
      <w:bookmarkStart w:id="704" w:name="_Toc6356"/>
      <w:bookmarkStart w:id="705" w:name="_Toc25402"/>
      <w:r>
        <w:rPr>
          <w:rFonts w:hint="eastAsia" w:ascii="宋体" w:hAnsi="宋体" w:cs="宋体"/>
          <w:b/>
          <w:color w:val="000000" w:themeColor="text1"/>
          <w:szCs w:val="24"/>
          <w14:textFill>
            <w14:solidFill>
              <w14:schemeClr w14:val="tx1"/>
            </w14:solidFill>
          </w14:textFill>
        </w:rPr>
        <w:t>六、期限</w:t>
      </w:r>
      <w:bookmarkEnd w:id="702"/>
      <w:bookmarkEnd w:id="703"/>
      <w:bookmarkEnd w:id="704"/>
      <w:bookmarkEnd w:id="705"/>
    </w:p>
    <w:p>
      <w:pPr>
        <w:keepNext w:val="0"/>
        <w:keepLines w:val="0"/>
        <w:widowControl w:val="0"/>
        <w:kinsoku/>
        <w:wordWrap/>
        <w:overflowPunct/>
        <w:topLinePunct w:val="0"/>
        <w:autoSpaceDE/>
        <w:autoSpaceDN/>
        <w:bidi w:val="0"/>
        <w:adjustRightInd/>
        <w:snapToGrid w:val="0"/>
        <w:spacing w:line="360" w:lineRule="auto"/>
        <w:ind w:firstLine="525" w:firstLineChars="250"/>
        <w:textAlignment w:val="auto"/>
        <w:outlineLvl w:val="9"/>
        <w:rPr>
          <w:rFonts w:ascii="宋体" w:hAnsi="宋体" w:cs="宋体"/>
          <w:color w:val="000000" w:themeColor="text1"/>
          <w:szCs w:val="24"/>
          <w:u w:val="single"/>
          <w14:textFill>
            <w14:solidFill>
              <w14:schemeClr w14:val="tx1"/>
            </w14:solidFill>
          </w14:textFill>
        </w:rPr>
      </w:pPr>
      <w:r>
        <w:rPr>
          <w:rFonts w:hint="eastAsia" w:ascii="宋体" w:hAnsi="宋体" w:cs="宋体"/>
          <w:color w:val="000000" w:themeColor="text1"/>
          <w:szCs w:val="24"/>
          <w14:textFill>
            <w14:solidFill>
              <w14:schemeClr w14:val="tx1"/>
            </w14:solidFill>
          </w14:textFill>
        </w:rPr>
        <w:t>1. 监理期限：</w:t>
      </w:r>
      <w:r>
        <w:rPr>
          <w:rFonts w:hint="eastAsia" w:ascii="宋体" w:hAnsi="宋体" w:cs="宋体"/>
          <w:color w:val="000000" w:themeColor="text1"/>
          <w:szCs w:val="24"/>
          <w:u w:val="single"/>
          <w14:textFill>
            <w14:solidFill>
              <w14:schemeClr w14:val="tx1"/>
            </w14:solidFill>
          </w14:textFill>
        </w:rPr>
        <w:t>该项目开工准备阶段、施工阶段、竣工验收、工程备案阶段及质保期等全过程的监理。自施工单位进场前7天，甲方书面通知监理进场</w:t>
      </w:r>
      <w:r>
        <w:rPr>
          <w:rFonts w:hint="eastAsia" w:ascii="宋体" w:hAnsi="宋体" w:cs="宋体"/>
          <w:color w:val="000000" w:themeColor="text1"/>
          <w:szCs w:val="24"/>
          <w14:textFill>
            <w14:solidFill>
              <w14:schemeClr w14:val="tx1"/>
            </w14:solidFill>
          </w14:textFill>
        </w:rPr>
        <w:t>。</w:t>
      </w:r>
    </w:p>
    <w:p>
      <w:pPr>
        <w:keepNext w:val="0"/>
        <w:keepLines w:val="0"/>
        <w:widowControl w:val="0"/>
        <w:kinsoku/>
        <w:wordWrap/>
        <w:overflowPunct/>
        <w:topLinePunct w:val="0"/>
        <w:autoSpaceDE/>
        <w:autoSpaceDN/>
        <w:bidi w:val="0"/>
        <w:adjustRightInd/>
        <w:snapToGrid w:val="0"/>
        <w:spacing w:line="360" w:lineRule="auto"/>
        <w:ind w:firstLine="525" w:firstLineChars="250"/>
        <w:textAlignment w:val="auto"/>
        <w:outlineLvl w:val="9"/>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2. 相关服务期限：</w:t>
      </w:r>
    </w:p>
    <w:p>
      <w:pPr>
        <w:keepNext w:val="0"/>
        <w:keepLines w:val="0"/>
        <w:widowControl w:val="0"/>
        <w:kinsoku/>
        <w:wordWrap/>
        <w:overflowPunct/>
        <w:topLinePunct w:val="0"/>
        <w:autoSpaceDE/>
        <w:autoSpaceDN/>
        <w:bidi w:val="0"/>
        <w:adjustRightInd/>
        <w:snapToGrid w:val="0"/>
        <w:spacing w:line="360" w:lineRule="auto"/>
        <w:ind w:firstLine="525" w:firstLineChars="250"/>
        <w:textAlignment w:val="auto"/>
        <w:outlineLvl w:val="9"/>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（1）勘察阶段服务期限自</w:t>
      </w:r>
      <w:r>
        <w:rPr>
          <w:rFonts w:hint="eastAsia" w:ascii="宋体" w:hAnsi="宋体" w:cs="宋体"/>
          <w:color w:val="000000" w:themeColor="text1"/>
          <w:szCs w:val="24"/>
          <w:u w:val="single"/>
          <w14:textFill>
            <w14:solidFill>
              <w14:schemeClr w14:val="tx1"/>
            </w14:solidFill>
          </w14:textFill>
        </w:rPr>
        <w:t xml:space="preserve">  /   </w:t>
      </w:r>
      <w:r>
        <w:rPr>
          <w:rFonts w:hint="eastAsia" w:ascii="宋体" w:hAnsi="宋体" w:cs="宋体"/>
          <w:color w:val="000000" w:themeColor="text1"/>
          <w:szCs w:val="24"/>
          <w14:textFill>
            <w14:solidFill>
              <w14:schemeClr w14:val="tx1"/>
            </w14:solidFill>
          </w14:textFill>
        </w:rPr>
        <w:t>年</w:t>
      </w:r>
      <w:r>
        <w:rPr>
          <w:rFonts w:hint="eastAsia" w:ascii="宋体" w:hAnsi="宋体" w:cs="宋体"/>
          <w:color w:val="000000" w:themeColor="text1"/>
          <w:szCs w:val="24"/>
          <w:u w:val="single"/>
          <w14:textFill>
            <w14:solidFill>
              <w14:schemeClr w14:val="tx1"/>
            </w14:solidFill>
          </w14:textFill>
        </w:rPr>
        <w:t xml:space="preserve">  / </w:t>
      </w:r>
      <w:r>
        <w:rPr>
          <w:rFonts w:hint="eastAsia" w:ascii="宋体" w:hAnsi="宋体" w:cs="宋体"/>
          <w:color w:val="000000" w:themeColor="text1"/>
          <w:szCs w:val="24"/>
          <w14:textFill>
            <w14:solidFill>
              <w14:schemeClr w14:val="tx1"/>
            </w14:solidFill>
          </w14:textFill>
        </w:rPr>
        <w:t>月</w:t>
      </w:r>
      <w:r>
        <w:rPr>
          <w:rFonts w:hint="eastAsia" w:ascii="宋体" w:hAnsi="宋体" w:cs="宋体"/>
          <w:color w:val="000000" w:themeColor="text1"/>
          <w:szCs w:val="24"/>
          <w:u w:val="single"/>
          <w14:textFill>
            <w14:solidFill>
              <w14:schemeClr w14:val="tx1"/>
            </w14:solidFill>
          </w14:textFill>
        </w:rPr>
        <w:t xml:space="preserve">  / </w:t>
      </w:r>
      <w:r>
        <w:rPr>
          <w:rFonts w:hint="eastAsia" w:ascii="宋体" w:hAnsi="宋体" w:cs="宋体"/>
          <w:color w:val="000000" w:themeColor="text1"/>
          <w:szCs w:val="24"/>
          <w14:textFill>
            <w14:solidFill>
              <w14:schemeClr w14:val="tx1"/>
            </w14:solidFill>
          </w14:textFill>
        </w:rPr>
        <w:t>日始，至</w:t>
      </w:r>
      <w:r>
        <w:rPr>
          <w:rFonts w:hint="eastAsia" w:ascii="宋体" w:hAnsi="宋体" w:cs="宋体"/>
          <w:color w:val="000000" w:themeColor="text1"/>
          <w:szCs w:val="24"/>
          <w:u w:val="single"/>
          <w14:textFill>
            <w14:solidFill>
              <w14:schemeClr w14:val="tx1"/>
            </w14:solidFill>
          </w14:textFill>
        </w:rPr>
        <w:t xml:space="preserve">  /   </w:t>
      </w:r>
      <w:r>
        <w:rPr>
          <w:rFonts w:hint="eastAsia" w:ascii="宋体" w:hAnsi="宋体" w:cs="宋体"/>
          <w:color w:val="000000" w:themeColor="text1"/>
          <w:szCs w:val="24"/>
          <w14:textFill>
            <w14:solidFill>
              <w14:schemeClr w14:val="tx1"/>
            </w14:solidFill>
          </w14:textFill>
        </w:rPr>
        <w:t>年</w:t>
      </w:r>
      <w:r>
        <w:rPr>
          <w:rFonts w:hint="eastAsia" w:ascii="宋体" w:hAnsi="宋体" w:cs="宋体"/>
          <w:color w:val="000000" w:themeColor="text1"/>
          <w:szCs w:val="24"/>
          <w:u w:val="single"/>
          <w14:textFill>
            <w14:solidFill>
              <w14:schemeClr w14:val="tx1"/>
            </w14:solidFill>
          </w14:textFill>
        </w:rPr>
        <w:t xml:space="preserve">  / </w:t>
      </w:r>
      <w:r>
        <w:rPr>
          <w:rFonts w:hint="eastAsia" w:ascii="宋体" w:hAnsi="宋体" w:cs="宋体"/>
          <w:color w:val="000000" w:themeColor="text1"/>
          <w:szCs w:val="24"/>
          <w14:textFill>
            <w14:solidFill>
              <w14:schemeClr w14:val="tx1"/>
            </w14:solidFill>
          </w14:textFill>
        </w:rPr>
        <w:t>月</w:t>
      </w:r>
      <w:r>
        <w:rPr>
          <w:rFonts w:hint="eastAsia" w:ascii="宋体" w:hAnsi="宋体" w:cs="宋体"/>
          <w:color w:val="000000" w:themeColor="text1"/>
          <w:szCs w:val="24"/>
          <w:u w:val="single"/>
          <w14:textFill>
            <w14:solidFill>
              <w14:schemeClr w14:val="tx1"/>
            </w14:solidFill>
          </w14:textFill>
        </w:rPr>
        <w:t xml:space="preserve">  / </w:t>
      </w:r>
      <w:r>
        <w:rPr>
          <w:rFonts w:hint="eastAsia" w:ascii="宋体" w:hAnsi="宋体" w:cs="宋体"/>
          <w:color w:val="000000" w:themeColor="text1"/>
          <w:szCs w:val="24"/>
          <w14:textFill>
            <w14:solidFill>
              <w14:schemeClr w14:val="tx1"/>
            </w14:solidFill>
          </w14:textFill>
        </w:rPr>
        <w:t>日止。</w:t>
      </w:r>
    </w:p>
    <w:p>
      <w:pPr>
        <w:keepNext w:val="0"/>
        <w:keepLines w:val="0"/>
        <w:widowControl w:val="0"/>
        <w:kinsoku/>
        <w:wordWrap/>
        <w:overflowPunct/>
        <w:topLinePunct w:val="0"/>
        <w:autoSpaceDE/>
        <w:autoSpaceDN/>
        <w:bidi w:val="0"/>
        <w:adjustRightInd/>
        <w:snapToGrid w:val="0"/>
        <w:spacing w:line="360" w:lineRule="auto"/>
        <w:ind w:firstLine="525" w:firstLineChars="250"/>
        <w:textAlignment w:val="auto"/>
        <w:outlineLvl w:val="9"/>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（2）设计阶段服务期限自</w:t>
      </w:r>
      <w:r>
        <w:rPr>
          <w:rFonts w:hint="eastAsia" w:ascii="宋体" w:hAnsi="宋体" w:cs="宋体"/>
          <w:color w:val="000000" w:themeColor="text1"/>
          <w:szCs w:val="24"/>
          <w:u w:val="single"/>
          <w14:textFill>
            <w14:solidFill>
              <w14:schemeClr w14:val="tx1"/>
            </w14:solidFill>
          </w14:textFill>
        </w:rPr>
        <w:t xml:space="preserve">  /   </w:t>
      </w:r>
      <w:r>
        <w:rPr>
          <w:rFonts w:hint="eastAsia" w:ascii="宋体" w:hAnsi="宋体" w:cs="宋体"/>
          <w:color w:val="000000" w:themeColor="text1"/>
          <w:szCs w:val="24"/>
          <w14:textFill>
            <w14:solidFill>
              <w14:schemeClr w14:val="tx1"/>
            </w14:solidFill>
          </w14:textFill>
        </w:rPr>
        <w:t>年</w:t>
      </w:r>
      <w:r>
        <w:rPr>
          <w:rFonts w:hint="eastAsia" w:ascii="宋体" w:hAnsi="宋体" w:cs="宋体"/>
          <w:color w:val="000000" w:themeColor="text1"/>
          <w:szCs w:val="24"/>
          <w:u w:val="single"/>
          <w14:textFill>
            <w14:solidFill>
              <w14:schemeClr w14:val="tx1"/>
            </w14:solidFill>
          </w14:textFill>
        </w:rPr>
        <w:t xml:space="preserve"> /  </w:t>
      </w:r>
      <w:r>
        <w:rPr>
          <w:rFonts w:hint="eastAsia" w:ascii="宋体" w:hAnsi="宋体" w:cs="宋体"/>
          <w:color w:val="000000" w:themeColor="text1"/>
          <w:szCs w:val="24"/>
          <w14:textFill>
            <w14:solidFill>
              <w14:schemeClr w14:val="tx1"/>
            </w14:solidFill>
          </w14:textFill>
        </w:rPr>
        <w:t>月</w:t>
      </w:r>
      <w:r>
        <w:rPr>
          <w:rFonts w:hint="eastAsia" w:ascii="宋体" w:hAnsi="宋体" w:cs="宋体"/>
          <w:color w:val="000000" w:themeColor="text1"/>
          <w:szCs w:val="24"/>
          <w:u w:val="single"/>
          <w14:textFill>
            <w14:solidFill>
              <w14:schemeClr w14:val="tx1"/>
            </w14:solidFill>
          </w14:textFill>
        </w:rPr>
        <w:t xml:space="preserve">  / </w:t>
      </w:r>
      <w:r>
        <w:rPr>
          <w:rFonts w:hint="eastAsia" w:ascii="宋体" w:hAnsi="宋体" w:cs="宋体"/>
          <w:color w:val="000000" w:themeColor="text1"/>
          <w:szCs w:val="24"/>
          <w14:textFill>
            <w14:solidFill>
              <w14:schemeClr w14:val="tx1"/>
            </w14:solidFill>
          </w14:textFill>
        </w:rPr>
        <w:t>日始，至</w:t>
      </w:r>
      <w:r>
        <w:rPr>
          <w:rFonts w:hint="eastAsia" w:ascii="宋体" w:hAnsi="宋体" w:cs="宋体"/>
          <w:color w:val="000000" w:themeColor="text1"/>
          <w:szCs w:val="24"/>
          <w:u w:val="single"/>
          <w14:textFill>
            <w14:solidFill>
              <w14:schemeClr w14:val="tx1"/>
            </w14:solidFill>
          </w14:textFill>
        </w:rPr>
        <w:t xml:space="preserve">  /   </w:t>
      </w:r>
      <w:r>
        <w:rPr>
          <w:rFonts w:hint="eastAsia" w:ascii="宋体" w:hAnsi="宋体" w:cs="宋体"/>
          <w:color w:val="000000" w:themeColor="text1"/>
          <w:szCs w:val="24"/>
          <w14:textFill>
            <w14:solidFill>
              <w14:schemeClr w14:val="tx1"/>
            </w14:solidFill>
          </w14:textFill>
        </w:rPr>
        <w:t>年</w:t>
      </w:r>
      <w:r>
        <w:rPr>
          <w:rFonts w:hint="eastAsia" w:ascii="宋体" w:hAnsi="宋体" w:cs="宋体"/>
          <w:color w:val="000000" w:themeColor="text1"/>
          <w:szCs w:val="24"/>
          <w:u w:val="single"/>
          <w14:textFill>
            <w14:solidFill>
              <w14:schemeClr w14:val="tx1"/>
            </w14:solidFill>
          </w14:textFill>
        </w:rPr>
        <w:t xml:space="preserve">  / </w:t>
      </w:r>
      <w:r>
        <w:rPr>
          <w:rFonts w:hint="eastAsia" w:ascii="宋体" w:hAnsi="宋体" w:cs="宋体"/>
          <w:color w:val="000000" w:themeColor="text1"/>
          <w:szCs w:val="24"/>
          <w14:textFill>
            <w14:solidFill>
              <w14:schemeClr w14:val="tx1"/>
            </w14:solidFill>
          </w14:textFill>
        </w:rPr>
        <w:t>月</w:t>
      </w:r>
      <w:r>
        <w:rPr>
          <w:rFonts w:hint="eastAsia" w:ascii="宋体" w:hAnsi="宋体" w:cs="宋体"/>
          <w:color w:val="000000" w:themeColor="text1"/>
          <w:szCs w:val="24"/>
          <w:u w:val="single"/>
          <w14:textFill>
            <w14:solidFill>
              <w14:schemeClr w14:val="tx1"/>
            </w14:solidFill>
          </w14:textFill>
        </w:rPr>
        <w:t xml:space="preserve"> /  </w:t>
      </w:r>
      <w:r>
        <w:rPr>
          <w:rFonts w:hint="eastAsia" w:ascii="宋体" w:hAnsi="宋体" w:cs="宋体"/>
          <w:color w:val="000000" w:themeColor="text1"/>
          <w:szCs w:val="24"/>
          <w14:textFill>
            <w14:solidFill>
              <w14:schemeClr w14:val="tx1"/>
            </w14:solidFill>
          </w14:textFill>
        </w:rPr>
        <w:t>日止。</w:t>
      </w:r>
    </w:p>
    <w:p>
      <w:pPr>
        <w:keepNext w:val="0"/>
        <w:keepLines w:val="0"/>
        <w:widowControl w:val="0"/>
        <w:kinsoku/>
        <w:wordWrap/>
        <w:overflowPunct/>
        <w:topLinePunct w:val="0"/>
        <w:autoSpaceDE/>
        <w:autoSpaceDN/>
        <w:bidi w:val="0"/>
        <w:adjustRightInd/>
        <w:snapToGrid w:val="0"/>
        <w:spacing w:line="360" w:lineRule="auto"/>
        <w:ind w:firstLine="525" w:firstLineChars="250"/>
        <w:textAlignment w:val="auto"/>
        <w:outlineLvl w:val="9"/>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（3）保修阶段服务期限自</w:t>
      </w:r>
      <w:r>
        <w:rPr>
          <w:rFonts w:hint="eastAsia" w:ascii="宋体" w:hAnsi="宋体" w:cs="宋体"/>
          <w:color w:val="000000" w:themeColor="text1"/>
          <w:szCs w:val="24"/>
          <w:u w:val="single"/>
          <w14:textFill>
            <w14:solidFill>
              <w14:schemeClr w14:val="tx1"/>
            </w14:solidFill>
          </w14:textFill>
        </w:rPr>
        <w:t xml:space="preserve">  /   </w:t>
      </w:r>
      <w:r>
        <w:rPr>
          <w:rFonts w:hint="eastAsia" w:ascii="宋体" w:hAnsi="宋体" w:cs="宋体"/>
          <w:color w:val="000000" w:themeColor="text1"/>
          <w:szCs w:val="24"/>
          <w14:textFill>
            <w14:solidFill>
              <w14:schemeClr w14:val="tx1"/>
            </w14:solidFill>
          </w14:textFill>
        </w:rPr>
        <w:t>年</w:t>
      </w:r>
      <w:r>
        <w:rPr>
          <w:rFonts w:hint="eastAsia" w:ascii="宋体" w:hAnsi="宋体" w:cs="宋体"/>
          <w:color w:val="000000" w:themeColor="text1"/>
          <w:szCs w:val="24"/>
          <w:u w:val="single"/>
          <w14:textFill>
            <w14:solidFill>
              <w14:schemeClr w14:val="tx1"/>
            </w14:solidFill>
          </w14:textFill>
        </w:rPr>
        <w:t xml:space="preserve"> /  </w:t>
      </w:r>
      <w:r>
        <w:rPr>
          <w:rFonts w:hint="eastAsia" w:ascii="宋体" w:hAnsi="宋体" w:cs="宋体"/>
          <w:color w:val="000000" w:themeColor="text1"/>
          <w:szCs w:val="24"/>
          <w14:textFill>
            <w14:solidFill>
              <w14:schemeClr w14:val="tx1"/>
            </w14:solidFill>
          </w14:textFill>
        </w:rPr>
        <w:t>月</w:t>
      </w:r>
      <w:r>
        <w:rPr>
          <w:rFonts w:hint="eastAsia" w:ascii="宋体" w:hAnsi="宋体" w:cs="宋体"/>
          <w:color w:val="000000" w:themeColor="text1"/>
          <w:szCs w:val="24"/>
          <w:u w:val="single"/>
          <w14:textFill>
            <w14:solidFill>
              <w14:schemeClr w14:val="tx1"/>
            </w14:solidFill>
          </w14:textFill>
        </w:rPr>
        <w:t xml:space="preserve"> /  </w:t>
      </w:r>
      <w:r>
        <w:rPr>
          <w:rFonts w:hint="eastAsia" w:ascii="宋体" w:hAnsi="宋体" w:cs="宋体"/>
          <w:color w:val="000000" w:themeColor="text1"/>
          <w:szCs w:val="24"/>
          <w14:textFill>
            <w14:solidFill>
              <w14:schemeClr w14:val="tx1"/>
            </w14:solidFill>
          </w14:textFill>
        </w:rPr>
        <w:t>日始，至</w:t>
      </w:r>
      <w:r>
        <w:rPr>
          <w:rFonts w:hint="eastAsia" w:ascii="宋体" w:hAnsi="宋体" w:cs="宋体"/>
          <w:color w:val="000000" w:themeColor="text1"/>
          <w:szCs w:val="24"/>
          <w:u w:val="single"/>
          <w14:textFill>
            <w14:solidFill>
              <w14:schemeClr w14:val="tx1"/>
            </w14:solidFill>
          </w14:textFill>
        </w:rPr>
        <w:t xml:space="preserve">   /   </w:t>
      </w:r>
      <w:r>
        <w:rPr>
          <w:rFonts w:hint="eastAsia" w:ascii="宋体" w:hAnsi="宋体" w:cs="宋体"/>
          <w:color w:val="000000" w:themeColor="text1"/>
          <w:szCs w:val="24"/>
          <w14:textFill>
            <w14:solidFill>
              <w14:schemeClr w14:val="tx1"/>
            </w14:solidFill>
          </w14:textFill>
        </w:rPr>
        <w:t>年</w:t>
      </w:r>
      <w:r>
        <w:rPr>
          <w:rFonts w:hint="eastAsia" w:ascii="宋体" w:hAnsi="宋体" w:cs="宋体"/>
          <w:color w:val="000000" w:themeColor="text1"/>
          <w:szCs w:val="24"/>
          <w:u w:val="single"/>
          <w14:textFill>
            <w14:solidFill>
              <w14:schemeClr w14:val="tx1"/>
            </w14:solidFill>
          </w14:textFill>
        </w:rPr>
        <w:t xml:space="preserve">  / </w:t>
      </w:r>
      <w:r>
        <w:rPr>
          <w:rFonts w:hint="eastAsia" w:ascii="宋体" w:hAnsi="宋体" w:cs="宋体"/>
          <w:color w:val="000000" w:themeColor="text1"/>
          <w:szCs w:val="24"/>
          <w14:textFill>
            <w14:solidFill>
              <w14:schemeClr w14:val="tx1"/>
            </w14:solidFill>
          </w14:textFill>
        </w:rPr>
        <w:t>月</w:t>
      </w:r>
      <w:r>
        <w:rPr>
          <w:rFonts w:hint="eastAsia" w:ascii="宋体" w:hAnsi="宋体" w:cs="宋体"/>
          <w:color w:val="000000" w:themeColor="text1"/>
          <w:szCs w:val="24"/>
          <w:u w:val="single"/>
          <w14:textFill>
            <w14:solidFill>
              <w14:schemeClr w14:val="tx1"/>
            </w14:solidFill>
          </w14:textFill>
        </w:rPr>
        <w:t xml:space="preserve">  / </w:t>
      </w:r>
      <w:r>
        <w:rPr>
          <w:rFonts w:hint="eastAsia" w:ascii="宋体" w:hAnsi="宋体" w:cs="宋体"/>
          <w:color w:val="000000" w:themeColor="text1"/>
          <w:szCs w:val="24"/>
          <w14:textFill>
            <w14:solidFill>
              <w14:schemeClr w14:val="tx1"/>
            </w14:solidFill>
          </w14:textFill>
        </w:rPr>
        <w:t>日止。</w:t>
      </w:r>
    </w:p>
    <w:p>
      <w:pPr>
        <w:keepNext w:val="0"/>
        <w:keepLines w:val="0"/>
        <w:widowControl w:val="0"/>
        <w:kinsoku/>
        <w:wordWrap/>
        <w:overflowPunct/>
        <w:topLinePunct w:val="0"/>
        <w:autoSpaceDE/>
        <w:autoSpaceDN/>
        <w:bidi w:val="0"/>
        <w:adjustRightInd/>
        <w:snapToGrid w:val="0"/>
        <w:spacing w:line="360" w:lineRule="auto"/>
        <w:ind w:firstLine="525" w:firstLineChars="250"/>
        <w:textAlignment w:val="auto"/>
        <w:outlineLvl w:val="9"/>
        <w:rPr>
          <w:rFonts w:ascii="宋体" w:hAnsi="宋体" w:cs="宋体"/>
          <w:b/>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（4）其他相关服务期限自工程备案合格日止。</w:t>
      </w:r>
    </w:p>
    <w:p>
      <w:pPr>
        <w:keepNext w:val="0"/>
        <w:keepLines w:val="0"/>
        <w:widowControl w:val="0"/>
        <w:kinsoku/>
        <w:wordWrap/>
        <w:overflowPunct/>
        <w:topLinePunct w:val="0"/>
        <w:autoSpaceDE/>
        <w:autoSpaceDN/>
        <w:bidi w:val="0"/>
        <w:adjustRightInd/>
        <w:spacing w:line="360" w:lineRule="auto"/>
        <w:ind w:firstLine="417" w:firstLineChars="198"/>
        <w:textAlignment w:val="auto"/>
        <w:outlineLvl w:val="9"/>
        <w:rPr>
          <w:rFonts w:ascii="宋体" w:hAnsi="宋体" w:cs="宋体"/>
          <w:b/>
          <w:color w:val="000000" w:themeColor="text1"/>
          <w:szCs w:val="24"/>
          <w14:textFill>
            <w14:solidFill>
              <w14:schemeClr w14:val="tx1"/>
            </w14:solidFill>
          </w14:textFill>
        </w:rPr>
      </w:pPr>
      <w:bookmarkStart w:id="706" w:name="_Toc12774"/>
      <w:bookmarkStart w:id="707" w:name="_Toc29210"/>
      <w:bookmarkStart w:id="708" w:name="_Toc20136"/>
      <w:bookmarkStart w:id="709" w:name="_Toc6598"/>
      <w:r>
        <w:rPr>
          <w:rFonts w:hint="eastAsia" w:ascii="宋体" w:hAnsi="宋体" w:cs="宋体"/>
          <w:b/>
          <w:color w:val="000000" w:themeColor="text1"/>
          <w:szCs w:val="24"/>
          <w14:textFill>
            <w14:solidFill>
              <w14:schemeClr w14:val="tx1"/>
            </w14:solidFill>
          </w14:textFill>
        </w:rPr>
        <w:t>七、双方承诺</w:t>
      </w:r>
      <w:bookmarkEnd w:id="706"/>
      <w:bookmarkEnd w:id="707"/>
      <w:bookmarkEnd w:id="708"/>
      <w:bookmarkEnd w:id="709"/>
    </w:p>
    <w:p>
      <w:pPr>
        <w:keepNext w:val="0"/>
        <w:keepLines w:val="0"/>
        <w:widowControl w:val="0"/>
        <w:kinsoku/>
        <w:wordWrap/>
        <w:overflowPunct/>
        <w:topLinePunct w:val="0"/>
        <w:autoSpaceDE/>
        <w:autoSpaceDN/>
        <w:bidi w:val="0"/>
        <w:adjustRightInd/>
        <w:spacing w:line="360" w:lineRule="auto"/>
        <w:ind w:firstLine="415" w:firstLineChars="198"/>
        <w:textAlignment w:val="auto"/>
        <w:outlineLvl w:val="9"/>
        <w:rPr>
          <w:rFonts w:ascii="宋体" w:hAnsi="宋体" w:cs="宋体"/>
          <w:b/>
          <w:color w:val="000000" w:themeColor="text1"/>
          <w:szCs w:val="24"/>
          <w14:textFill>
            <w14:solidFill>
              <w14:schemeClr w14:val="tx1"/>
            </w14:solidFill>
          </w14:textFill>
        </w:rPr>
      </w:pPr>
      <w:bookmarkStart w:id="710" w:name="_Toc2059"/>
      <w:bookmarkStart w:id="711" w:name="_Toc10427"/>
      <w:bookmarkStart w:id="712" w:name="_Toc22769"/>
      <w:bookmarkStart w:id="713" w:name="_Toc17074"/>
      <w:r>
        <w:rPr>
          <w:rFonts w:hint="eastAsia" w:ascii="宋体" w:hAnsi="宋体" w:cs="宋体"/>
          <w:color w:val="000000" w:themeColor="text1"/>
          <w:szCs w:val="24"/>
          <w14:textFill>
            <w14:solidFill>
              <w14:schemeClr w14:val="tx1"/>
            </w14:solidFill>
          </w14:textFill>
        </w:rPr>
        <w:t>1. 监理人向委托人承诺，按照本合同约定提供监理与相关服务。</w:t>
      </w:r>
      <w:bookmarkEnd w:id="710"/>
      <w:bookmarkEnd w:id="711"/>
      <w:bookmarkEnd w:id="712"/>
      <w:bookmarkEnd w:id="713"/>
    </w:p>
    <w:p>
      <w:pPr>
        <w:keepNext w:val="0"/>
        <w:keepLines w:val="0"/>
        <w:widowControl w:val="0"/>
        <w:kinsoku/>
        <w:wordWrap/>
        <w:overflowPunct/>
        <w:topLinePunct w:val="0"/>
        <w:autoSpaceDE/>
        <w:autoSpaceDN/>
        <w:bidi w:val="0"/>
        <w:adjustRightInd/>
        <w:spacing w:line="360" w:lineRule="auto"/>
        <w:ind w:firstLine="415" w:firstLineChars="198"/>
        <w:textAlignment w:val="auto"/>
        <w:outlineLvl w:val="9"/>
        <w:rPr>
          <w:rFonts w:ascii="宋体" w:hAnsi="宋体" w:cs="宋体"/>
          <w:b/>
          <w:color w:val="000000" w:themeColor="text1"/>
          <w:szCs w:val="24"/>
          <w14:textFill>
            <w14:solidFill>
              <w14:schemeClr w14:val="tx1"/>
            </w14:solidFill>
          </w14:textFill>
        </w:rPr>
      </w:pPr>
      <w:bookmarkStart w:id="714" w:name="_Toc1528"/>
      <w:bookmarkStart w:id="715" w:name="_Toc16524"/>
      <w:bookmarkStart w:id="716" w:name="_Toc19258"/>
      <w:bookmarkStart w:id="717" w:name="_Toc18330"/>
      <w:r>
        <w:rPr>
          <w:rFonts w:hint="eastAsia" w:ascii="宋体" w:hAnsi="宋体" w:cs="宋体"/>
          <w:color w:val="000000" w:themeColor="text1"/>
          <w:szCs w:val="24"/>
          <w14:textFill>
            <w14:solidFill>
              <w14:schemeClr w14:val="tx1"/>
            </w14:solidFill>
          </w14:textFill>
        </w:rPr>
        <w:t>2. 委托人向监理人承诺，按照本合同约定派遣相应的人员，提供房屋、资料、设备，并按本合同约定支付酬金。</w:t>
      </w:r>
      <w:bookmarkEnd w:id="714"/>
      <w:bookmarkEnd w:id="715"/>
      <w:bookmarkEnd w:id="716"/>
      <w:bookmarkEnd w:id="717"/>
    </w:p>
    <w:p>
      <w:pPr>
        <w:keepNext w:val="0"/>
        <w:keepLines w:val="0"/>
        <w:widowControl w:val="0"/>
        <w:kinsoku/>
        <w:wordWrap/>
        <w:overflowPunct/>
        <w:topLinePunct w:val="0"/>
        <w:autoSpaceDE/>
        <w:autoSpaceDN/>
        <w:bidi w:val="0"/>
        <w:adjustRightInd/>
        <w:spacing w:line="360" w:lineRule="auto"/>
        <w:ind w:firstLine="417" w:firstLineChars="198"/>
        <w:textAlignment w:val="auto"/>
        <w:outlineLvl w:val="9"/>
        <w:rPr>
          <w:rFonts w:ascii="宋体" w:hAnsi="宋体" w:cs="宋体"/>
          <w:b/>
          <w:color w:val="000000" w:themeColor="text1"/>
          <w:szCs w:val="24"/>
          <w14:textFill>
            <w14:solidFill>
              <w14:schemeClr w14:val="tx1"/>
            </w14:solidFill>
          </w14:textFill>
        </w:rPr>
      </w:pPr>
      <w:bookmarkStart w:id="718" w:name="_Toc4294"/>
      <w:bookmarkStart w:id="719" w:name="_Toc18028"/>
      <w:bookmarkStart w:id="720" w:name="_Toc21875"/>
      <w:bookmarkStart w:id="721" w:name="_Toc10694"/>
      <w:r>
        <w:rPr>
          <w:rFonts w:hint="eastAsia" w:ascii="宋体" w:hAnsi="宋体" w:cs="宋体"/>
          <w:b/>
          <w:color w:val="000000" w:themeColor="text1"/>
          <w:szCs w:val="24"/>
          <w14:textFill>
            <w14:solidFill>
              <w14:schemeClr w14:val="tx1"/>
            </w14:solidFill>
          </w14:textFill>
        </w:rPr>
        <w:t>八、合同订立</w:t>
      </w:r>
      <w:bookmarkEnd w:id="718"/>
      <w:bookmarkEnd w:id="719"/>
      <w:bookmarkEnd w:id="720"/>
      <w:bookmarkEnd w:id="721"/>
    </w:p>
    <w:p>
      <w:pPr>
        <w:keepNext w:val="0"/>
        <w:keepLines w:val="0"/>
        <w:widowControl w:val="0"/>
        <w:kinsoku/>
        <w:wordWrap/>
        <w:overflowPunct/>
        <w:topLinePunct w:val="0"/>
        <w:autoSpaceDE/>
        <w:autoSpaceDN/>
        <w:bidi w:val="0"/>
        <w:adjustRightInd/>
        <w:snapToGrid w:val="0"/>
        <w:ind w:firstLine="415" w:firstLineChars="198"/>
        <w:textAlignment w:val="auto"/>
        <w:outlineLvl w:val="9"/>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1. 订立时间：</w:t>
      </w:r>
      <w:r>
        <w:rPr>
          <w:rFonts w:hint="eastAsia" w:ascii="宋体" w:hAnsi="宋体" w:cs="宋体"/>
          <w:color w:val="000000" w:themeColor="text1"/>
          <w:szCs w:val="24"/>
          <w:u w:val="single"/>
          <w14:textFill>
            <w14:solidFill>
              <w14:schemeClr w14:val="tx1"/>
            </w14:solidFill>
          </w14:textFill>
        </w:rPr>
        <w:t xml:space="preserve"> </w:t>
      </w:r>
      <w:r>
        <w:rPr>
          <w:rFonts w:hint="eastAsia" w:ascii="宋体" w:hAnsi="宋体" w:cs="宋体"/>
          <w:b/>
          <w:color w:val="000000" w:themeColor="text1"/>
          <w:szCs w:val="24"/>
          <w:u w:val="single"/>
          <w14:textFill>
            <w14:solidFill>
              <w14:schemeClr w14:val="tx1"/>
            </w14:solidFill>
          </w14:textFill>
        </w:rPr>
        <w:t xml:space="preserve"> </w:t>
      </w:r>
      <w:r>
        <w:rPr>
          <w:rFonts w:hint="eastAsia" w:ascii="宋体" w:hAnsi="宋体" w:cs="宋体"/>
          <w:color w:val="000000" w:themeColor="text1"/>
          <w:szCs w:val="24"/>
          <w:u w:val="single"/>
          <w14:textFill>
            <w14:solidFill>
              <w14:schemeClr w14:val="tx1"/>
            </w14:solidFill>
          </w14:textFill>
        </w:rPr>
        <w:t xml:space="preserve">  </w:t>
      </w:r>
      <w:r>
        <w:rPr>
          <w:rFonts w:hint="eastAsia" w:ascii="宋体" w:hAnsi="宋体" w:cs="宋体"/>
          <w:color w:val="000000" w:themeColor="text1"/>
          <w:szCs w:val="24"/>
          <w14:textFill>
            <w14:solidFill>
              <w14:schemeClr w14:val="tx1"/>
            </w14:solidFill>
          </w14:textFill>
        </w:rPr>
        <w:t>年</w:t>
      </w:r>
      <w:r>
        <w:rPr>
          <w:rFonts w:hint="eastAsia" w:ascii="宋体" w:hAnsi="宋体" w:cs="宋体"/>
          <w:color w:val="000000" w:themeColor="text1"/>
          <w:szCs w:val="24"/>
          <w:u w:val="single"/>
          <w14:textFill>
            <w14:solidFill>
              <w14:schemeClr w14:val="tx1"/>
            </w14:solidFill>
          </w14:textFill>
        </w:rPr>
        <w:t xml:space="preserve">    </w:t>
      </w:r>
      <w:r>
        <w:rPr>
          <w:rFonts w:hint="eastAsia" w:ascii="宋体" w:hAnsi="宋体" w:cs="宋体"/>
          <w:color w:val="000000" w:themeColor="text1"/>
          <w:szCs w:val="24"/>
          <w14:textFill>
            <w14:solidFill>
              <w14:schemeClr w14:val="tx1"/>
            </w14:solidFill>
          </w14:textFill>
        </w:rPr>
        <w:t>月</w:t>
      </w:r>
      <w:r>
        <w:rPr>
          <w:rFonts w:hint="eastAsia" w:ascii="宋体" w:hAnsi="宋体" w:cs="宋体"/>
          <w:color w:val="000000" w:themeColor="text1"/>
          <w:szCs w:val="24"/>
          <w:u w:val="single"/>
          <w14:textFill>
            <w14:solidFill>
              <w14:schemeClr w14:val="tx1"/>
            </w14:solidFill>
          </w14:textFill>
        </w:rPr>
        <w:t xml:space="preserve">   </w:t>
      </w:r>
      <w:r>
        <w:rPr>
          <w:rFonts w:hint="eastAsia" w:ascii="宋体" w:hAnsi="宋体" w:cs="宋体"/>
          <w:color w:val="000000" w:themeColor="text1"/>
          <w:szCs w:val="24"/>
          <w14:textFill>
            <w14:solidFill>
              <w14:schemeClr w14:val="tx1"/>
            </w14:solidFill>
          </w14:textFill>
        </w:rPr>
        <w:t>日。</w:t>
      </w:r>
    </w:p>
    <w:p>
      <w:pPr>
        <w:keepNext w:val="0"/>
        <w:keepLines w:val="0"/>
        <w:widowControl w:val="0"/>
        <w:kinsoku/>
        <w:wordWrap/>
        <w:overflowPunct/>
        <w:topLinePunct w:val="0"/>
        <w:autoSpaceDE/>
        <w:autoSpaceDN/>
        <w:bidi w:val="0"/>
        <w:adjustRightInd/>
        <w:snapToGrid w:val="0"/>
        <w:spacing w:line="360" w:lineRule="auto"/>
        <w:ind w:firstLine="415" w:firstLineChars="198"/>
        <w:textAlignment w:val="auto"/>
        <w:outlineLvl w:val="9"/>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2. 订立地点：</w:t>
      </w:r>
      <w:r>
        <w:rPr>
          <w:rFonts w:hint="eastAsia" w:ascii="宋体" w:hAnsi="宋体" w:cs="宋体"/>
          <w:b/>
          <w:color w:val="000000" w:themeColor="text1"/>
          <w:szCs w:val="24"/>
          <w:u w:val="single"/>
          <w14:textFill>
            <w14:solidFill>
              <w14:schemeClr w14:val="tx1"/>
            </w14:solidFill>
          </w14:textFill>
        </w:rPr>
        <w:t xml:space="preserve">  </w:t>
      </w:r>
      <w:r>
        <w:rPr>
          <w:rFonts w:hint="eastAsia" w:ascii="宋体" w:hAnsi="宋体" w:cs="宋体"/>
          <w:color w:val="000000" w:themeColor="text1"/>
          <w:szCs w:val="24"/>
          <w:u w:val="single"/>
          <w14:textFill>
            <w14:solidFill>
              <w14:schemeClr w14:val="tx1"/>
            </w14:solidFill>
          </w14:textFill>
        </w:rPr>
        <w:t xml:space="preserve"> </w:t>
      </w:r>
      <w:r>
        <w:rPr>
          <w:rFonts w:hint="eastAsia" w:ascii="宋体" w:hAnsi="宋体" w:cs="宋体"/>
          <w:color w:val="000000" w:themeColor="text1"/>
          <w:szCs w:val="24"/>
          <w:u w:val="single"/>
          <w:lang w:val="en-US" w:eastAsia="zh-CN"/>
          <w14:textFill>
            <w14:solidFill>
              <w14:schemeClr w14:val="tx1"/>
            </w14:solidFill>
          </w14:textFill>
        </w:rPr>
        <w:t xml:space="preserve">            </w:t>
      </w:r>
      <w:r>
        <w:rPr>
          <w:rFonts w:hint="eastAsia" w:ascii="宋体" w:hAnsi="宋体" w:cs="宋体"/>
          <w:color w:val="000000" w:themeColor="text1"/>
          <w:szCs w:val="24"/>
          <w:u w:val="single"/>
          <w14:textFill>
            <w14:solidFill>
              <w14:schemeClr w14:val="tx1"/>
            </w14:solidFill>
          </w14:textFill>
        </w:rPr>
        <w:t xml:space="preserve"> </w:t>
      </w:r>
      <w:r>
        <w:rPr>
          <w:rFonts w:hint="eastAsia" w:ascii="宋体" w:hAnsi="宋体" w:cs="宋体"/>
          <w:b/>
          <w:color w:val="000000" w:themeColor="text1"/>
          <w:szCs w:val="24"/>
          <w:u w:val="single"/>
          <w14:textFill>
            <w14:solidFill>
              <w14:schemeClr w14:val="tx1"/>
            </w14:solidFill>
          </w14:textFill>
        </w:rPr>
        <w:t xml:space="preserve"> </w:t>
      </w:r>
      <w:r>
        <w:rPr>
          <w:rFonts w:hint="eastAsia" w:ascii="宋体" w:hAnsi="宋体" w:cs="宋体"/>
          <w:color w:val="000000" w:themeColor="text1"/>
          <w:szCs w:val="24"/>
          <w14:textFill>
            <w14:solidFill>
              <w14:schemeClr w14:val="tx1"/>
            </w14:solidFill>
          </w14:textFill>
        </w:rPr>
        <w:t>。</w:t>
      </w:r>
    </w:p>
    <w:p>
      <w:pPr>
        <w:keepNext w:val="0"/>
        <w:keepLines w:val="0"/>
        <w:widowControl w:val="0"/>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3. 本合同一式</w:t>
      </w:r>
      <w:r>
        <w:rPr>
          <w:rFonts w:hint="eastAsia" w:ascii="宋体" w:hAnsi="宋体" w:cs="宋体"/>
          <w:color w:val="000000" w:themeColor="text1"/>
          <w:szCs w:val="24"/>
          <w:u w:val="single"/>
          <w14:textFill>
            <w14:solidFill>
              <w14:schemeClr w14:val="tx1"/>
            </w14:solidFill>
          </w14:textFill>
        </w:rPr>
        <w:t xml:space="preserve"> 捌 </w:t>
      </w:r>
      <w:r>
        <w:rPr>
          <w:rFonts w:hint="eastAsia" w:ascii="宋体" w:hAnsi="宋体" w:cs="宋体"/>
          <w:color w:val="000000" w:themeColor="text1"/>
          <w:szCs w:val="24"/>
          <w14:textFill>
            <w14:solidFill>
              <w14:schemeClr w14:val="tx1"/>
            </w14:solidFill>
          </w14:textFill>
        </w:rPr>
        <w:t>份，具有同等法律效力，委托人执</w:t>
      </w:r>
      <w:r>
        <w:rPr>
          <w:rFonts w:hint="eastAsia" w:ascii="宋体" w:hAnsi="宋体" w:cs="宋体"/>
          <w:color w:val="000000" w:themeColor="text1"/>
          <w:szCs w:val="24"/>
          <w:u w:val="single"/>
          <w14:textFill>
            <w14:solidFill>
              <w14:schemeClr w14:val="tx1"/>
            </w14:solidFill>
          </w14:textFill>
        </w:rPr>
        <w:t xml:space="preserve"> 肆 </w:t>
      </w:r>
      <w:r>
        <w:rPr>
          <w:rFonts w:hint="eastAsia" w:ascii="宋体" w:hAnsi="宋体" w:cs="宋体"/>
          <w:color w:val="000000" w:themeColor="text1"/>
          <w:szCs w:val="24"/>
          <w14:textFill>
            <w14:solidFill>
              <w14:schemeClr w14:val="tx1"/>
            </w14:solidFill>
          </w14:textFill>
        </w:rPr>
        <w:t>份，监理人执</w:t>
      </w:r>
      <w:r>
        <w:rPr>
          <w:rFonts w:hint="eastAsia" w:ascii="宋体" w:hAnsi="宋体" w:cs="宋体"/>
          <w:color w:val="000000" w:themeColor="text1"/>
          <w:szCs w:val="24"/>
          <w:u w:val="single"/>
          <w14:textFill>
            <w14:solidFill>
              <w14:schemeClr w14:val="tx1"/>
            </w14:solidFill>
          </w14:textFill>
        </w:rPr>
        <w:t xml:space="preserve"> </w:t>
      </w:r>
      <w:r>
        <w:rPr>
          <w:rFonts w:hint="eastAsia" w:ascii="宋体" w:hAnsi="宋体" w:cs="宋体"/>
          <w:b/>
          <w:color w:val="000000" w:themeColor="text1"/>
          <w:szCs w:val="24"/>
          <w:u w:val="single"/>
          <w14:textFill>
            <w14:solidFill>
              <w14:schemeClr w14:val="tx1"/>
            </w14:solidFill>
          </w14:textFill>
        </w:rPr>
        <w:t xml:space="preserve"> </w:t>
      </w:r>
      <w:r>
        <w:rPr>
          <w:rFonts w:hint="eastAsia" w:ascii="宋体" w:hAnsi="宋体" w:cs="宋体"/>
          <w:color w:val="000000" w:themeColor="text1"/>
          <w:szCs w:val="24"/>
          <w:u w:val="single"/>
          <w14:textFill>
            <w14:solidFill>
              <w14:schemeClr w14:val="tx1"/>
            </w14:solidFill>
          </w14:textFill>
        </w:rPr>
        <w:t xml:space="preserve">肆 </w:t>
      </w:r>
      <w:r>
        <w:rPr>
          <w:rFonts w:hint="eastAsia" w:ascii="宋体" w:hAnsi="宋体" w:cs="宋体"/>
          <w:color w:val="000000" w:themeColor="text1"/>
          <w:szCs w:val="24"/>
          <w14:textFill>
            <w14:solidFill>
              <w14:schemeClr w14:val="tx1"/>
            </w14:solidFill>
          </w14:textFill>
        </w:rPr>
        <w:t>份。</w:t>
      </w:r>
    </w:p>
    <w:p>
      <w:pPr>
        <w:keepNext w:val="0"/>
        <w:keepLines w:val="0"/>
        <w:widowControl w:val="0"/>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color w:val="000000" w:themeColor="text1"/>
          <w:szCs w:val="24"/>
          <w14:textFill>
            <w14:solidFill>
              <w14:schemeClr w14:val="tx1"/>
            </w14:solidFill>
          </w14:textFill>
        </w:rPr>
      </w:pPr>
    </w:p>
    <w:p>
      <w:pPr>
        <w:keepNext w:val="0"/>
        <w:keepLines w:val="0"/>
        <w:widowControl w:val="0"/>
        <w:kinsoku/>
        <w:wordWrap/>
        <w:overflowPunct/>
        <w:topLinePunct w:val="0"/>
        <w:autoSpaceDE/>
        <w:autoSpaceDN/>
        <w:bidi w:val="0"/>
        <w:adjustRightInd/>
        <w:snapToGrid w:val="0"/>
        <w:spacing w:line="360" w:lineRule="auto"/>
        <w:ind w:firstLine="415" w:firstLineChars="198"/>
        <w:textAlignment w:val="auto"/>
        <w:outlineLvl w:val="9"/>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委托人：</w:t>
      </w:r>
      <w:r>
        <w:rPr>
          <w:rFonts w:hint="eastAsia" w:ascii="宋体" w:hAnsi="宋体" w:cs="宋体"/>
          <w:color w:val="000000" w:themeColor="text1"/>
          <w:szCs w:val="24"/>
          <w:u w:val="single"/>
          <w14:textFill>
            <w14:solidFill>
              <w14:schemeClr w14:val="tx1"/>
            </w14:solidFill>
          </w14:textFill>
        </w:rPr>
        <w:t xml:space="preserve">   （盖章）                 </w:t>
      </w:r>
      <w:r>
        <w:rPr>
          <w:rFonts w:hint="eastAsia" w:ascii="宋体" w:hAnsi="宋体" w:cs="宋体"/>
          <w:color w:val="000000" w:themeColor="text1"/>
          <w:szCs w:val="24"/>
          <w14:textFill>
            <w14:solidFill>
              <w14:schemeClr w14:val="tx1"/>
            </w14:solidFill>
          </w14:textFill>
        </w:rPr>
        <w:t xml:space="preserve">   监理人：</w:t>
      </w:r>
      <w:r>
        <w:rPr>
          <w:rFonts w:hint="eastAsia" w:ascii="宋体" w:hAnsi="宋体" w:cs="宋体"/>
          <w:color w:val="000000" w:themeColor="text1"/>
          <w:szCs w:val="24"/>
          <w:u w:val="single"/>
          <w14:textFill>
            <w14:solidFill>
              <w14:schemeClr w14:val="tx1"/>
            </w14:solidFill>
          </w14:textFill>
        </w:rPr>
        <w:t xml:space="preserve">   （  盖章）              </w:t>
      </w:r>
    </w:p>
    <w:p>
      <w:pPr>
        <w:keepNext w:val="0"/>
        <w:keepLines w:val="0"/>
        <w:widowControl w:val="0"/>
        <w:kinsoku/>
        <w:wordWrap/>
        <w:overflowPunct/>
        <w:topLinePunct w:val="0"/>
        <w:autoSpaceDE/>
        <w:autoSpaceDN/>
        <w:bidi w:val="0"/>
        <w:adjustRightInd/>
        <w:snapToGrid w:val="0"/>
        <w:spacing w:line="360" w:lineRule="auto"/>
        <w:ind w:firstLine="415" w:firstLineChars="198"/>
        <w:textAlignment w:val="auto"/>
        <w:outlineLvl w:val="9"/>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住所：</w:t>
      </w:r>
      <w:r>
        <w:rPr>
          <w:rFonts w:hint="eastAsia" w:ascii="宋体" w:hAnsi="宋体" w:cs="宋体"/>
          <w:color w:val="000000" w:themeColor="text1"/>
          <w:szCs w:val="24"/>
          <w:u w:val="single"/>
          <w14:textFill>
            <w14:solidFill>
              <w14:schemeClr w14:val="tx1"/>
            </w14:solidFill>
          </w14:textFill>
        </w:rPr>
        <w:t xml:space="preserve"> </w:t>
      </w:r>
      <w:r>
        <w:rPr>
          <w:rFonts w:hint="eastAsia" w:ascii="宋体" w:hAnsi="宋体" w:cs="宋体"/>
          <w:color w:val="000000" w:themeColor="text1"/>
          <w:sz w:val="24"/>
          <w:szCs w:val="24"/>
          <w:u w:val="single"/>
          <w14:textFill>
            <w14:solidFill>
              <w14:schemeClr w14:val="tx1"/>
            </w14:solidFill>
          </w14:textFill>
        </w:rPr>
        <w:t xml:space="preserve">                 </w:t>
      </w:r>
      <w:r>
        <w:rPr>
          <w:rFonts w:hint="eastAsia" w:ascii="宋体" w:hAnsi="宋体" w:cs="宋体"/>
          <w:color w:val="000000" w:themeColor="text1"/>
          <w:szCs w:val="24"/>
          <w:u w:val="single"/>
          <w14:textFill>
            <w14:solidFill>
              <w14:schemeClr w14:val="tx1"/>
            </w14:solidFill>
          </w14:textFill>
        </w:rPr>
        <w:t xml:space="preserve">          </w:t>
      </w:r>
      <w:r>
        <w:rPr>
          <w:rFonts w:hint="eastAsia" w:ascii="宋体" w:hAnsi="宋体" w:cs="宋体"/>
          <w:color w:val="000000" w:themeColor="text1"/>
          <w:szCs w:val="24"/>
          <w14:textFill>
            <w14:solidFill>
              <w14:schemeClr w14:val="tx1"/>
            </w14:solidFill>
          </w14:textFill>
        </w:rPr>
        <w:t xml:space="preserve">   住所： </w:t>
      </w:r>
      <w:r>
        <w:rPr>
          <w:rFonts w:hint="eastAsia" w:ascii="宋体" w:hAnsi="宋体" w:cs="宋体"/>
          <w:color w:val="000000" w:themeColor="text1"/>
          <w:szCs w:val="24"/>
          <w:u w:val="single"/>
          <w14:textFill>
            <w14:solidFill>
              <w14:schemeClr w14:val="tx1"/>
            </w14:solidFill>
          </w14:textFill>
        </w:rPr>
        <w:t xml:space="preserve">                            </w:t>
      </w:r>
    </w:p>
    <w:p>
      <w:pPr>
        <w:keepNext w:val="0"/>
        <w:keepLines w:val="0"/>
        <w:widowControl w:val="0"/>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邮政编码：</w:t>
      </w:r>
      <w:r>
        <w:rPr>
          <w:rFonts w:hint="eastAsia" w:ascii="宋体" w:hAnsi="宋体" w:cs="宋体"/>
          <w:color w:val="000000" w:themeColor="text1"/>
          <w:szCs w:val="24"/>
          <w:u w:val="single"/>
          <w14:textFill>
            <w14:solidFill>
              <w14:schemeClr w14:val="tx1"/>
            </w14:solidFill>
          </w14:textFill>
        </w:rPr>
        <w:t xml:space="preserve">                          </w:t>
      </w:r>
      <w:r>
        <w:rPr>
          <w:rFonts w:hint="eastAsia" w:ascii="宋体" w:hAnsi="宋体" w:cs="宋体"/>
          <w:color w:val="000000" w:themeColor="text1"/>
          <w:szCs w:val="24"/>
          <w14:textFill>
            <w14:solidFill>
              <w14:schemeClr w14:val="tx1"/>
            </w14:solidFill>
          </w14:textFill>
        </w:rPr>
        <w:t xml:space="preserve">   邮政编码：</w:t>
      </w:r>
      <w:r>
        <w:rPr>
          <w:rFonts w:hint="eastAsia" w:ascii="宋体" w:hAnsi="宋体" w:cs="宋体"/>
          <w:color w:val="000000" w:themeColor="text1"/>
          <w:szCs w:val="24"/>
          <w:u w:val="single"/>
          <w14:textFill>
            <w14:solidFill>
              <w14:schemeClr w14:val="tx1"/>
            </w14:solidFill>
          </w14:textFill>
        </w:rPr>
        <w:t xml:space="preserve">                         </w:t>
      </w:r>
    </w:p>
    <w:p>
      <w:pPr>
        <w:keepNext w:val="0"/>
        <w:keepLines w:val="0"/>
        <w:widowControl w:val="0"/>
        <w:kinsoku/>
        <w:wordWrap/>
        <w:overflowPunct/>
        <w:topLinePunct w:val="0"/>
        <w:autoSpaceDE/>
        <w:autoSpaceDN/>
        <w:bidi w:val="0"/>
        <w:adjustRightInd/>
        <w:snapToGrid w:val="0"/>
        <w:spacing w:line="360" w:lineRule="auto"/>
        <w:ind w:firstLine="415" w:firstLineChars="198"/>
        <w:textAlignment w:val="auto"/>
        <w:outlineLvl w:val="9"/>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法定代表人：</w:t>
      </w:r>
      <w:r>
        <w:rPr>
          <w:rFonts w:hint="eastAsia" w:ascii="宋体" w:hAnsi="宋体" w:cs="宋体"/>
          <w:color w:val="000000" w:themeColor="text1"/>
          <w:szCs w:val="24"/>
          <w:u w:val="single"/>
          <w14:textFill>
            <w14:solidFill>
              <w14:schemeClr w14:val="tx1"/>
            </w14:solidFill>
          </w14:textFill>
        </w:rPr>
        <w:t xml:space="preserve">                        </w:t>
      </w:r>
      <w:r>
        <w:rPr>
          <w:rFonts w:hint="eastAsia" w:ascii="宋体" w:hAnsi="宋体" w:cs="宋体"/>
          <w:color w:val="000000" w:themeColor="text1"/>
          <w:szCs w:val="24"/>
          <w14:textFill>
            <w14:solidFill>
              <w14:schemeClr w14:val="tx1"/>
            </w14:solidFill>
          </w14:textFill>
        </w:rPr>
        <w:t xml:space="preserve">   法定代表人：</w:t>
      </w:r>
      <w:r>
        <w:rPr>
          <w:rFonts w:hint="eastAsia" w:ascii="宋体" w:hAnsi="宋体" w:cs="宋体"/>
          <w:color w:val="000000" w:themeColor="text1"/>
          <w:szCs w:val="24"/>
          <w:u w:val="single"/>
          <w14:textFill>
            <w14:solidFill>
              <w14:schemeClr w14:val="tx1"/>
            </w14:solidFill>
          </w14:textFill>
        </w:rPr>
        <w:t xml:space="preserve">                       </w:t>
      </w:r>
    </w:p>
    <w:p>
      <w:pPr>
        <w:keepNext w:val="0"/>
        <w:keepLines w:val="0"/>
        <w:widowControl w:val="0"/>
        <w:kinsoku/>
        <w:wordWrap/>
        <w:overflowPunct/>
        <w:topLinePunct w:val="0"/>
        <w:autoSpaceDE/>
        <w:autoSpaceDN/>
        <w:bidi w:val="0"/>
        <w:adjustRightInd/>
        <w:snapToGrid w:val="0"/>
        <w:spacing w:line="360" w:lineRule="auto"/>
        <w:ind w:firstLine="415" w:firstLineChars="198"/>
        <w:textAlignment w:val="auto"/>
        <w:outlineLvl w:val="9"/>
        <w:rPr>
          <w:rFonts w:ascii="宋体" w:hAnsi="宋体" w:cs="宋体"/>
          <w:color w:val="000000" w:themeColor="text1"/>
          <w:szCs w:val="24"/>
          <w:u w:val="single"/>
          <w14:textFill>
            <w14:solidFill>
              <w14:schemeClr w14:val="tx1"/>
            </w14:solidFill>
          </w14:textFill>
        </w:rPr>
      </w:pPr>
      <w:r>
        <w:rPr>
          <w:rFonts w:hint="eastAsia" w:ascii="宋体" w:hAnsi="宋体" w:cs="宋体"/>
          <w:color w:val="000000" w:themeColor="text1"/>
          <w:szCs w:val="24"/>
          <w14:textFill>
            <w14:solidFill>
              <w14:schemeClr w14:val="tx1"/>
            </w14:solidFill>
          </w14:textFill>
        </w:rPr>
        <w:t>委托代理人：</w:t>
      </w:r>
      <w:r>
        <w:rPr>
          <w:rFonts w:hint="eastAsia" w:ascii="宋体" w:hAnsi="宋体" w:cs="宋体"/>
          <w:color w:val="000000" w:themeColor="text1"/>
          <w:szCs w:val="24"/>
          <w:u w:val="single"/>
          <w14:textFill>
            <w14:solidFill>
              <w14:schemeClr w14:val="tx1"/>
            </w14:solidFill>
          </w14:textFill>
        </w:rPr>
        <w:t xml:space="preserve">（签字）                 </w:t>
      </w:r>
      <w:r>
        <w:rPr>
          <w:rFonts w:hint="eastAsia" w:ascii="宋体" w:hAnsi="宋体" w:cs="宋体"/>
          <w:color w:val="000000" w:themeColor="text1"/>
          <w:szCs w:val="24"/>
          <w14:textFill>
            <w14:solidFill>
              <w14:schemeClr w14:val="tx1"/>
            </w14:solidFill>
          </w14:textFill>
        </w:rPr>
        <w:t xml:space="preserve">  委托代理人：</w:t>
      </w:r>
      <w:r>
        <w:rPr>
          <w:rFonts w:hint="eastAsia" w:ascii="宋体" w:hAnsi="宋体" w:cs="宋体"/>
          <w:color w:val="000000" w:themeColor="text1"/>
          <w:szCs w:val="24"/>
          <w:u w:val="single"/>
          <w14:textFill>
            <w14:solidFill>
              <w14:schemeClr w14:val="tx1"/>
            </w14:solidFill>
          </w14:textFill>
        </w:rPr>
        <w:t xml:space="preserve">（签字）                </w:t>
      </w:r>
    </w:p>
    <w:p>
      <w:pPr>
        <w:keepNext w:val="0"/>
        <w:keepLines w:val="0"/>
        <w:widowControl w:val="0"/>
        <w:kinsoku/>
        <w:wordWrap/>
        <w:overflowPunct/>
        <w:topLinePunct w:val="0"/>
        <w:autoSpaceDE/>
        <w:autoSpaceDN/>
        <w:bidi w:val="0"/>
        <w:adjustRightInd/>
        <w:snapToGrid w:val="0"/>
        <w:spacing w:line="360" w:lineRule="auto"/>
        <w:ind w:firstLine="415" w:firstLineChars="198"/>
        <w:textAlignment w:val="auto"/>
        <w:outlineLvl w:val="9"/>
        <w:rPr>
          <w:rFonts w:ascii="宋体" w:hAnsi="宋体" w:cs="宋体"/>
          <w:color w:val="000000" w:themeColor="text1"/>
          <w:szCs w:val="24"/>
          <w:u w:val="single"/>
          <w14:textFill>
            <w14:solidFill>
              <w14:schemeClr w14:val="tx1"/>
            </w14:solidFill>
          </w14:textFill>
        </w:rPr>
      </w:pPr>
      <w:r>
        <w:rPr>
          <w:rFonts w:hint="eastAsia" w:ascii="宋体" w:hAnsi="宋体" w:cs="宋体"/>
          <w:color w:val="000000" w:themeColor="text1"/>
          <w:szCs w:val="24"/>
          <w14:textFill>
            <w14:solidFill>
              <w14:schemeClr w14:val="tx1"/>
            </w14:solidFill>
          </w14:textFill>
        </w:rPr>
        <w:t>统一社会信用代码：</w:t>
      </w:r>
      <w:r>
        <w:rPr>
          <w:rFonts w:hint="eastAsia" w:ascii="宋体" w:hAnsi="宋体" w:cs="宋体"/>
          <w:color w:val="000000" w:themeColor="text1"/>
          <w:sz w:val="24"/>
          <w:szCs w:val="24"/>
          <w:u w:val="single"/>
          <w14:textFill>
            <w14:solidFill>
              <w14:schemeClr w14:val="tx1"/>
            </w14:solidFill>
          </w14:textFill>
        </w:rPr>
        <w:t xml:space="preserve">                </w:t>
      </w:r>
      <w:r>
        <w:rPr>
          <w:rFonts w:hint="eastAsia" w:ascii="宋体" w:hAnsi="宋体" w:cs="宋体"/>
          <w:color w:val="000000" w:themeColor="text1"/>
          <w:sz w:val="24"/>
          <w:szCs w:val="24"/>
          <w14:textFill>
            <w14:solidFill>
              <w14:schemeClr w14:val="tx1"/>
            </w14:solidFill>
          </w14:textFill>
        </w:rPr>
        <w:t xml:space="preserve">  </w:t>
      </w:r>
      <w:r>
        <w:rPr>
          <w:rFonts w:hint="eastAsia" w:ascii="宋体" w:hAnsi="宋体" w:cs="宋体"/>
          <w:color w:val="000000" w:themeColor="text1"/>
          <w:szCs w:val="24"/>
          <w14:textFill>
            <w14:solidFill>
              <w14:schemeClr w14:val="tx1"/>
            </w14:solidFill>
          </w14:textFill>
        </w:rPr>
        <w:t>统一社会信用代码：</w:t>
      </w:r>
      <w:r>
        <w:rPr>
          <w:rFonts w:hint="eastAsia" w:ascii="宋体" w:hAnsi="宋体" w:cs="宋体"/>
          <w:color w:val="000000" w:themeColor="text1"/>
          <w:szCs w:val="24"/>
          <w:u w:val="single"/>
          <w14:textFill>
            <w14:solidFill>
              <w14:schemeClr w14:val="tx1"/>
            </w14:solidFill>
          </w14:textFill>
        </w:rPr>
        <w:t xml:space="preserve">                  </w:t>
      </w:r>
    </w:p>
    <w:p>
      <w:pPr>
        <w:keepNext w:val="0"/>
        <w:keepLines w:val="0"/>
        <w:widowControl w:val="0"/>
        <w:kinsoku/>
        <w:wordWrap/>
        <w:overflowPunct/>
        <w:topLinePunct w:val="0"/>
        <w:autoSpaceDE/>
        <w:autoSpaceDN/>
        <w:bidi w:val="0"/>
        <w:adjustRightInd/>
        <w:snapToGrid w:val="0"/>
        <w:spacing w:line="360" w:lineRule="auto"/>
        <w:ind w:firstLine="415" w:firstLineChars="198"/>
        <w:textAlignment w:val="auto"/>
        <w:outlineLvl w:val="9"/>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开户银行：</w:t>
      </w:r>
      <w:r>
        <w:rPr>
          <w:rFonts w:hint="eastAsia" w:ascii="宋体" w:hAnsi="宋体" w:cs="宋体"/>
          <w:color w:val="000000" w:themeColor="text1"/>
          <w:sz w:val="24"/>
          <w:szCs w:val="24"/>
          <w:u w:val="single"/>
          <w14:textFill>
            <w14:solidFill>
              <w14:schemeClr w14:val="tx1"/>
            </w14:solidFill>
          </w14:textFill>
        </w:rPr>
        <w:t xml:space="preserve">                       </w:t>
      </w:r>
      <w:r>
        <w:rPr>
          <w:rFonts w:hint="eastAsia" w:ascii="宋体" w:hAnsi="宋体" w:cs="宋体"/>
          <w:color w:val="000000" w:themeColor="text1"/>
          <w:szCs w:val="24"/>
          <w14:textFill>
            <w14:solidFill>
              <w14:schemeClr w14:val="tx1"/>
            </w14:solidFill>
          </w14:textFill>
        </w:rPr>
        <w:t xml:space="preserve">  开户银行：</w:t>
      </w:r>
      <w:r>
        <w:rPr>
          <w:rFonts w:hint="eastAsia" w:ascii="宋体" w:hAnsi="宋体" w:cs="宋体"/>
          <w:color w:val="000000" w:themeColor="text1"/>
          <w:szCs w:val="24"/>
          <w:u w:val="single"/>
          <w14:textFill>
            <w14:solidFill>
              <w14:schemeClr w14:val="tx1"/>
            </w14:solidFill>
          </w14:textFill>
        </w:rPr>
        <w:t xml:space="preserve">                          </w:t>
      </w:r>
    </w:p>
    <w:p>
      <w:pPr>
        <w:keepNext w:val="0"/>
        <w:keepLines w:val="0"/>
        <w:widowControl w:val="0"/>
        <w:kinsoku/>
        <w:wordWrap/>
        <w:overflowPunct/>
        <w:topLinePunct w:val="0"/>
        <w:autoSpaceDE/>
        <w:autoSpaceDN/>
        <w:bidi w:val="0"/>
        <w:adjustRightInd/>
        <w:snapToGrid w:val="0"/>
        <w:spacing w:line="360" w:lineRule="auto"/>
        <w:ind w:firstLine="415" w:firstLineChars="198"/>
        <w:textAlignment w:val="auto"/>
        <w:outlineLvl w:val="9"/>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账号：</w:t>
      </w:r>
      <w:r>
        <w:rPr>
          <w:rFonts w:hint="eastAsia" w:ascii="宋体" w:hAnsi="宋体" w:cs="宋体"/>
          <w:color w:val="000000" w:themeColor="text1"/>
          <w:sz w:val="24"/>
          <w:szCs w:val="24"/>
          <w:u w:val="single"/>
          <w14:textFill>
            <w14:solidFill>
              <w14:schemeClr w14:val="tx1"/>
            </w14:solidFill>
          </w14:textFill>
        </w:rPr>
        <w:t xml:space="preserve">                 </w:t>
      </w:r>
      <w:r>
        <w:rPr>
          <w:rFonts w:hint="eastAsia" w:ascii="宋体" w:hAnsi="宋体" w:cs="宋体"/>
          <w:color w:val="000000" w:themeColor="text1"/>
          <w:szCs w:val="24"/>
          <w:u w:val="single"/>
          <w14:textFill>
            <w14:solidFill>
              <w14:schemeClr w14:val="tx1"/>
            </w14:solidFill>
          </w14:textFill>
        </w:rPr>
        <w:t xml:space="preserve">           </w:t>
      </w:r>
      <w:r>
        <w:rPr>
          <w:rFonts w:hint="eastAsia" w:ascii="宋体" w:hAnsi="宋体" w:cs="宋体"/>
          <w:color w:val="000000" w:themeColor="text1"/>
          <w:szCs w:val="24"/>
          <w14:textFill>
            <w14:solidFill>
              <w14:schemeClr w14:val="tx1"/>
            </w14:solidFill>
          </w14:textFill>
        </w:rPr>
        <w:t xml:space="preserve">  账号：</w:t>
      </w:r>
      <w:r>
        <w:rPr>
          <w:rFonts w:hint="eastAsia" w:ascii="宋体" w:hAnsi="宋体" w:cs="宋体"/>
          <w:color w:val="000000" w:themeColor="text1"/>
          <w:szCs w:val="24"/>
          <w:u w:val="single"/>
          <w14:textFill>
            <w14:solidFill>
              <w14:schemeClr w14:val="tx1"/>
            </w14:solidFill>
          </w14:textFill>
        </w:rPr>
        <w:t xml:space="preserve">                              </w:t>
      </w:r>
      <w:r>
        <w:rPr>
          <w:rFonts w:hint="eastAsia" w:ascii="宋体" w:hAnsi="宋体" w:cs="宋体"/>
          <w:color w:val="000000" w:themeColor="text1"/>
          <w:szCs w:val="24"/>
          <w14:textFill>
            <w14:solidFill>
              <w14:schemeClr w14:val="tx1"/>
            </w14:solidFill>
          </w14:textFill>
        </w:rPr>
        <w:t xml:space="preserve"> </w:t>
      </w:r>
    </w:p>
    <w:p>
      <w:pPr>
        <w:keepNext w:val="0"/>
        <w:keepLines w:val="0"/>
        <w:widowControl w:val="0"/>
        <w:kinsoku/>
        <w:wordWrap/>
        <w:overflowPunct/>
        <w:topLinePunct w:val="0"/>
        <w:autoSpaceDE/>
        <w:autoSpaceDN/>
        <w:bidi w:val="0"/>
        <w:adjustRightInd/>
        <w:snapToGrid w:val="0"/>
        <w:spacing w:line="360" w:lineRule="auto"/>
        <w:ind w:firstLine="415" w:firstLineChars="198"/>
        <w:textAlignment w:val="auto"/>
        <w:outlineLvl w:val="9"/>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电话：</w:t>
      </w:r>
      <w:r>
        <w:rPr>
          <w:rFonts w:hint="eastAsia" w:ascii="宋体" w:hAnsi="宋体" w:cs="宋体"/>
          <w:color w:val="000000" w:themeColor="text1"/>
          <w:sz w:val="24"/>
          <w:szCs w:val="24"/>
          <w:u w:val="single"/>
          <w14:textFill>
            <w14:solidFill>
              <w14:schemeClr w14:val="tx1"/>
            </w14:solidFill>
          </w14:textFill>
        </w:rPr>
        <w:t xml:space="preserve">             </w:t>
      </w:r>
      <w:r>
        <w:rPr>
          <w:rFonts w:hint="eastAsia" w:ascii="宋体" w:hAnsi="宋体" w:cs="宋体"/>
          <w:color w:val="000000" w:themeColor="text1"/>
          <w:szCs w:val="24"/>
          <w:u w:val="single"/>
          <w14:textFill>
            <w14:solidFill>
              <w14:schemeClr w14:val="tx1"/>
            </w14:solidFill>
          </w14:textFill>
        </w:rPr>
        <w:t xml:space="preserve">                </w:t>
      </w:r>
      <w:r>
        <w:rPr>
          <w:rFonts w:hint="eastAsia" w:ascii="宋体" w:hAnsi="宋体" w:cs="宋体"/>
          <w:color w:val="000000" w:themeColor="text1"/>
          <w:szCs w:val="24"/>
          <w14:textFill>
            <w14:solidFill>
              <w14:schemeClr w14:val="tx1"/>
            </w14:solidFill>
          </w14:textFill>
        </w:rPr>
        <w:t xml:space="preserve">  电话：</w:t>
      </w:r>
      <w:r>
        <w:rPr>
          <w:rFonts w:hint="eastAsia" w:ascii="宋体" w:hAnsi="宋体" w:cs="宋体"/>
          <w:color w:val="000000" w:themeColor="text1"/>
          <w:szCs w:val="24"/>
          <w:u w:val="single"/>
          <w14:textFill>
            <w14:solidFill>
              <w14:schemeClr w14:val="tx1"/>
            </w14:solidFill>
          </w14:textFill>
        </w:rPr>
        <w:t xml:space="preserve">                              </w:t>
      </w:r>
    </w:p>
    <w:p>
      <w:pPr>
        <w:keepNext w:val="0"/>
        <w:keepLines w:val="0"/>
        <w:widowControl w:val="0"/>
        <w:kinsoku/>
        <w:wordWrap/>
        <w:overflowPunct/>
        <w:topLinePunct w:val="0"/>
        <w:autoSpaceDE/>
        <w:autoSpaceDN/>
        <w:bidi w:val="0"/>
        <w:adjustRightInd/>
        <w:snapToGrid w:val="0"/>
        <w:spacing w:line="360" w:lineRule="auto"/>
        <w:ind w:firstLine="415" w:firstLineChars="198"/>
        <w:textAlignment w:val="auto"/>
        <w:outlineLvl w:val="9"/>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传真：</w:t>
      </w:r>
      <w:r>
        <w:rPr>
          <w:rFonts w:hint="eastAsia" w:ascii="宋体" w:hAnsi="宋体" w:cs="宋体"/>
          <w:color w:val="000000" w:themeColor="text1"/>
          <w:szCs w:val="24"/>
          <w:u w:val="single"/>
          <w14:textFill>
            <w14:solidFill>
              <w14:schemeClr w14:val="tx1"/>
            </w14:solidFill>
          </w14:textFill>
        </w:rPr>
        <w:t xml:space="preserve">                               </w:t>
      </w:r>
      <w:r>
        <w:rPr>
          <w:rFonts w:hint="eastAsia" w:ascii="宋体" w:hAnsi="宋体" w:cs="宋体"/>
          <w:color w:val="000000" w:themeColor="text1"/>
          <w:szCs w:val="24"/>
          <w14:textFill>
            <w14:solidFill>
              <w14:schemeClr w14:val="tx1"/>
            </w14:solidFill>
          </w14:textFill>
        </w:rPr>
        <w:t xml:space="preserve">  传真：</w:t>
      </w:r>
      <w:r>
        <w:rPr>
          <w:rFonts w:hint="eastAsia" w:ascii="宋体" w:hAnsi="宋体" w:cs="宋体"/>
          <w:color w:val="000000" w:themeColor="text1"/>
          <w:szCs w:val="24"/>
          <w:u w:val="single"/>
          <w14:textFill>
            <w14:solidFill>
              <w14:schemeClr w14:val="tx1"/>
            </w14:solidFill>
          </w14:textFill>
        </w:rPr>
        <w:t xml:space="preserve">                              </w:t>
      </w:r>
    </w:p>
    <w:p>
      <w:pPr>
        <w:keepNext w:val="0"/>
        <w:keepLines w:val="0"/>
        <w:widowControl w:val="0"/>
        <w:kinsoku/>
        <w:wordWrap/>
        <w:overflowPunct/>
        <w:topLinePunct w:val="0"/>
        <w:autoSpaceDE/>
        <w:autoSpaceDN/>
        <w:bidi w:val="0"/>
        <w:adjustRightInd/>
        <w:snapToGrid w:val="0"/>
        <w:spacing w:line="360" w:lineRule="auto"/>
        <w:ind w:firstLine="415" w:firstLineChars="198"/>
        <w:textAlignment w:val="auto"/>
        <w:outlineLvl w:val="9"/>
        <w:rPr>
          <w:rFonts w:ascii="宋体" w:hAnsi="宋体" w:cs="宋体"/>
          <w:color w:val="000000" w:themeColor="text1"/>
          <w:szCs w:val="24"/>
          <w:u w:val="single"/>
          <w14:textFill>
            <w14:solidFill>
              <w14:schemeClr w14:val="tx1"/>
            </w14:solidFill>
          </w14:textFill>
        </w:rPr>
      </w:pPr>
      <w:r>
        <w:rPr>
          <w:rFonts w:hint="eastAsia" w:ascii="宋体" w:hAnsi="宋体" w:cs="宋体"/>
          <w:color w:val="000000" w:themeColor="text1"/>
          <w:szCs w:val="24"/>
          <w14:textFill>
            <w14:solidFill>
              <w14:schemeClr w14:val="tx1"/>
            </w14:solidFill>
          </w14:textFill>
        </w:rPr>
        <w:t>电子邮箱：</w:t>
      </w:r>
      <w:r>
        <w:rPr>
          <w:rFonts w:hint="eastAsia" w:ascii="宋体" w:hAnsi="宋体" w:cs="宋体"/>
          <w:color w:val="000000" w:themeColor="text1"/>
          <w:szCs w:val="24"/>
          <w:u w:val="single"/>
          <w14:textFill>
            <w14:solidFill>
              <w14:schemeClr w14:val="tx1"/>
            </w14:solidFill>
          </w14:textFill>
        </w:rPr>
        <w:t xml:space="preserve">                            </w:t>
      </w:r>
      <w:r>
        <w:rPr>
          <w:rFonts w:hint="eastAsia" w:ascii="宋体" w:hAnsi="宋体" w:cs="宋体"/>
          <w:color w:val="000000" w:themeColor="text1"/>
          <w:szCs w:val="24"/>
          <w14:textFill>
            <w14:solidFill>
              <w14:schemeClr w14:val="tx1"/>
            </w14:solidFill>
          </w14:textFill>
        </w:rPr>
        <w:t xml:space="preserve"> 电子邮箱：</w:t>
      </w:r>
      <w:r>
        <w:rPr>
          <w:rFonts w:hint="eastAsia" w:ascii="宋体" w:hAnsi="宋体" w:cs="宋体"/>
          <w:color w:val="000000" w:themeColor="text1"/>
          <w:szCs w:val="24"/>
          <w:u w:val="single"/>
          <w14:textFill>
            <w14:solidFill>
              <w14:schemeClr w14:val="tx1"/>
            </w14:solidFill>
          </w14:textFill>
        </w:rPr>
        <w:t xml:space="preserve">                           </w:t>
      </w:r>
    </w:p>
    <w:p>
      <w:pPr>
        <w:keepNext w:val="0"/>
        <w:keepLines w:val="0"/>
        <w:pageBreakBefore/>
        <w:widowControl w:val="0"/>
        <w:kinsoku/>
        <w:wordWrap/>
        <w:overflowPunct/>
        <w:topLinePunct w:val="0"/>
        <w:autoSpaceDE/>
        <w:autoSpaceDN/>
        <w:bidi w:val="0"/>
        <w:adjustRightInd/>
        <w:spacing w:line="360" w:lineRule="auto"/>
        <w:jc w:val="center"/>
        <w:textAlignment w:val="auto"/>
        <w:outlineLvl w:val="9"/>
        <w:rPr>
          <w:rFonts w:ascii="宋体" w:hAnsi="宋体" w:cs="宋体"/>
          <w:b/>
          <w:color w:val="000000" w:themeColor="text1"/>
          <w:szCs w:val="24"/>
          <w14:textFill>
            <w14:solidFill>
              <w14:schemeClr w14:val="tx1"/>
            </w14:solidFill>
          </w14:textFill>
        </w:rPr>
      </w:pPr>
      <w:r>
        <w:rPr>
          <w:rFonts w:hint="eastAsia" w:ascii="宋体" w:hAnsi="宋体" w:cs="宋体"/>
          <w:b/>
          <w:color w:val="000000" w:themeColor="text1"/>
          <w:szCs w:val="24"/>
          <w14:textFill>
            <w14:solidFill>
              <w14:schemeClr w14:val="tx1"/>
            </w14:solidFill>
          </w14:textFill>
        </w:rPr>
        <w:t>第二部分  通用条件</w:t>
      </w:r>
    </w:p>
    <w:p>
      <w:pPr>
        <w:keepNext w:val="0"/>
        <w:keepLines w:val="0"/>
        <w:widowControl w:val="0"/>
        <w:kinsoku/>
        <w:wordWrap/>
        <w:overflowPunct/>
        <w:topLinePunct w:val="0"/>
        <w:autoSpaceDE/>
        <w:autoSpaceDN/>
        <w:bidi w:val="0"/>
        <w:adjustRightInd/>
        <w:spacing w:line="360" w:lineRule="auto"/>
        <w:textAlignment w:val="auto"/>
        <w:outlineLvl w:val="9"/>
        <w:rPr>
          <w:rFonts w:ascii="宋体" w:hAnsi="宋体" w:cs="宋体"/>
          <w:b/>
          <w:color w:val="000000" w:themeColor="text1"/>
          <w:szCs w:val="24"/>
          <w14:textFill>
            <w14:solidFill>
              <w14:schemeClr w14:val="tx1"/>
            </w14:solidFill>
          </w14:textFill>
        </w:rPr>
      </w:pPr>
      <w:r>
        <w:rPr>
          <w:rFonts w:hint="eastAsia" w:ascii="宋体" w:hAnsi="宋体" w:cs="宋体"/>
          <w:b/>
          <w:color w:val="000000" w:themeColor="text1"/>
          <w:szCs w:val="24"/>
          <w14:textFill>
            <w14:solidFill>
              <w14:schemeClr w14:val="tx1"/>
            </w14:solidFill>
          </w14:textFill>
        </w:rPr>
        <w:t>1. 定义与解释</w:t>
      </w:r>
    </w:p>
    <w:p>
      <w:pPr>
        <w:keepNext w:val="0"/>
        <w:keepLines w:val="0"/>
        <w:widowControl w:val="0"/>
        <w:kinsoku/>
        <w:wordWrap/>
        <w:overflowPunct/>
        <w:topLinePunct w:val="0"/>
        <w:autoSpaceDE/>
        <w:autoSpaceDN/>
        <w:bidi w:val="0"/>
        <w:adjustRightInd/>
        <w:spacing w:line="360" w:lineRule="auto"/>
        <w:ind w:left="210" w:leftChars="100"/>
        <w:textAlignment w:val="auto"/>
        <w:outlineLvl w:val="9"/>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1.1 定义</w:t>
      </w:r>
    </w:p>
    <w:p>
      <w:pPr>
        <w:keepNext w:val="0"/>
        <w:keepLines w:val="0"/>
        <w:widowControl w:val="0"/>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除根据上下文另有其意义外，组成本合同的全部文件中的下列名词和用语应具有本款所赋予的含义：</w:t>
      </w:r>
    </w:p>
    <w:p>
      <w:pPr>
        <w:keepNext w:val="0"/>
        <w:keepLines w:val="0"/>
        <w:widowControl w:val="0"/>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1.1.1 “工程”是指按照本合同约定实施监理与相关服务的建设工程。</w:t>
      </w:r>
    </w:p>
    <w:p>
      <w:pPr>
        <w:keepNext w:val="0"/>
        <w:keepLines w:val="0"/>
        <w:widowControl w:val="0"/>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1.1.2 “委托人”是指本合同中委托监理与相关服务的一方，及其合法的继承人或受让人。</w:t>
      </w:r>
    </w:p>
    <w:p>
      <w:pPr>
        <w:keepNext w:val="0"/>
        <w:keepLines w:val="0"/>
        <w:widowControl w:val="0"/>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1.1.3 “监理人”是指本合同中提供监理与相关服务的一方，及其合法的继承人。</w:t>
      </w:r>
    </w:p>
    <w:p>
      <w:pPr>
        <w:keepNext w:val="0"/>
        <w:keepLines w:val="0"/>
        <w:widowControl w:val="0"/>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1.1.4 “承包人”是指在工程范围内与委托人签订勘察、设计、施工等有关合同的当事人，及其合法的继承人。</w:t>
      </w:r>
    </w:p>
    <w:p>
      <w:pPr>
        <w:pStyle w:val="15"/>
        <w:keepNext w:val="0"/>
        <w:keepLines w:val="0"/>
        <w:widowControl w:val="0"/>
        <w:kinsoku/>
        <w:wordWrap/>
        <w:overflowPunct/>
        <w:topLinePunct w:val="0"/>
        <w:autoSpaceDE/>
        <w:autoSpaceDN/>
        <w:bidi w:val="0"/>
        <w:adjustRightInd/>
        <w:spacing w:line="360" w:lineRule="auto"/>
        <w:ind w:firstLine="420" w:firstLineChars="200"/>
        <w:textAlignment w:val="auto"/>
        <w:outlineLvl w:val="9"/>
        <w:rPr>
          <w:rFonts w:hint="default" w:hAnsi="宋体" w:cs="宋体"/>
          <w:color w:val="000000" w:themeColor="text1"/>
          <w14:textFill>
            <w14:solidFill>
              <w14:schemeClr w14:val="tx1"/>
            </w14:solidFill>
          </w14:textFill>
        </w:rPr>
      </w:pPr>
      <w:r>
        <w:rPr>
          <w:rFonts w:hAnsi="宋体" w:cs="宋体"/>
          <w:color w:val="000000" w:themeColor="text1"/>
          <w14:textFill>
            <w14:solidFill>
              <w14:schemeClr w14:val="tx1"/>
            </w14:solidFill>
          </w14:textFill>
        </w:rPr>
        <w:t>1.1.5 “监理”是指监理人受委托人的委托 ，依照法律法规、工程建设标准、勘察设计文件及合同，在施工阶段对建设工程质量、进度、造价进行控制，对合同、信息进行管理，对工程建设相关方的关系进行协调，并履行建设工程安全生产管理法定职责的服务活动。</w:t>
      </w:r>
    </w:p>
    <w:p>
      <w:pPr>
        <w:keepNext w:val="0"/>
        <w:keepLines w:val="0"/>
        <w:widowControl w:val="0"/>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1.1.6 “相关服务”是指监理人受委托人的委托 ，按照本合同约定，在勘察、设计、保修等阶段提供的服务活动。</w:t>
      </w:r>
    </w:p>
    <w:p>
      <w:pPr>
        <w:keepNext w:val="0"/>
        <w:keepLines w:val="0"/>
        <w:widowControl w:val="0"/>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1.1.7 “正常工作”指本合同订立时通用条件和专用条件中约定的监理人的工作。</w:t>
      </w:r>
    </w:p>
    <w:p>
      <w:pPr>
        <w:keepNext w:val="0"/>
        <w:keepLines w:val="0"/>
        <w:widowControl w:val="0"/>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1.1.8 “附加工作”是指本合同约定的正常工作以外监理人的工作。</w:t>
      </w:r>
    </w:p>
    <w:p>
      <w:pPr>
        <w:keepNext w:val="0"/>
        <w:keepLines w:val="0"/>
        <w:widowControl w:val="0"/>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1.1.9 “项目监理机构”是指监理人派驻工程负责履行本合同的组织机构。</w:t>
      </w:r>
    </w:p>
    <w:p>
      <w:pPr>
        <w:keepNext w:val="0"/>
        <w:keepLines w:val="0"/>
        <w:widowControl w:val="0"/>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1.1.10 “总监理工程师”是指由监理人的法定代表人书面授权，全面负责履行本合同、主持项目监理机构工作的注册监理工程师。</w:t>
      </w:r>
    </w:p>
    <w:p>
      <w:pPr>
        <w:keepNext w:val="0"/>
        <w:keepLines w:val="0"/>
        <w:widowControl w:val="0"/>
        <w:kinsoku/>
        <w:wordWrap/>
        <w:overflowPunct/>
        <w:topLinePunct w:val="0"/>
        <w:autoSpaceDE/>
        <w:autoSpaceDN/>
        <w:bidi w:val="0"/>
        <w:adjustRightInd/>
        <w:snapToGrid w:val="0"/>
        <w:spacing w:line="360" w:lineRule="auto"/>
        <w:ind w:firstLine="415" w:firstLineChars="198"/>
        <w:textAlignment w:val="auto"/>
        <w:outlineLvl w:val="9"/>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1.1.11 “酬金”是指监理人履行本合同义务，委托人按照本合同约定给付监理人的金额。</w:t>
      </w:r>
    </w:p>
    <w:p>
      <w:pPr>
        <w:keepNext w:val="0"/>
        <w:keepLines w:val="0"/>
        <w:widowControl w:val="0"/>
        <w:kinsoku/>
        <w:wordWrap/>
        <w:overflowPunct/>
        <w:topLinePunct w:val="0"/>
        <w:autoSpaceDE/>
        <w:autoSpaceDN/>
        <w:bidi w:val="0"/>
        <w:adjustRightInd/>
        <w:snapToGrid w:val="0"/>
        <w:spacing w:line="360" w:lineRule="auto"/>
        <w:ind w:firstLine="415" w:firstLineChars="198"/>
        <w:textAlignment w:val="auto"/>
        <w:outlineLvl w:val="9"/>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1.1.12 “正常工作酬金”是指监理人完成正常工作，委托人应给付监理人并在协议书中载明的签约酬金额。</w:t>
      </w:r>
    </w:p>
    <w:p>
      <w:pPr>
        <w:keepNext w:val="0"/>
        <w:keepLines w:val="0"/>
        <w:widowControl w:val="0"/>
        <w:kinsoku/>
        <w:wordWrap/>
        <w:overflowPunct/>
        <w:topLinePunct w:val="0"/>
        <w:autoSpaceDE/>
        <w:autoSpaceDN/>
        <w:bidi w:val="0"/>
        <w:adjustRightInd/>
        <w:snapToGrid w:val="0"/>
        <w:spacing w:line="360" w:lineRule="auto"/>
        <w:ind w:firstLine="415" w:firstLineChars="198"/>
        <w:textAlignment w:val="auto"/>
        <w:outlineLvl w:val="9"/>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1.1.13 “附加工作酬金”是指监理人完成附加工作，委托人应给付监理人的金额。</w:t>
      </w:r>
    </w:p>
    <w:p>
      <w:pPr>
        <w:keepNext w:val="0"/>
        <w:keepLines w:val="0"/>
        <w:widowControl w:val="0"/>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1.1.14 “一方”是指委托人或监理人；“双方”是指委托人和监理人；“第三方”是指除委托人和监理人以外的有关方。</w:t>
      </w:r>
    </w:p>
    <w:p>
      <w:pPr>
        <w:keepNext w:val="0"/>
        <w:keepLines w:val="0"/>
        <w:widowControl w:val="0"/>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1.1.15 “书面形式”是指合同书、信件和数据电文（包括电报、电传、传真、电子数据交换和电子邮件）等可以有形地表现所载内容的形式。</w:t>
      </w:r>
    </w:p>
    <w:p>
      <w:pPr>
        <w:keepNext w:val="0"/>
        <w:keepLines w:val="0"/>
        <w:widowControl w:val="0"/>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1.1.16 “天”是指第一天零时至第二天零时的时间。</w:t>
      </w:r>
    </w:p>
    <w:p>
      <w:pPr>
        <w:keepNext w:val="0"/>
        <w:keepLines w:val="0"/>
        <w:widowControl w:val="0"/>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1.1.17“月”是指按公历从一个月中任何一天开始的一个公历月时间。</w:t>
      </w:r>
    </w:p>
    <w:p>
      <w:pPr>
        <w:keepNext w:val="0"/>
        <w:keepLines w:val="0"/>
        <w:widowControl w:val="0"/>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1.1.18 “不可抗力”是指委托人和监理人在订立本合同时不可预见，在工程施工过程中不可避免发生并不能克服的自然灾害和社会性突发事件，如地震、海啸、瘟疫、水灾、骚乱、暴动、战争和专用条件约定的其他情形。</w:t>
      </w:r>
    </w:p>
    <w:p>
      <w:pPr>
        <w:keepNext w:val="0"/>
        <w:keepLines w:val="0"/>
        <w:widowControl w:val="0"/>
        <w:kinsoku/>
        <w:wordWrap/>
        <w:overflowPunct/>
        <w:topLinePunct w:val="0"/>
        <w:autoSpaceDE/>
        <w:autoSpaceDN/>
        <w:bidi w:val="0"/>
        <w:adjustRightInd/>
        <w:snapToGrid w:val="0"/>
        <w:spacing w:line="360" w:lineRule="auto"/>
        <w:ind w:left="210" w:leftChars="100"/>
        <w:textAlignment w:val="auto"/>
        <w:outlineLvl w:val="9"/>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1.2 解释</w:t>
      </w:r>
    </w:p>
    <w:p>
      <w:pPr>
        <w:keepNext w:val="0"/>
        <w:keepLines w:val="0"/>
        <w:widowControl w:val="0"/>
        <w:tabs>
          <w:tab w:val="left" w:pos="6140"/>
        </w:tabs>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1.2.1本合同使用中文书写、解释和说明。如专用条件约定使用两种及以上语言文字时，应以中文为准。</w:t>
      </w:r>
    </w:p>
    <w:p>
      <w:pPr>
        <w:keepNext w:val="0"/>
        <w:keepLines w:val="0"/>
        <w:widowControl w:val="0"/>
        <w:tabs>
          <w:tab w:val="left" w:pos="6140"/>
        </w:tabs>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1.2.2 组成本合同的下列文件彼此应能相互解释、互为说明。除专用条件另有约定外，本合同文件的解释顺序如下：</w:t>
      </w:r>
    </w:p>
    <w:p>
      <w:pPr>
        <w:keepNext w:val="0"/>
        <w:keepLines w:val="0"/>
        <w:widowControl w:val="0"/>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（1）协议书；</w:t>
      </w:r>
    </w:p>
    <w:p>
      <w:pPr>
        <w:keepNext w:val="0"/>
        <w:keepLines w:val="0"/>
        <w:widowControl w:val="0"/>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（2）中标通知书（适用于招标工程）或委托书（适用于非招标工程）；</w:t>
      </w:r>
    </w:p>
    <w:p>
      <w:pPr>
        <w:keepNext w:val="0"/>
        <w:keepLines w:val="0"/>
        <w:widowControl w:val="0"/>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（3）专用条件及附录A、附录B；</w:t>
      </w:r>
    </w:p>
    <w:p>
      <w:pPr>
        <w:keepNext w:val="0"/>
        <w:keepLines w:val="0"/>
        <w:widowControl w:val="0"/>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（4）通用条件；</w:t>
      </w:r>
    </w:p>
    <w:p>
      <w:pPr>
        <w:keepNext w:val="0"/>
        <w:keepLines w:val="0"/>
        <w:widowControl w:val="0"/>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（5）投标文件（适用于招标工程）或监理与相关服务建议书（适用于非招标工程）。</w:t>
      </w:r>
    </w:p>
    <w:p>
      <w:pPr>
        <w:keepNext w:val="0"/>
        <w:keepLines w:val="0"/>
        <w:widowControl w:val="0"/>
        <w:kinsoku/>
        <w:wordWrap/>
        <w:overflowPunct/>
        <w:topLinePunct w:val="0"/>
        <w:autoSpaceDE/>
        <w:autoSpaceDN/>
        <w:bidi w:val="0"/>
        <w:adjustRightInd/>
        <w:spacing w:line="360" w:lineRule="auto"/>
        <w:ind w:firstLine="420" w:firstLineChars="200"/>
        <w:textAlignment w:val="auto"/>
        <w:outlineLvl w:val="9"/>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双方签订的补充协议与其他文件发生矛盾或歧义时，属于同一类内容的文件，应以最新签署的为准。</w:t>
      </w:r>
    </w:p>
    <w:p>
      <w:pPr>
        <w:keepNext w:val="0"/>
        <w:keepLines w:val="0"/>
        <w:widowControl w:val="0"/>
        <w:kinsoku/>
        <w:wordWrap/>
        <w:overflowPunct/>
        <w:topLinePunct w:val="0"/>
        <w:autoSpaceDE/>
        <w:autoSpaceDN/>
        <w:bidi w:val="0"/>
        <w:adjustRightInd/>
        <w:spacing w:line="360" w:lineRule="auto"/>
        <w:textAlignment w:val="auto"/>
        <w:outlineLvl w:val="9"/>
        <w:rPr>
          <w:rFonts w:ascii="宋体" w:hAnsi="宋体" w:cs="宋体"/>
          <w:b/>
          <w:color w:val="000000" w:themeColor="text1"/>
          <w:szCs w:val="24"/>
          <w14:textFill>
            <w14:solidFill>
              <w14:schemeClr w14:val="tx1"/>
            </w14:solidFill>
          </w14:textFill>
        </w:rPr>
      </w:pPr>
      <w:r>
        <w:rPr>
          <w:rFonts w:hint="eastAsia" w:ascii="宋体" w:hAnsi="宋体" w:cs="宋体"/>
          <w:b/>
          <w:color w:val="000000" w:themeColor="text1"/>
          <w:szCs w:val="24"/>
          <w14:textFill>
            <w14:solidFill>
              <w14:schemeClr w14:val="tx1"/>
            </w14:solidFill>
          </w14:textFill>
        </w:rPr>
        <w:t>2. 监理人的义务</w:t>
      </w:r>
    </w:p>
    <w:p>
      <w:pPr>
        <w:keepNext w:val="0"/>
        <w:keepLines w:val="0"/>
        <w:widowControl w:val="0"/>
        <w:kinsoku/>
        <w:wordWrap/>
        <w:overflowPunct/>
        <w:topLinePunct w:val="0"/>
        <w:autoSpaceDE/>
        <w:autoSpaceDN/>
        <w:bidi w:val="0"/>
        <w:adjustRightInd/>
        <w:snapToGrid w:val="0"/>
        <w:spacing w:line="360" w:lineRule="auto"/>
        <w:ind w:left="210" w:leftChars="100"/>
        <w:textAlignment w:val="auto"/>
        <w:outlineLvl w:val="9"/>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2.1 监理的范围和工作内容</w:t>
      </w:r>
    </w:p>
    <w:p>
      <w:pPr>
        <w:keepNext w:val="0"/>
        <w:keepLines w:val="0"/>
        <w:widowControl w:val="0"/>
        <w:kinsoku/>
        <w:wordWrap/>
        <w:overflowPunct/>
        <w:topLinePunct w:val="0"/>
        <w:autoSpaceDE/>
        <w:autoSpaceDN/>
        <w:bidi w:val="0"/>
        <w:adjustRightInd/>
        <w:snapToGrid w:val="0"/>
        <w:spacing w:line="360" w:lineRule="auto"/>
        <w:ind w:left="420" w:leftChars="200"/>
        <w:textAlignment w:val="auto"/>
        <w:outlineLvl w:val="9"/>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2.1.1 监理范围在专用条件中约定。</w:t>
      </w:r>
    </w:p>
    <w:p>
      <w:pPr>
        <w:keepNext w:val="0"/>
        <w:keepLines w:val="0"/>
        <w:widowControl w:val="0"/>
        <w:kinsoku/>
        <w:wordWrap/>
        <w:overflowPunct/>
        <w:topLinePunct w:val="0"/>
        <w:autoSpaceDE/>
        <w:autoSpaceDN/>
        <w:bidi w:val="0"/>
        <w:adjustRightInd/>
        <w:snapToGrid w:val="0"/>
        <w:spacing w:line="360" w:lineRule="auto"/>
        <w:ind w:left="420" w:leftChars="200"/>
        <w:textAlignment w:val="auto"/>
        <w:outlineLvl w:val="9"/>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2.1.2 除专用条件另有约定外，监理工作内容包括：</w:t>
      </w:r>
    </w:p>
    <w:p>
      <w:pPr>
        <w:keepNext w:val="0"/>
        <w:keepLines w:val="0"/>
        <w:widowControl w:val="0"/>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（1）收到工程设计文件后编制监理规划，并在第一次工地会议7天前报委托人。根据有关规定和监理工作需要，编制监理实施细则；</w:t>
      </w:r>
    </w:p>
    <w:p>
      <w:pPr>
        <w:keepNext w:val="0"/>
        <w:keepLines w:val="0"/>
        <w:widowControl w:val="0"/>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（2）熟悉工程设计文件，并参加由委托人主持的图纸会审和设计交底会议；</w:t>
      </w:r>
    </w:p>
    <w:p>
      <w:pPr>
        <w:keepNext w:val="0"/>
        <w:keepLines w:val="0"/>
        <w:widowControl w:val="0"/>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（3）参加由委托人主持的第一次工地会议；主持监理例会并根据工程需要主持或参加专题会议；</w:t>
      </w:r>
    </w:p>
    <w:p>
      <w:pPr>
        <w:keepNext w:val="0"/>
        <w:keepLines w:val="0"/>
        <w:widowControl w:val="0"/>
        <w:kinsoku/>
        <w:wordWrap/>
        <w:overflowPunct/>
        <w:topLinePunct w:val="0"/>
        <w:autoSpaceDE/>
        <w:autoSpaceDN/>
        <w:bidi w:val="0"/>
        <w:adjustRightInd/>
        <w:snapToGrid w:val="0"/>
        <w:spacing w:line="360" w:lineRule="auto"/>
        <w:textAlignment w:val="auto"/>
        <w:outlineLvl w:val="9"/>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 xml:space="preserve">    （4）审查施工承包人提交的施工组织设计，重点审查其中的质量安全技术措施、专项施工方案与工程建设强制性标准的符合性；</w:t>
      </w:r>
    </w:p>
    <w:p>
      <w:pPr>
        <w:keepNext w:val="0"/>
        <w:keepLines w:val="0"/>
        <w:widowControl w:val="0"/>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 xml:space="preserve">（5）检查施工承包人工程质量、安全生产管理制度及组织机构和人员资格； </w:t>
      </w:r>
    </w:p>
    <w:p>
      <w:pPr>
        <w:keepNext w:val="0"/>
        <w:keepLines w:val="0"/>
        <w:widowControl w:val="0"/>
        <w:kinsoku/>
        <w:wordWrap/>
        <w:overflowPunct/>
        <w:topLinePunct w:val="0"/>
        <w:autoSpaceDE/>
        <w:autoSpaceDN/>
        <w:bidi w:val="0"/>
        <w:adjustRightInd/>
        <w:snapToGrid w:val="0"/>
        <w:spacing w:line="360" w:lineRule="auto"/>
        <w:textAlignment w:val="auto"/>
        <w:outlineLvl w:val="9"/>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 xml:space="preserve">    （6）检查施工承包人专职安全生产管理人员的配备情况；</w:t>
      </w:r>
    </w:p>
    <w:p>
      <w:pPr>
        <w:keepNext w:val="0"/>
        <w:keepLines w:val="0"/>
        <w:widowControl w:val="0"/>
        <w:kinsoku/>
        <w:wordWrap/>
        <w:overflowPunct/>
        <w:topLinePunct w:val="0"/>
        <w:autoSpaceDE/>
        <w:autoSpaceDN/>
        <w:bidi w:val="0"/>
        <w:adjustRightInd/>
        <w:snapToGrid w:val="0"/>
        <w:spacing w:line="360" w:lineRule="auto"/>
        <w:textAlignment w:val="auto"/>
        <w:outlineLvl w:val="9"/>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 xml:space="preserve">    （7）审查施工承包人提交的施工进度计划，核查承包人对施工进度计划的调整；</w:t>
      </w:r>
    </w:p>
    <w:p>
      <w:pPr>
        <w:keepNext w:val="0"/>
        <w:keepLines w:val="0"/>
        <w:widowControl w:val="0"/>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（8）检查施工承包人的试验室；</w:t>
      </w:r>
    </w:p>
    <w:p>
      <w:pPr>
        <w:keepNext w:val="0"/>
        <w:keepLines w:val="0"/>
        <w:widowControl w:val="0"/>
        <w:kinsoku/>
        <w:wordWrap/>
        <w:overflowPunct/>
        <w:topLinePunct w:val="0"/>
        <w:autoSpaceDE/>
        <w:autoSpaceDN/>
        <w:bidi w:val="0"/>
        <w:adjustRightInd/>
        <w:snapToGrid w:val="0"/>
        <w:spacing w:line="360" w:lineRule="auto"/>
        <w:textAlignment w:val="auto"/>
        <w:outlineLvl w:val="9"/>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 xml:space="preserve">    （9）审核施工分包人资质条件；</w:t>
      </w:r>
    </w:p>
    <w:p>
      <w:pPr>
        <w:keepNext w:val="0"/>
        <w:keepLines w:val="0"/>
        <w:widowControl w:val="0"/>
        <w:kinsoku/>
        <w:wordWrap/>
        <w:overflowPunct/>
        <w:topLinePunct w:val="0"/>
        <w:autoSpaceDE/>
        <w:autoSpaceDN/>
        <w:bidi w:val="0"/>
        <w:adjustRightInd/>
        <w:textAlignment w:val="auto"/>
        <w:outlineLvl w:val="9"/>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 xml:space="preserve">    （10）查验施工承包人的施工测量放线成果；</w:t>
      </w:r>
    </w:p>
    <w:p>
      <w:pPr>
        <w:keepNext w:val="0"/>
        <w:keepLines w:val="0"/>
        <w:widowControl w:val="0"/>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（11）审查工程开工条件，对条件具备的签发开工令；</w:t>
      </w:r>
    </w:p>
    <w:p>
      <w:pPr>
        <w:keepNext w:val="0"/>
        <w:keepLines w:val="0"/>
        <w:widowControl w:val="0"/>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（12）审查施工承包人报送的工程材料、构配件、设备质量证明文件的有效性和符合性，并按规定对用于工程的材料采取平行检验或见证取样方式进行抽检；</w:t>
      </w:r>
    </w:p>
    <w:p>
      <w:pPr>
        <w:keepNext w:val="0"/>
        <w:keepLines w:val="0"/>
        <w:widowControl w:val="0"/>
        <w:kinsoku/>
        <w:wordWrap/>
        <w:overflowPunct/>
        <w:topLinePunct w:val="0"/>
        <w:autoSpaceDE/>
        <w:autoSpaceDN/>
        <w:bidi w:val="0"/>
        <w:adjustRightInd/>
        <w:snapToGrid w:val="0"/>
        <w:spacing w:line="360" w:lineRule="auto"/>
        <w:ind w:left="-97" w:leftChars="-46"/>
        <w:textAlignment w:val="auto"/>
        <w:outlineLvl w:val="9"/>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 xml:space="preserve">     （13）审核施工承包人提交的工程款支付申请，签发或出具工程款支付证书，并报委托人审核、批准；</w:t>
      </w:r>
    </w:p>
    <w:p>
      <w:pPr>
        <w:keepNext w:val="0"/>
        <w:keepLines w:val="0"/>
        <w:widowControl w:val="0"/>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szCs w:val="24"/>
        </w:rPr>
      </w:pPr>
      <w:r>
        <w:rPr>
          <w:rFonts w:hint="eastAsia" w:ascii="宋体" w:hAnsi="宋体" w:cs="宋体"/>
          <w:color w:val="000000" w:themeColor="text1"/>
          <w:szCs w:val="24"/>
          <w14:textFill>
            <w14:solidFill>
              <w14:schemeClr w14:val="tx1"/>
            </w14:solidFill>
          </w14:textFill>
        </w:rPr>
        <w:t>（14）在巡视、旁站和检验过程中，发现工程质量、施工安</w:t>
      </w:r>
      <w:r>
        <w:rPr>
          <w:rFonts w:hint="eastAsia" w:ascii="宋体" w:hAnsi="宋体" w:cs="宋体"/>
          <w:szCs w:val="24"/>
        </w:rPr>
        <w:t>全存在事故隐患的，要求施工承包人整改并报委托人；</w:t>
      </w:r>
    </w:p>
    <w:p>
      <w:pPr>
        <w:keepNext w:val="0"/>
        <w:keepLines w:val="0"/>
        <w:widowControl w:val="0"/>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szCs w:val="24"/>
        </w:rPr>
      </w:pPr>
      <w:r>
        <w:rPr>
          <w:rFonts w:hint="eastAsia" w:ascii="宋体" w:hAnsi="宋体" w:cs="宋体"/>
          <w:szCs w:val="24"/>
        </w:rPr>
        <w:t>（15）经委托人同意，签发工程暂停令和复工令；</w:t>
      </w:r>
    </w:p>
    <w:p>
      <w:pPr>
        <w:keepNext w:val="0"/>
        <w:keepLines w:val="0"/>
        <w:widowControl w:val="0"/>
        <w:kinsoku/>
        <w:wordWrap/>
        <w:overflowPunct/>
        <w:topLinePunct w:val="0"/>
        <w:autoSpaceDE/>
        <w:autoSpaceDN/>
        <w:bidi w:val="0"/>
        <w:adjustRightInd/>
        <w:snapToGrid w:val="0"/>
        <w:spacing w:line="360" w:lineRule="auto"/>
        <w:textAlignment w:val="auto"/>
        <w:outlineLvl w:val="9"/>
        <w:rPr>
          <w:rFonts w:ascii="宋体" w:hAnsi="宋体" w:cs="宋体"/>
          <w:szCs w:val="24"/>
        </w:rPr>
      </w:pPr>
      <w:r>
        <w:rPr>
          <w:rFonts w:hint="eastAsia" w:ascii="宋体" w:hAnsi="宋体" w:cs="宋体"/>
          <w:szCs w:val="24"/>
        </w:rPr>
        <w:t xml:space="preserve">    （16）审查施工承包人提交的采用新材料、新工艺、新技术、新设备的论证材料及相关验收标准；</w:t>
      </w:r>
    </w:p>
    <w:p>
      <w:pPr>
        <w:keepNext w:val="0"/>
        <w:keepLines w:val="0"/>
        <w:widowControl w:val="0"/>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szCs w:val="24"/>
        </w:rPr>
      </w:pPr>
      <w:r>
        <w:rPr>
          <w:rFonts w:hint="eastAsia" w:ascii="宋体" w:hAnsi="宋体" w:cs="宋体"/>
          <w:szCs w:val="24"/>
        </w:rPr>
        <w:t>（17）验收隐蔽工程、分部分项工程；</w:t>
      </w:r>
    </w:p>
    <w:p>
      <w:pPr>
        <w:keepNext w:val="0"/>
        <w:keepLines w:val="0"/>
        <w:widowControl w:val="0"/>
        <w:kinsoku/>
        <w:wordWrap/>
        <w:overflowPunct/>
        <w:topLinePunct w:val="0"/>
        <w:autoSpaceDE/>
        <w:autoSpaceDN/>
        <w:bidi w:val="0"/>
        <w:adjustRightInd/>
        <w:snapToGrid w:val="0"/>
        <w:spacing w:line="360" w:lineRule="auto"/>
        <w:textAlignment w:val="auto"/>
        <w:outlineLvl w:val="9"/>
        <w:rPr>
          <w:rFonts w:ascii="宋体" w:hAnsi="宋体" w:cs="宋体"/>
          <w:szCs w:val="24"/>
        </w:rPr>
      </w:pPr>
      <w:r>
        <w:rPr>
          <w:rFonts w:hint="eastAsia" w:ascii="宋体" w:hAnsi="宋体" w:cs="宋体"/>
          <w:szCs w:val="24"/>
        </w:rPr>
        <w:t xml:space="preserve">    （18）审查施工承包人提交的工程变更申请，协调处理施工进度调整、费用索赔、合同争议等事项；</w:t>
      </w:r>
    </w:p>
    <w:p>
      <w:pPr>
        <w:keepNext w:val="0"/>
        <w:keepLines w:val="0"/>
        <w:widowControl w:val="0"/>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szCs w:val="24"/>
        </w:rPr>
      </w:pPr>
      <w:r>
        <w:rPr>
          <w:rFonts w:hint="eastAsia" w:ascii="宋体" w:hAnsi="宋体" w:cs="宋体"/>
          <w:szCs w:val="24"/>
        </w:rPr>
        <w:t>（19）审查施工承包人提交的竣工验收申请，编写工程质量评估报告；</w:t>
      </w:r>
    </w:p>
    <w:p>
      <w:pPr>
        <w:keepNext w:val="0"/>
        <w:keepLines w:val="0"/>
        <w:widowControl w:val="0"/>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szCs w:val="24"/>
        </w:rPr>
      </w:pPr>
      <w:r>
        <w:rPr>
          <w:rFonts w:hint="eastAsia" w:ascii="宋体" w:hAnsi="宋体" w:cs="宋体"/>
          <w:szCs w:val="24"/>
        </w:rPr>
        <w:t>（20）参加工程竣工验收，签署竣工验收意见；</w:t>
      </w:r>
    </w:p>
    <w:p>
      <w:pPr>
        <w:keepNext w:val="0"/>
        <w:keepLines w:val="0"/>
        <w:widowControl w:val="0"/>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szCs w:val="24"/>
        </w:rPr>
      </w:pPr>
      <w:r>
        <w:rPr>
          <w:rFonts w:hint="eastAsia" w:ascii="宋体" w:hAnsi="宋体" w:cs="宋体"/>
          <w:szCs w:val="24"/>
        </w:rPr>
        <w:t>（21）审查施工承包人提交的竣工结算申请并报委托人；</w:t>
      </w:r>
    </w:p>
    <w:p>
      <w:pPr>
        <w:keepNext w:val="0"/>
        <w:keepLines w:val="0"/>
        <w:widowControl w:val="0"/>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szCs w:val="24"/>
        </w:rPr>
      </w:pPr>
      <w:r>
        <w:rPr>
          <w:rFonts w:hint="eastAsia" w:ascii="宋体" w:hAnsi="宋体" w:cs="宋体"/>
          <w:szCs w:val="24"/>
        </w:rPr>
        <w:t>（22）编制、整理工程监理归档文件并报委托人。</w:t>
      </w:r>
    </w:p>
    <w:p>
      <w:pPr>
        <w:keepNext w:val="0"/>
        <w:keepLines w:val="0"/>
        <w:widowControl w:val="0"/>
        <w:kinsoku/>
        <w:wordWrap/>
        <w:overflowPunct/>
        <w:topLinePunct w:val="0"/>
        <w:autoSpaceDE/>
        <w:autoSpaceDN/>
        <w:bidi w:val="0"/>
        <w:adjustRightInd/>
        <w:spacing w:line="360" w:lineRule="auto"/>
        <w:ind w:left="420" w:leftChars="200" w:firstLine="105" w:firstLineChars="50"/>
        <w:textAlignment w:val="auto"/>
        <w:outlineLvl w:val="9"/>
        <w:rPr>
          <w:rFonts w:ascii="宋体" w:hAnsi="宋体" w:cs="宋体"/>
          <w:szCs w:val="24"/>
        </w:rPr>
      </w:pPr>
      <w:r>
        <w:rPr>
          <w:rFonts w:hint="eastAsia" w:ascii="宋体" w:hAnsi="宋体" w:cs="宋体"/>
          <w:szCs w:val="24"/>
        </w:rPr>
        <w:t>2.1.3 相关服务的范围和内容在附录A中约定。</w:t>
      </w:r>
    </w:p>
    <w:p>
      <w:pPr>
        <w:keepNext w:val="0"/>
        <w:keepLines w:val="0"/>
        <w:widowControl w:val="0"/>
        <w:kinsoku/>
        <w:wordWrap/>
        <w:overflowPunct/>
        <w:topLinePunct w:val="0"/>
        <w:autoSpaceDE/>
        <w:autoSpaceDN/>
        <w:bidi w:val="0"/>
        <w:adjustRightInd/>
        <w:spacing w:line="360" w:lineRule="auto"/>
        <w:ind w:firstLine="210" w:firstLineChars="100"/>
        <w:textAlignment w:val="auto"/>
        <w:outlineLvl w:val="9"/>
        <w:rPr>
          <w:rFonts w:ascii="宋体" w:hAnsi="宋体" w:cs="宋体"/>
          <w:szCs w:val="24"/>
        </w:rPr>
      </w:pPr>
      <w:r>
        <w:rPr>
          <w:rFonts w:hint="eastAsia" w:ascii="宋体" w:hAnsi="宋体" w:cs="宋体"/>
          <w:szCs w:val="24"/>
        </w:rPr>
        <w:t>2.2 监理与相关服务依据</w:t>
      </w:r>
    </w:p>
    <w:p>
      <w:pPr>
        <w:keepNext w:val="0"/>
        <w:keepLines w:val="0"/>
        <w:widowControl w:val="0"/>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szCs w:val="24"/>
        </w:rPr>
      </w:pPr>
      <w:r>
        <w:rPr>
          <w:rFonts w:hint="eastAsia" w:ascii="宋体" w:hAnsi="宋体" w:cs="宋体"/>
          <w:szCs w:val="24"/>
        </w:rPr>
        <w:t>2.2.1 监理依据包括：</w:t>
      </w:r>
    </w:p>
    <w:p>
      <w:pPr>
        <w:keepNext w:val="0"/>
        <w:keepLines w:val="0"/>
        <w:widowControl w:val="0"/>
        <w:kinsoku/>
        <w:wordWrap/>
        <w:overflowPunct/>
        <w:topLinePunct w:val="0"/>
        <w:autoSpaceDE/>
        <w:autoSpaceDN/>
        <w:bidi w:val="0"/>
        <w:adjustRightInd/>
        <w:snapToGrid w:val="0"/>
        <w:spacing w:line="360" w:lineRule="auto"/>
        <w:ind w:firstLine="525" w:firstLineChars="250"/>
        <w:textAlignment w:val="auto"/>
        <w:outlineLvl w:val="9"/>
        <w:rPr>
          <w:rFonts w:ascii="宋体" w:hAnsi="宋体" w:cs="宋体"/>
          <w:szCs w:val="24"/>
        </w:rPr>
      </w:pPr>
      <w:r>
        <w:rPr>
          <w:rFonts w:hint="eastAsia" w:ascii="宋体" w:hAnsi="宋体" w:cs="宋体"/>
          <w:szCs w:val="24"/>
        </w:rPr>
        <w:t>（1）适用的法律、行政法规及部门规章；</w:t>
      </w:r>
    </w:p>
    <w:p>
      <w:pPr>
        <w:keepNext w:val="0"/>
        <w:keepLines w:val="0"/>
        <w:widowControl w:val="0"/>
        <w:kinsoku/>
        <w:wordWrap/>
        <w:overflowPunct/>
        <w:topLinePunct w:val="0"/>
        <w:autoSpaceDE/>
        <w:autoSpaceDN/>
        <w:bidi w:val="0"/>
        <w:adjustRightInd/>
        <w:snapToGrid w:val="0"/>
        <w:spacing w:line="360" w:lineRule="auto"/>
        <w:ind w:firstLine="525" w:firstLineChars="250"/>
        <w:textAlignment w:val="auto"/>
        <w:outlineLvl w:val="9"/>
        <w:rPr>
          <w:rFonts w:ascii="宋体" w:hAnsi="宋体" w:cs="宋体"/>
          <w:szCs w:val="24"/>
        </w:rPr>
      </w:pPr>
      <w:r>
        <w:rPr>
          <w:rFonts w:hint="eastAsia" w:ascii="宋体" w:hAnsi="宋体" w:cs="宋体"/>
          <w:szCs w:val="24"/>
        </w:rPr>
        <w:t>（2）与工程有关的标准；</w:t>
      </w:r>
    </w:p>
    <w:p>
      <w:pPr>
        <w:keepNext w:val="0"/>
        <w:keepLines w:val="0"/>
        <w:widowControl w:val="0"/>
        <w:kinsoku/>
        <w:wordWrap/>
        <w:overflowPunct/>
        <w:topLinePunct w:val="0"/>
        <w:autoSpaceDE/>
        <w:autoSpaceDN/>
        <w:bidi w:val="0"/>
        <w:adjustRightInd/>
        <w:snapToGrid w:val="0"/>
        <w:spacing w:line="360" w:lineRule="auto"/>
        <w:ind w:firstLine="525" w:firstLineChars="250"/>
        <w:textAlignment w:val="auto"/>
        <w:outlineLvl w:val="9"/>
        <w:rPr>
          <w:rFonts w:ascii="宋体" w:hAnsi="宋体" w:cs="宋体"/>
          <w:szCs w:val="24"/>
        </w:rPr>
      </w:pPr>
      <w:r>
        <w:rPr>
          <w:rFonts w:hint="eastAsia" w:ascii="宋体" w:hAnsi="宋体" w:cs="宋体"/>
          <w:szCs w:val="24"/>
        </w:rPr>
        <w:t>（3）工程设计及有关文件；</w:t>
      </w:r>
    </w:p>
    <w:p>
      <w:pPr>
        <w:keepNext w:val="0"/>
        <w:keepLines w:val="0"/>
        <w:widowControl w:val="0"/>
        <w:kinsoku/>
        <w:wordWrap/>
        <w:overflowPunct/>
        <w:topLinePunct w:val="0"/>
        <w:autoSpaceDE/>
        <w:autoSpaceDN/>
        <w:bidi w:val="0"/>
        <w:adjustRightInd/>
        <w:snapToGrid w:val="0"/>
        <w:spacing w:line="360" w:lineRule="auto"/>
        <w:ind w:firstLine="525" w:firstLineChars="250"/>
        <w:textAlignment w:val="auto"/>
        <w:outlineLvl w:val="9"/>
        <w:rPr>
          <w:rFonts w:ascii="宋体" w:hAnsi="宋体" w:cs="宋体"/>
          <w:szCs w:val="24"/>
        </w:rPr>
      </w:pPr>
      <w:r>
        <w:rPr>
          <w:rFonts w:hint="eastAsia" w:ascii="宋体" w:hAnsi="宋体" w:cs="宋体"/>
          <w:szCs w:val="24"/>
        </w:rPr>
        <w:t>（4）本合同及委托人与第三方签订的与实施工程有关的其他合同。</w:t>
      </w:r>
    </w:p>
    <w:p>
      <w:pPr>
        <w:keepNext w:val="0"/>
        <w:keepLines w:val="0"/>
        <w:widowControl w:val="0"/>
        <w:kinsoku/>
        <w:wordWrap/>
        <w:overflowPunct/>
        <w:topLinePunct w:val="0"/>
        <w:autoSpaceDE/>
        <w:autoSpaceDN/>
        <w:bidi w:val="0"/>
        <w:adjustRightInd/>
        <w:spacing w:line="360" w:lineRule="auto"/>
        <w:ind w:left="210" w:leftChars="100" w:firstLine="420" w:firstLineChars="200"/>
        <w:textAlignment w:val="auto"/>
        <w:outlineLvl w:val="9"/>
        <w:rPr>
          <w:rFonts w:ascii="宋体" w:hAnsi="宋体" w:cs="宋体"/>
          <w:szCs w:val="24"/>
        </w:rPr>
      </w:pPr>
      <w:r>
        <w:rPr>
          <w:rFonts w:hint="eastAsia" w:ascii="宋体" w:hAnsi="宋体" w:cs="宋体"/>
          <w:szCs w:val="24"/>
        </w:rPr>
        <w:t>双方根据工程的行业和地域特点，在专用条件中具体约定监理依据。</w:t>
      </w:r>
    </w:p>
    <w:p>
      <w:pPr>
        <w:keepNext w:val="0"/>
        <w:keepLines w:val="0"/>
        <w:widowControl w:val="0"/>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szCs w:val="24"/>
        </w:rPr>
      </w:pPr>
      <w:r>
        <w:rPr>
          <w:rFonts w:hint="eastAsia" w:ascii="宋体" w:hAnsi="宋体" w:cs="宋体"/>
          <w:szCs w:val="24"/>
        </w:rPr>
        <w:t>2.2.2 相关服务依据在专用条件中约定。</w:t>
      </w:r>
    </w:p>
    <w:p>
      <w:pPr>
        <w:keepNext w:val="0"/>
        <w:keepLines w:val="0"/>
        <w:widowControl w:val="0"/>
        <w:kinsoku/>
        <w:wordWrap/>
        <w:overflowPunct/>
        <w:topLinePunct w:val="0"/>
        <w:autoSpaceDE/>
        <w:autoSpaceDN/>
        <w:bidi w:val="0"/>
        <w:adjustRightInd/>
        <w:spacing w:line="360" w:lineRule="auto"/>
        <w:ind w:firstLine="210" w:firstLineChars="100"/>
        <w:textAlignment w:val="auto"/>
        <w:outlineLvl w:val="9"/>
        <w:rPr>
          <w:rFonts w:ascii="宋体" w:hAnsi="宋体" w:cs="宋体"/>
          <w:szCs w:val="24"/>
        </w:rPr>
      </w:pPr>
      <w:r>
        <w:rPr>
          <w:rFonts w:hint="eastAsia" w:ascii="宋体" w:hAnsi="宋体" w:cs="宋体"/>
          <w:szCs w:val="24"/>
        </w:rPr>
        <w:t>2.3 项目监理机构和人员</w:t>
      </w:r>
    </w:p>
    <w:p>
      <w:pPr>
        <w:keepNext w:val="0"/>
        <w:keepLines w:val="0"/>
        <w:widowControl w:val="0"/>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szCs w:val="24"/>
        </w:rPr>
      </w:pPr>
      <w:r>
        <w:rPr>
          <w:rFonts w:hint="eastAsia" w:ascii="宋体" w:hAnsi="宋体" w:cs="宋体"/>
          <w:szCs w:val="24"/>
        </w:rPr>
        <w:t>2.3.1 监理人应组建满足工作需要的项目监理机构，配备必要的检测设备。项目监理机构的主要人员应具有相应的资格条件。</w:t>
      </w:r>
    </w:p>
    <w:p>
      <w:pPr>
        <w:keepNext w:val="0"/>
        <w:keepLines w:val="0"/>
        <w:widowControl w:val="0"/>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szCs w:val="24"/>
        </w:rPr>
      </w:pPr>
      <w:r>
        <w:rPr>
          <w:rFonts w:hint="eastAsia" w:ascii="宋体" w:hAnsi="宋体" w:cs="宋体"/>
          <w:szCs w:val="24"/>
        </w:rPr>
        <w:t>2.3.2本合同履行过程中，总监理工程师及重要岗位监理人员应保持相对稳定，以保证监理工作正常进行。</w:t>
      </w:r>
    </w:p>
    <w:p>
      <w:pPr>
        <w:keepNext w:val="0"/>
        <w:keepLines w:val="0"/>
        <w:widowControl w:val="0"/>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szCs w:val="24"/>
        </w:rPr>
      </w:pPr>
      <w:r>
        <w:rPr>
          <w:rFonts w:hint="eastAsia" w:ascii="宋体" w:hAnsi="宋体" w:cs="宋体"/>
          <w:szCs w:val="24"/>
        </w:rPr>
        <w:t>2.3.3监理人可根据工程进展和工作需要调整项目监理机构人员。监理人更换总监理工程师时，应提前7天向委托人书面报告，经委托人同意后方可更换；监理人更换项目监理机构其他监理人员，应以相当资格与能力的人员替换，并通知委托人。</w:t>
      </w:r>
    </w:p>
    <w:p>
      <w:pPr>
        <w:keepNext w:val="0"/>
        <w:keepLines w:val="0"/>
        <w:widowControl w:val="0"/>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szCs w:val="24"/>
        </w:rPr>
      </w:pPr>
      <w:r>
        <w:rPr>
          <w:rFonts w:hint="eastAsia" w:ascii="宋体" w:hAnsi="宋体" w:cs="宋体"/>
          <w:szCs w:val="24"/>
        </w:rPr>
        <w:t>2.3.4 监理人应及时更换有下列情形之一的监理人员：</w:t>
      </w:r>
    </w:p>
    <w:p>
      <w:pPr>
        <w:keepNext w:val="0"/>
        <w:keepLines w:val="0"/>
        <w:widowControl w:val="0"/>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szCs w:val="24"/>
        </w:rPr>
      </w:pPr>
      <w:r>
        <w:rPr>
          <w:rFonts w:hint="eastAsia" w:ascii="宋体" w:hAnsi="宋体" w:cs="宋体"/>
          <w:szCs w:val="24"/>
        </w:rPr>
        <w:t>（1）严重过失行为的；</w:t>
      </w:r>
    </w:p>
    <w:p>
      <w:pPr>
        <w:keepNext w:val="0"/>
        <w:keepLines w:val="0"/>
        <w:widowControl w:val="0"/>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szCs w:val="24"/>
        </w:rPr>
      </w:pPr>
      <w:r>
        <w:rPr>
          <w:rFonts w:hint="eastAsia" w:ascii="宋体" w:hAnsi="宋体" w:cs="宋体"/>
          <w:szCs w:val="24"/>
        </w:rPr>
        <w:t>（2）有违法行为不能履行职责的；</w:t>
      </w:r>
    </w:p>
    <w:p>
      <w:pPr>
        <w:keepNext w:val="0"/>
        <w:keepLines w:val="0"/>
        <w:widowControl w:val="0"/>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szCs w:val="24"/>
        </w:rPr>
      </w:pPr>
      <w:r>
        <w:rPr>
          <w:rFonts w:hint="eastAsia" w:ascii="宋体" w:hAnsi="宋体" w:cs="宋体"/>
          <w:szCs w:val="24"/>
        </w:rPr>
        <w:t>（3）涉嫌犯罪的；</w:t>
      </w:r>
    </w:p>
    <w:p>
      <w:pPr>
        <w:keepNext w:val="0"/>
        <w:keepLines w:val="0"/>
        <w:widowControl w:val="0"/>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szCs w:val="24"/>
        </w:rPr>
      </w:pPr>
      <w:r>
        <w:rPr>
          <w:rFonts w:hint="eastAsia" w:ascii="宋体" w:hAnsi="宋体" w:cs="宋体"/>
          <w:szCs w:val="24"/>
        </w:rPr>
        <w:t>（4）不能胜任岗位职责的；</w:t>
      </w:r>
    </w:p>
    <w:p>
      <w:pPr>
        <w:keepNext w:val="0"/>
        <w:keepLines w:val="0"/>
        <w:widowControl w:val="0"/>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szCs w:val="24"/>
        </w:rPr>
      </w:pPr>
      <w:r>
        <w:rPr>
          <w:rFonts w:hint="eastAsia" w:ascii="宋体" w:hAnsi="宋体" w:cs="宋体"/>
          <w:szCs w:val="24"/>
        </w:rPr>
        <w:t>（5）严重违反职业道德的；</w:t>
      </w:r>
    </w:p>
    <w:p>
      <w:pPr>
        <w:keepNext w:val="0"/>
        <w:keepLines w:val="0"/>
        <w:widowControl w:val="0"/>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szCs w:val="24"/>
        </w:rPr>
      </w:pPr>
      <w:r>
        <w:rPr>
          <w:rFonts w:hint="eastAsia" w:ascii="宋体" w:hAnsi="宋体" w:cs="宋体"/>
          <w:szCs w:val="24"/>
        </w:rPr>
        <w:t>（6）专用条件约定的其他情形。</w:t>
      </w:r>
    </w:p>
    <w:p>
      <w:pPr>
        <w:keepNext w:val="0"/>
        <w:keepLines w:val="0"/>
        <w:widowControl w:val="0"/>
        <w:kinsoku/>
        <w:wordWrap/>
        <w:overflowPunct/>
        <w:topLinePunct w:val="0"/>
        <w:autoSpaceDE/>
        <w:autoSpaceDN/>
        <w:bidi w:val="0"/>
        <w:adjustRightInd/>
        <w:spacing w:line="360" w:lineRule="auto"/>
        <w:ind w:firstLine="420" w:firstLineChars="200"/>
        <w:textAlignment w:val="auto"/>
        <w:outlineLvl w:val="9"/>
        <w:rPr>
          <w:rFonts w:ascii="宋体" w:hAnsi="宋体" w:cs="宋体"/>
          <w:szCs w:val="24"/>
        </w:rPr>
      </w:pPr>
      <w:r>
        <w:rPr>
          <w:rFonts w:hint="eastAsia" w:ascii="宋体" w:hAnsi="宋体" w:cs="宋体"/>
          <w:szCs w:val="24"/>
        </w:rPr>
        <w:t>2.3.5 委托人可要求监理人更换不能胜任本职工作的项目监理机构人员。</w:t>
      </w:r>
    </w:p>
    <w:p>
      <w:pPr>
        <w:keepNext w:val="0"/>
        <w:keepLines w:val="0"/>
        <w:widowControl w:val="0"/>
        <w:kinsoku/>
        <w:wordWrap/>
        <w:overflowPunct/>
        <w:topLinePunct w:val="0"/>
        <w:autoSpaceDE/>
        <w:autoSpaceDN/>
        <w:bidi w:val="0"/>
        <w:adjustRightInd/>
        <w:spacing w:line="360" w:lineRule="auto"/>
        <w:ind w:left="210" w:leftChars="100"/>
        <w:textAlignment w:val="auto"/>
        <w:outlineLvl w:val="9"/>
        <w:rPr>
          <w:rFonts w:ascii="宋体" w:hAnsi="宋体" w:cs="宋体"/>
          <w:szCs w:val="24"/>
        </w:rPr>
      </w:pPr>
      <w:r>
        <w:rPr>
          <w:rFonts w:hint="eastAsia" w:ascii="宋体" w:hAnsi="宋体" w:cs="宋体"/>
          <w:szCs w:val="24"/>
        </w:rPr>
        <w:t>2.4 履行职责</w:t>
      </w:r>
    </w:p>
    <w:p>
      <w:pPr>
        <w:keepNext w:val="0"/>
        <w:keepLines w:val="0"/>
        <w:widowControl w:val="0"/>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szCs w:val="24"/>
        </w:rPr>
      </w:pPr>
      <w:r>
        <w:rPr>
          <w:rFonts w:hint="eastAsia" w:ascii="宋体" w:hAnsi="宋体" w:cs="宋体"/>
          <w:szCs w:val="24"/>
        </w:rPr>
        <w:t>监理人应遵循职业道德准则和行为规范，严格按照法律法规、工程建设有关标准及本合同履行职责。</w:t>
      </w:r>
    </w:p>
    <w:p>
      <w:pPr>
        <w:keepNext w:val="0"/>
        <w:keepLines w:val="0"/>
        <w:widowControl w:val="0"/>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szCs w:val="24"/>
        </w:rPr>
      </w:pPr>
      <w:r>
        <w:rPr>
          <w:rFonts w:hint="eastAsia" w:ascii="宋体" w:hAnsi="宋体" w:cs="宋体"/>
          <w:szCs w:val="24"/>
        </w:rPr>
        <w:t>2.4.1 在监理与相关服务范围内，委托人和承包人提出的意见和要求，监理人应及时提出处置意见。当委托人与承包人之间发生合同争议时，监理人应协助委托人、承包人协商解决。</w:t>
      </w:r>
    </w:p>
    <w:p>
      <w:pPr>
        <w:keepNext w:val="0"/>
        <w:keepLines w:val="0"/>
        <w:widowControl w:val="0"/>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szCs w:val="24"/>
        </w:rPr>
      </w:pPr>
      <w:r>
        <w:rPr>
          <w:rFonts w:hint="eastAsia" w:ascii="宋体" w:hAnsi="宋体" w:cs="宋体"/>
          <w:szCs w:val="24"/>
        </w:rPr>
        <w:t>2.4.2 当委托人与承包人之间的合同争议提交仲裁机构仲裁或人民法院审理时，监理人应提供必要的证明资料。</w:t>
      </w:r>
    </w:p>
    <w:p>
      <w:pPr>
        <w:keepNext w:val="0"/>
        <w:keepLines w:val="0"/>
        <w:widowControl w:val="0"/>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szCs w:val="24"/>
        </w:rPr>
      </w:pPr>
      <w:r>
        <w:rPr>
          <w:rFonts w:hint="eastAsia" w:ascii="宋体" w:hAnsi="宋体" w:cs="宋体"/>
          <w:szCs w:val="24"/>
        </w:rPr>
        <w:t>2.4.3 监理人应在专用条件约定的授权范围内，处理委托人与承包人所签订合同的变更事宜。如果变更超过授权范围，应以书面形式报委托人批准。</w:t>
      </w:r>
    </w:p>
    <w:p>
      <w:pPr>
        <w:keepNext w:val="0"/>
        <w:keepLines w:val="0"/>
        <w:widowControl w:val="0"/>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szCs w:val="24"/>
        </w:rPr>
      </w:pPr>
      <w:r>
        <w:rPr>
          <w:rFonts w:hint="eastAsia" w:ascii="宋体" w:hAnsi="宋体" w:cs="宋体"/>
          <w:szCs w:val="24"/>
        </w:rPr>
        <w:t>在紧急情况下，为了保护财产和人身安全，监理人所发出的指令未能事先报委托人批准时，应在发出指令后的24小时内以书面形式报委托人。</w:t>
      </w:r>
    </w:p>
    <w:p>
      <w:pPr>
        <w:keepNext w:val="0"/>
        <w:keepLines w:val="0"/>
        <w:widowControl w:val="0"/>
        <w:kinsoku/>
        <w:wordWrap/>
        <w:overflowPunct/>
        <w:topLinePunct w:val="0"/>
        <w:autoSpaceDE/>
        <w:autoSpaceDN/>
        <w:bidi w:val="0"/>
        <w:adjustRightInd/>
        <w:spacing w:line="360" w:lineRule="auto"/>
        <w:ind w:firstLine="420" w:firstLineChars="200"/>
        <w:textAlignment w:val="auto"/>
        <w:outlineLvl w:val="9"/>
        <w:rPr>
          <w:rFonts w:ascii="宋体" w:hAnsi="宋体" w:cs="宋体"/>
          <w:szCs w:val="24"/>
        </w:rPr>
      </w:pPr>
      <w:r>
        <w:rPr>
          <w:rFonts w:hint="eastAsia" w:ascii="宋体" w:hAnsi="宋体" w:cs="宋体"/>
          <w:szCs w:val="24"/>
        </w:rPr>
        <w:t>2.4.4 除专用条件另有约定外，监理人发现承包人的人员不能胜任本职工作的，有权要求承包人予以调换。</w:t>
      </w:r>
    </w:p>
    <w:p>
      <w:pPr>
        <w:keepNext w:val="0"/>
        <w:keepLines w:val="0"/>
        <w:widowControl w:val="0"/>
        <w:kinsoku/>
        <w:wordWrap/>
        <w:overflowPunct/>
        <w:topLinePunct w:val="0"/>
        <w:autoSpaceDE/>
        <w:autoSpaceDN/>
        <w:bidi w:val="0"/>
        <w:adjustRightInd/>
        <w:spacing w:line="360" w:lineRule="auto"/>
        <w:ind w:left="210" w:leftChars="100"/>
        <w:textAlignment w:val="auto"/>
        <w:outlineLvl w:val="9"/>
        <w:rPr>
          <w:rFonts w:ascii="宋体" w:hAnsi="宋体" w:cs="宋体"/>
          <w:szCs w:val="24"/>
        </w:rPr>
      </w:pPr>
      <w:r>
        <w:rPr>
          <w:rFonts w:hint="eastAsia" w:ascii="宋体" w:hAnsi="宋体" w:cs="宋体"/>
          <w:szCs w:val="24"/>
        </w:rPr>
        <w:t>2.5 提交报告</w:t>
      </w:r>
    </w:p>
    <w:p>
      <w:pPr>
        <w:keepNext w:val="0"/>
        <w:keepLines w:val="0"/>
        <w:widowControl w:val="0"/>
        <w:kinsoku/>
        <w:wordWrap/>
        <w:overflowPunct/>
        <w:topLinePunct w:val="0"/>
        <w:autoSpaceDE/>
        <w:autoSpaceDN/>
        <w:bidi w:val="0"/>
        <w:adjustRightInd/>
        <w:spacing w:line="360" w:lineRule="auto"/>
        <w:ind w:firstLine="420" w:firstLineChars="200"/>
        <w:textAlignment w:val="auto"/>
        <w:outlineLvl w:val="9"/>
        <w:rPr>
          <w:rFonts w:ascii="宋体" w:hAnsi="宋体" w:cs="宋体"/>
          <w:szCs w:val="24"/>
        </w:rPr>
      </w:pPr>
      <w:r>
        <w:rPr>
          <w:rFonts w:hint="eastAsia" w:ascii="宋体" w:hAnsi="宋体" w:cs="宋体"/>
          <w:szCs w:val="24"/>
        </w:rPr>
        <w:t>监理人应按专用条件约定的种类、时间和份数向委托人提交监理与相关服务的报告。</w:t>
      </w:r>
    </w:p>
    <w:p>
      <w:pPr>
        <w:keepNext w:val="0"/>
        <w:keepLines w:val="0"/>
        <w:widowControl w:val="0"/>
        <w:kinsoku/>
        <w:wordWrap/>
        <w:overflowPunct/>
        <w:topLinePunct w:val="0"/>
        <w:autoSpaceDE/>
        <w:autoSpaceDN/>
        <w:bidi w:val="0"/>
        <w:adjustRightInd/>
        <w:spacing w:line="360" w:lineRule="auto"/>
        <w:ind w:left="210" w:leftChars="100"/>
        <w:textAlignment w:val="auto"/>
        <w:outlineLvl w:val="9"/>
        <w:rPr>
          <w:rFonts w:ascii="宋体" w:hAnsi="宋体" w:cs="宋体"/>
          <w:szCs w:val="24"/>
        </w:rPr>
      </w:pPr>
      <w:r>
        <w:rPr>
          <w:rFonts w:hint="eastAsia" w:ascii="宋体" w:hAnsi="宋体" w:cs="宋体"/>
          <w:szCs w:val="24"/>
        </w:rPr>
        <w:t>2.6 文件资料</w:t>
      </w:r>
    </w:p>
    <w:p>
      <w:pPr>
        <w:keepNext w:val="0"/>
        <w:keepLines w:val="0"/>
        <w:widowControl w:val="0"/>
        <w:kinsoku/>
        <w:wordWrap/>
        <w:overflowPunct/>
        <w:topLinePunct w:val="0"/>
        <w:autoSpaceDE/>
        <w:autoSpaceDN/>
        <w:bidi w:val="0"/>
        <w:adjustRightInd/>
        <w:spacing w:line="360" w:lineRule="auto"/>
        <w:ind w:firstLine="420" w:firstLineChars="200"/>
        <w:textAlignment w:val="auto"/>
        <w:outlineLvl w:val="9"/>
        <w:rPr>
          <w:rFonts w:ascii="宋体" w:hAnsi="宋体" w:cs="宋体"/>
          <w:szCs w:val="24"/>
        </w:rPr>
      </w:pPr>
      <w:r>
        <w:rPr>
          <w:rFonts w:hint="eastAsia" w:ascii="宋体" w:hAnsi="宋体" w:cs="宋体"/>
          <w:szCs w:val="24"/>
        </w:rPr>
        <w:t>在本合同履行期内，监理人应在现场保留工作所用的图纸、报告及记录监理工作的相关文件。工程竣工后，应当按照档案管理规定将监理有关文件归档。</w:t>
      </w:r>
    </w:p>
    <w:p>
      <w:pPr>
        <w:keepNext w:val="0"/>
        <w:keepLines w:val="0"/>
        <w:widowControl w:val="0"/>
        <w:kinsoku/>
        <w:wordWrap/>
        <w:overflowPunct/>
        <w:topLinePunct w:val="0"/>
        <w:autoSpaceDE/>
        <w:autoSpaceDN/>
        <w:bidi w:val="0"/>
        <w:adjustRightInd/>
        <w:spacing w:line="360" w:lineRule="auto"/>
        <w:ind w:left="210" w:leftChars="100"/>
        <w:textAlignment w:val="auto"/>
        <w:outlineLvl w:val="9"/>
        <w:rPr>
          <w:rFonts w:ascii="宋体" w:hAnsi="宋体" w:cs="宋体"/>
          <w:szCs w:val="24"/>
        </w:rPr>
      </w:pPr>
      <w:r>
        <w:rPr>
          <w:rFonts w:hint="eastAsia" w:ascii="宋体" w:hAnsi="宋体" w:cs="宋体"/>
          <w:szCs w:val="24"/>
        </w:rPr>
        <w:t>2.7 使用委托人的财产</w:t>
      </w:r>
    </w:p>
    <w:p>
      <w:pPr>
        <w:keepNext w:val="0"/>
        <w:keepLines w:val="0"/>
        <w:widowControl w:val="0"/>
        <w:kinsoku/>
        <w:wordWrap/>
        <w:overflowPunct/>
        <w:topLinePunct w:val="0"/>
        <w:autoSpaceDE/>
        <w:autoSpaceDN/>
        <w:bidi w:val="0"/>
        <w:adjustRightInd/>
        <w:spacing w:line="360" w:lineRule="auto"/>
        <w:ind w:firstLine="420" w:firstLineChars="200"/>
        <w:textAlignment w:val="auto"/>
        <w:outlineLvl w:val="9"/>
        <w:rPr>
          <w:rFonts w:ascii="宋体" w:hAnsi="宋体" w:cs="宋体"/>
          <w:szCs w:val="24"/>
        </w:rPr>
      </w:pPr>
      <w:r>
        <w:rPr>
          <w:rFonts w:hint="eastAsia" w:ascii="宋体" w:hAnsi="宋体" w:cs="宋体"/>
          <w:szCs w:val="24"/>
        </w:rPr>
        <w:t>监理人无偿使用附录B中由委托人派遣的人员和提供的房屋、资料、设备。除专用条件另有约定外，委托人提供的房屋、设备属于委托人的财产，监理人应妥善使用和保管，在本合同终止时将这些房屋、设备的清单提交委托人，并按专用条件约定的时间和方式移交。</w:t>
      </w:r>
    </w:p>
    <w:p>
      <w:pPr>
        <w:keepNext w:val="0"/>
        <w:keepLines w:val="0"/>
        <w:widowControl w:val="0"/>
        <w:kinsoku/>
        <w:wordWrap/>
        <w:overflowPunct/>
        <w:topLinePunct w:val="0"/>
        <w:autoSpaceDE/>
        <w:autoSpaceDN/>
        <w:bidi w:val="0"/>
        <w:adjustRightInd/>
        <w:spacing w:line="360" w:lineRule="auto"/>
        <w:textAlignment w:val="auto"/>
        <w:outlineLvl w:val="9"/>
        <w:rPr>
          <w:rFonts w:ascii="宋体" w:hAnsi="宋体" w:cs="宋体"/>
          <w:b/>
          <w:szCs w:val="24"/>
        </w:rPr>
      </w:pPr>
      <w:r>
        <w:rPr>
          <w:rFonts w:hint="eastAsia" w:ascii="宋体" w:hAnsi="宋体" w:cs="宋体"/>
          <w:b/>
          <w:szCs w:val="24"/>
        </w:rPr>
        <w:t>3．委托人的义务</w:t>
      </w:r>
    </w:p>
    <w:p>
      <w:pPr>
        <w:keepNext w:val="0"/>
        <w:keepLines w:val="0"/>
        <w:widowControl w:val="0"/>
        <w:kinsoku/>
        <w:wordWrap/>
        <w:overflowPunct/>
        <w:topLinePunct w:val="0"/>
        <w:autoSpaceDE/>
        <w:autoSpaceDN/>
        <w:bidi w:val="0"/>
        <w:adjustRightInd/>
        <w:spacing w:line="360" w:lineRule="auto"/>
        <w:ind w:left="210" w:leftChars="100"/>
        <w:textAlignment w:val="auto"/>
        <w:outlineLvl w:val="9"/>
        <w:rPr>
          <w:rFonts w:ascii="宋体" w:hAnsi="宋体" w:cs="宋体"/>
          <w:szCs w:val="24"/>
        </w:rPr>
      </w:pPr>
      <w:r>
        <w:rPr>
          <w:rFonts w:hint="eastAsia" w:ascii="宋体" w:hAnsi="宋体" w:cs="宋体"/>
          <w:szCs w:val="24"/>
        </w:rPr>
        <w:t>3.1 告知</w:t>
      </w:r>
    </w:p>
    <w:p>
      <w:pPr>
        <w:keepNext w:val="0"/>
        <w:keepLines w:val="0"/>
        <w:widowControl w:val="0"/>
        <w:kinsoku/>
        <w:wordWrap/>
        <w:overflowPunct/>
        <w:topLinePunct w:val="0"/>
        <w:autoSpaceDE/>
        <w:autoSpaceDN/>
        <w:bidi w:val="0"/>
        <w:adjustRightInd/>
        <w:spacing w:line="360" w:lineRule="auto"/>
        <w:ind w:firstLine="420" w:firstLineChars="200"/>
        <w:textAlignment w:val="auto"/>
        <w:outlineLvl w:val="9"/>
        <w:rPr>
          <w:rFonts w:ascii="宋体" w:hAnsi="宋体" w:cs="宋体"/>
          <w:szCs w:val="24"/>
        </w:rPr>
      </w:pPr>
      <w:r>
        <w:rPr>
          <w:rFonts w:hint="eastAsia" w:ascii="宋体" w:hAnsi="宋体" w:cs="宋体"/>
          <w:szCs w:val="24"/>
        </w:rPr>
        <w:t>委托人应在委托人与承包人签订的合同中明确监理人、总监理工程师和授予项目监理机构的权限。如有变更，应及时通知承包人。</w:t>
      </w:r>
    </w:p>
    <w:p>
      <w:pPr>
        <w:keepNext w:val="0"/>
        <w:keepLines w:val="0"/>
        <w:widowControl w:val="0"/>
        <w:kinsoku/>
        <w:wordWrap/>
        <w:overflowPunct/>
        <w:topLinePunct w:val="0"/>
        <w:autoSpaceDE/>
        <w:autoSpaceDN/>
        <w:bidi w:val="0"/>
        <w:adjustRightInd/>
        <w:spacing w:line="360" w:lineRule="auto"/>
        <w:ind w:left="210" w:leftChars="100"/>
        <w:textAlignment w:val="auto"/>
        <w:outlineLvl w:val="9"/>
        <w:rPr>
          <w:rFonts w:ascii="宋体" w:hAnsi="宋体" w:cs="宋体"/>
          <w:szCs w:val="24"/>
        </w:rPr>
      </w:pPr>
      <w:r>
        <w:rPr>
          <w:rFonts w:hint="eastAsia" w:ascii="宋体" w:hAnsi="宋体" w:cs="宋体"/>
          <w:szCs w:val="24"/>
        </w:rPr>
        <w:t>3.2 提供资料</w:t>
      </w:r>
    </w:p>
    <w:p>
      <w:pPr>
        <w:keepNext w:val="0"/>
        <w:keepLines w:val="0"/>
        <w:widowControl w:val="0"/>
        <w:kinsoku/>
        <w:wordWrap/>
        <w:overflowPunct/>
        <w:topLinePunct w:val="0"/>
        <w:autoSpaceDE/>
        <w:autoSpaceDN/>
        <w:bidi w:val="0"/>
        <w:adjustRightInd/>
        <w:spacing w:line="360" w:lineRule="auto"/>
        <w:ind w:firstLine="420" w:firstLineChars="200"/>
        <w:textAlignment w:val="auto"/>
        <w:outlineLvl w:val="9"/>
        <w:rPr>
          <w:rFonts w:ascii="宋体" w:hAnsi="宋体" w:cs="宋体"/>
          <w:szCs w:val="24"/>
        </w:rPr>
      </w:pPr>
      <w:r>
        <w:rPr>
          <w:rFonts w:hint="eastAsia" w:ascii="宋体" w:hAnsi="宋体" w:cs="宋体"/>
          <w:szCs w:val="24"/>
        </w:rPr>
        <w:t>委托人应按照附录B约定，无偿向监理人提供工程有关的资料。在本合同履行过程中，委托人应及时向监理人提供最新的与工程有关的资料。</w:t>
      </w:r>
    </w:p>
    <w:p>
      <w:pPr>
        <w:keepNext w:val="0"/>
        <w:keepLines w:val="0"/>
        <w:widowControl w:val="0"/>
        <w:kinsoku/>
        <w:wordWrap/>
        <w:overflowPunct/>
        <w:topLinePunct w:val="0"/>
        <w:autoSpaceDE/>
        <w:autoSpaceDN/>
        <w:bidi w:val="0"/>
        <w:adjustRightInd/>
        <w:spacing w:line="360" w:lineRule="auto"/>
        <w:ind w:left="210" w:leftChars="100"/>
        <w:textAlignment w:val="auto"/>
        <w:outlineLvl w:val="9"/>
        <w:rPr>
          <w:rFonts w:ascii="宋体" w:hAnsi="宋体" w:cs="宋体"/>
          <w:szCs w:val="24"/>
        </w:rPr>
      </w:pPr>
      <w:r>
        <w:rPr>
          <w:rFonts w:hint="eastAsia" w:ascii="宋体" w:hAnsi="宋体" w:cs="宋体"/>
          <w:szCs w:val="24"/>
        </w:rPr>
        <w:t>3.3 提供工作条件</w:t>
      </w:r>
    </w:p>
    <w:p>
      <w:pPr>
        <w:keepNext w:val="0"/>
        <w:keepLines w:val="0"/>
        <w:widowControl w:val="0"/>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szCs w:val="24"/>
        </w:rPr>
      </w:pPr>
      <w:r>
        <w:rPr>
          <w:rFonts w:hint="eastAsia" w:ascii="宋体" w:hAnsi="宋体" w:cs="宋体"/>
          <w:szCs w:val="24"/>
        </w:rPr>
        <w:t>委托人应为监理人完成监理与相关服务提供必要的条件。</w:t>
      </w:r>
    </w:p>
    <w:p>
      <w:pPr>
        <w:keepNext w:val="0"/>
        <w:keepLines w:val="0"/>
        <w:widowControl w:val="0"/>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szCs w:val="24"/>
        </w:rPr>
      </w:pPr>
      <w:r>
        <w:rPr>
          <w:rFonts w:hint="eastAsia" w:ascii="宋体" w:hAnsi="宋体" w:cs="宋体"/>
          <w:szCs w:val="24"/>
        </w:rPr>
        <w:t>3.3.1 委托人应按照附录B约定，派遣相应的人员，提供房屋、设备，供监理人无偿使用。</w:t>
      </w:r>
    </w:p>
    <w:p>
      <w:pPr>
        <w:keepNext w:val="0"/>
        <w:keepLines w:val="0"/>
        <w:widowControl w:val="0"/>
        <w:kinsoku/>
        <w:wordWrap/>
        <w:overflowPunct/>
        <w:topLinePunct w:val="0"/>
        <w:autoSpaceDE/>
        <w:autoSpaceDN/>
        <w:bidi w:val="0"/>
        <w:adjustRightInd/>
        <w:spacing w:line="360" w:lineRule="auto"/>
        <w:ind w:firstLine="420" w:firstLineChars="200"/>
        <w:textAlignment w:val="auto"/>
        <w:outlineLvl w:val="9"/>
        <w:rPr>
          <w:rFonts w:ascii="宋体" w:hAnsi="宋体" w:cs="宋体"/>
          <w:szCs w:val="24"/>
        </w:rPr>
      </w:pPr>
      <w:r>
        <w:rPr>
          <w:rFonts w:hint="eastAsia" w:ascii="宋体" w:hAnsi="宋体" w:cs="宋体"/>
          <w:szCs w:val="24"/>
        </w:rPr>
        <w:t>3.3.2 委托人应负责协调工程建设中所有外部关系，为监理人履行本合同提供必要的外部条件。</w:t>
      </w:r>
    </w:p>
    <w:p>
      <w:pPr>
        <w:keepNext w:val="0"/>
        <w:keepLines w:val="0"/>
        <w:widowControl w:val="0"/>
        <w:kinsoku/>
        <w:wordWrap/>
        <w:overflowPunct/>
        <w:topLinePunct w:val="0"/>
        <w:autoSpaceDE/>
        <w:autoSpaceDN/>
        <w:bidi w:val="0"/>
        <w:adjustRightInd/>
        <w:snapToGrid w:val="0"/>
        <w:spacing w:line="360" w:lineRule="auto"/>
        <w:ind w:left="210" w:leftChars="100"/>
        <w:textAlignment w:val="auto"/>
        <w:outlineLvl w:val="9"/>
        <w:rPr>
          <w:rFonts w:ascii="宋体" w:hAnsi="宋体" w:cs="宋体"/>
          <w:szCs w:val="24"/>
        </w:rPr>
      </w:pPr>
      <w:r>
        <w:rPr>
          <w:rFonts w:hint="eastAsia" w:ascii="宋体" w:hAnsi="宋体" w:cs="宋体"/>
          <w:szCs w:val="24"/>
        </w:rPr>
        <w:t>3.4 委托人代表</w:t>
      </w:r>
    </w:p>
    <w:p>
      <w:pPr>
        <w:keepNext w:val="0"/>
        <w:keepLines w:val="0"/>
        <w:widowControl w:val="0"/>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szCs w:val="24"/>
        </w:rPr>
      </w:pPr>
      <w:r>
        <w:rPr>
          <w:rFonts w:hint="eastAsia" w:ascii="宋体" w:hAnsi="宋体" w:cs="宋体"/>
          <w:szCs w:val="24"/>
        </w:rPr>
        <w:t>委托人应授权一名熟悉工程情况的代表，负责与监理人联系。委托人应在双方签订本合同后7天内，将委托人代表的姓名和职责书面告知监理人。当委托人更换委托人代表时，应提前7天通知监理人。</w:t>
      </w:r>
    </w:p>
    <w:p>
      <w:pPr>
        <w:keepNext w:val="0"/>
        <w:keepLines w:val="0"/>
        <w:widowControl w:val="0"/>
        <w:kinsoku/>
        <w:wordWrap/>
        <w:overflowPunct/>
        <w:topLinePunct w:val="0"/>
        <w:autoSpaceDE/>
        <w:autoSpaceDN/>
        <w:bidi w:val="0"/>
        <w:adjustRightInd/>
        <w:snapToGrid w:val="0"/>
        <w:spacing w:line="360" w:lineRule="auto"/>
        <w:ind w:left="210" w:leftChars="100"/>
        <w:textAlignment w:val="auto"/>
        <w:outlineLvl w:val="9"/>
        <w:rPr>
          <w:rFonts w:ascii="宋体" w:hAnsi="宋体" w:cs="宋体"/>
          <w:szCs w:val="24"/>
        </w:rPr>
      </w:pPr>
      <w:r>
        <w:rPr>
          <w:rFonts w:hint="eastAsia" w:ascii="宋体" w:hAnsi="宋体" w:cs="宋体"/>
          <w:szCs w:val="24"/>
        </w:rPr>
        <w:t>3.5 委托人意见或要求</w:t>
      </w:r>
    </w:p>
    <w:p>
      <w:pPr>
        <w:keepNext w:val="0"/>
        <w:keepLines w:val="0"/>
        <w:widowControl w:val="0"/>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szCs w:val="24"/>
        </w:rPr>
      </w:pPr>
      <w:r>
        <w:rPr>
          <w:rFonts w:hint="eastAsia" w:ascii="宋体" w:hAnsi="宋体" w:cs="宋体"/>
          <w:szCs w:val="24"/>
        </w:rPr>
        <w:t>在本合同约定的监理与相关服务工作范围内，委托人对承包人的任何意见或要求应通知监理人，由监理人向承包人发出相应指令。</w:t>
      </w:r>
    </w:p>
    <w:p>
      <w:pPr>
        <w:keepNext w:val="0"/>
        <w:keepLines w:val="0"/>
        <w:widowControl w:val="0"/>
        <w:kinsoku/>
        <w:wordWrap/>
        <w:overflowPunct/>
        <w:topLinePunct w:val="0"/>
        <w:autoSpaceDE/>
        <w:autoSpaceDN/>
        <w:bidi w:val="0"/>
        <w:adjustRightInd/>
        <w:snapToGrid w:val="0"/>
        <w:spacing w:line="360" w:lineRule="auto"/>
        <w:ind w:left="210" w:leftChars="100"/>
        <w:textAlignment w:val="auto"/>
        <w:outlineLvl w:val="9"/>
        <w:rPr>
          <w:rFonts w:ascii="宋体" w:hAnsi="宋体" w:cs="宋体"/>
          <w:szCs w:val="24"/>
        </w:rPr>
      </w:pPr>
      <w:r>
        <w:rPr>
          <w:rFonts w:hint="eastAsia" w:ascii="宋体" w:hAnsi="宋体" w:cs="宋体"/>
          <w:szCs w:val="24"/>
        </w:rPr>
        <w:t>3.6 答复</w:t>
      </w:r>
    </w:p>
    <w:p>
      <w:pPr>
        <w:keepNext w:val="0"/>
        <w:keepLines w:val="0"/>
        <w:widowControl w:val="0"/>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szCs w:val="24"/>
        </w:rPr>
      </w:pPr>
      <w:r>
        <w:rPr>
          <w:rFonts w:hint="eastAsia" w:ascii="宋体" w:hAnsi="宋体" w:cs="宋体"/>
          <w:szCs w:val="24"/>
        </w:rPr>
        <w:t>委托人应在专用条件约定的时间内，对监理人以书面形式提交并要求作出决定的事宜，给予书面答复。逾期未答复的，视为委托人认可。</w:t>
      </w:r>
    </w:p>
    <w:p>
      <w:pPr>
        <w:keepNext w:val="0"/>
        <w:keepLines w:val="0"/>
        <w:widowControl w:val="0"/>
        <w:kinsoku/>
        <w:wordWrap/>
        <w:overflowPunct/>
        <w:topLinePunct w:val="0"/>
        <w:autoSpaceDE/>
        <w:autoSpaceDN/>
        <w:bidi w:val="0"/>
        <w:adjustRightInd/>
        <w:snapToGrid w:val="0"/>
        <w:spacing w:line="360" w:lineRule="auto"/>
        <w:ind w:left="210" w:leftChars="100"/>
        <w:textAlignment w:val="auto"/>
        <w:outlineLvl w:val="9"/>
        <w:rPr>
          <w:rFonts w:ascii="宋体" w:hAnsi="宋体" w:cs="宋体"/>
          <w:szCs w:val="24"/>
        </w:rPr>
      </w:pPr>
      <w:r>
        <w:rPr>
          <w:rFonts w:hint="eastAsia" w:ascii="宋体" w:hAnsi="宋体" w:cs="宋体"/>
          <w:szCs w:val="24"/>
        </w:rPr>
        <w:t>3.7 支付</w:t>
      </w:r>
    </w:p>
    <w:p>
      <w:pPr>
        <w:keepNext w:val="0"/>
        <w:keepLines w:val="0"/>
        <w:widowControl w:val="0"/>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szCs w:val="24"/>
        </w:rPr>
      </w:pPr>
      <w:r>
        <w:rPr>
          <w:rFonts w:hint="eastAsia" w:ascii="宋体" w:hAnsi="宋体" w:cs="宋体"/>
          <w:szCs w:val="24"/>
        </w:rPr>
        <w:t>委托人应按本合同约定，向监理人支付酬金。</w:t>
      </w:r>
    </w:p>
    <w:p>
      <w:pPr>
        <w:keepNext w:val="0"/>
        <w:keepLines w:val="0"/>
        <w:widowControl w:val="0"/>
        <w:kinsoku/>
        <w:wordWrap/>
        <w:overflowPunct/>
        <w:topLinePunct w:val="0"/>
        <w:autoSpaceDE/>
        <w:autoSpaceDN/>
        <w:bidi w:val="0"/>
        <w:adjustRightInd/>
        <w:snapToGrid w:val="0"/>
        <w:spacing w:line="360" w:lineRule="auto"/>
        <w:textAlignment w:val="auto"/>
        <w:outlineLvl w:val="9"/>
        <w:rPr>
          <w:rFonts w:ascii="宋体" w:hAnsi="宋体" w:cs="宋体"/>
          <w:b/>
          <w:szCs w:val="24"/>
        </w:rPr>
      </w:pPr>
      <w:r>
        <w:rPr>
          <w:rFonts w:hint="eastAsia" w:ascii="宋体" w:hAnsi="宋体" w:cs="宋体"/>
          <w:b/>
          <w:szCs w:val="24"/>
        </w:rPr>
        <w:t>4. 违约责任</w:t>
      </w:r>
    </w:p>
    <w:p>
      <w:pPr>
        <w:keepNext w:val="0"/>
        <w:keepLines w:val="0"/>
        <w:widowControl w:val="0"/>
        <w:kinsoku/>
        <w:wordWrap/>
        <w:overflowPunct/>
        <w:topLinePunct w:val="0"/>
        <w:autoSpaceDE/>
        <w:autoSpaceDN/>
        <w:bidi w:val="0"/>
        <w:adjustRightInd/>
        <w:spacing w:line="360" w:lineRule="auto"/>
        <w:ind w:left="210" w:leftChars="100"/>
        <w:textAlignment w:val="auto"/>
        <w:outlineLvl w:val="9"/>
        <w:rPr>
          <w:rFonts w:ascii="宋体" w:hAnsi="宋体" w:cs="宋体"/>
          <w:szCs w:val="24"/>
        </w:rPr>
      </w:pPr>
      <w:r>
        <w:rPr>
          <w:rFonts w:hint="eastAsia" w:ascii="宋体" w:hAnsi="宋体" w:cs="宋体"/>
          <w:szCs w:val="24"/>
        </w:rPr>
        <w:t>4.1 监理人的违约责任</w:t>
      </w:r>
    </w:p>
    <w:p>
      <w:pPr>
        <w:keepNext w:val="0"/>
        <w:keepLines w:val="0"/>
        <w:widowControl w:val="0"/>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szCs w:val="24"/>
        </w:rPr>
      </w:pPr>
      <w:r>
        <w:rPr>
          <w:rFonts w:hint="eastAsia" w:ascii="宋体" w:hAnsi="宋体" w:cs="宋体"/>
          <w:szCs w:val="24"/>
        </w:rPr>
        <w:t>监理人未履行本合同义务的，应承担相应的责任。</w:t>
      </w:r>
    </w:p>
    <w:p>
      <w:pPr>
        <w:keepNext w:val="0"/>
        <w:keepLines w:val="0"/>
        <w:widowControl w:val="0"/>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szCs w:val="24"/>
        </w:rPr>
      </w:pPr>
      <w:r>
        <w:rPr>
          <w:rFonts w:hint="eastAsia" w:ascii="宋体" w:hAnsi="宋体" w:cs="宋体"/>
          <w:szCs w:val="24"/>
        </w:rPr>
        <w:t>4.1.1 因监理人违反本合同约定给委托人造成损失的，监理人应当赔偿委托人损失。赔偿金额的确定方法在专用条件中约定。监理人承担部分赔偿责任的，其承担赔偿金额由双方协商确定。</w:t>
      </w:r>
    </w:p>
    <w:p>
      <w:pPr>
        <w:keepNext w:val="0"/>
        <w:keepLines w:val="0"/>
        <w:widowControl w:val="0"/>
        <w:kinsoku/>
        <w:wordWrap/>
        <w:overflowPunct/>
        <w:topLinePunct w:val="0"/>
        <w:autoSpaceDE/>
        <w:autoSpaceDN/>
        <w:bidi w:val="0"/>
        <w:adjustRightInd/>
        <w:spacing w:line="360" w:lineRule="auto"/>
        <w:ind w:firstLine="420" w:firstLineChars="200"/>
        <w:textAlignment w:val="auto"/>
        <w:outlineLvl w:val="9"/>
        <w:rPr>
          <w:rFonts w:ascii="宋体" w:hAnsi="宋体" w:cs="宋体"/>
          <w:szCs w:val="24"/>
        </w:rPr>
      </w:pPr>
      <w:r>
        <w:rPr>
          <w:rFonts w:hint="eastAsia" w:ascii="宋体" w:hAnsi="宋体" w:cs="宋体"/>
          <w:szCs w:val="24"/>
        </w:rPr>
        <w:t>4.1.2 监理人向委托人的索赔不成立时，监理人应赔偿委托人由此发生的费用。</w:t>
      </w:r>
    </w:p>
    <w:p>
      <w:pPr>
        <w:keepNext w:val="0"/>
        <w:keepLines w:val="0"/>
        <w:widowControl w:val="0"/>
        <w:kinsoku/>
        <w:wordWrap/>
        <w:overflowPunct/>
        <w:topLinePunct w:val="0"/>
        <w:autoSpaceDE/>
        <w:autoSpaceDN/>
        <w:bidi w:val="0"/>
        <w:adjustRightInd/>
        <w:snapToGrid w:val="0"/>
        <w:spacing w:line="360" w:lineRule="auto"/>
        <w:ind w:firstLine="210" w:firstLineChars="100"/>
        <w:textAlignment w:val="auto"/>
        <w:outlineLvl w:val="9"/>
        <w:rPr>
          <w:rFonts w:ascii="宋体" w:hAnsi="宋体" w:cs="宋体"/>
          <w:szCs w:val="24"/>
        </w:rPr>
      </w:pPr>
      <w:r>
        <w:rPr>
          <w:rFonts w:hint="eastAsia" w:ascii="宋体" w:hAnsi="宋体" w:cs="宋体"/>
          <w:szCs w:val="24"/>
        </w:rPr>
        <w:t>4.2 委托人的违约责任</w:t>
      </w:r>
    </w:p>
    <w:p>
      <w:pPr>
        <w:keepNext w:val="0"/>
        <w:keepLines w:val="0"/>
        <w:widowControl w:val="0"/>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szCs w:val="24"/>
        </w:rPr>
      </w:pPr>
      <w:r>
        <w:rPr>
          <w:rFonts w:hint="eastAsia" w:ascii="宋体" w:hAnsi="宋体" w:cs="宋体"/>
          <w:szCs w:val="24"/>
        </w:rPr>
        <w:t>委托人未履行本合同义务的，应承担相应的责任。</w:t>
      </w:r>
    </w:p>
    <w:p>
      <w:pPr>
        <w:keepNext w:val="0"/>
        <w:keepLines w:val="0"/>
        <w:widowControl w:val="0"/>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szCs w:val="24"/>
        </w:rPr>
      </w:pPr>
      <w:r>
        <w:rPr>
          <w:rFonts w:hint="eastAsia" w:ascii="宋体" w:hAnsi="宋体" w:cs="宋体"/>
          <w:szCs w:val="24"/>
        </w:rPr>
        <w:t>4.2.1 委托人违反本合同约定造成监理人损失的，委托人应予以赔偿。</w:t>
      </w:r>
    </w:p>
    <w:p>
      <w:pPr>
        <w:keepNext w:val="0"/>
        <w:keepLines w:val="0"/>
        <w:widowControl w:val="0"/>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szCs w:val="24"/>
        </w:rPr>
      </w:pPr>
      <w:r>
        <w:rPr>
          <w:rFonts w:hint="eastAsia" w:ascii="宋体" w:hAnsi="宋体" w:cs="宋体"/>
          <w:szCs w:val="24"/>
        </w:rPr>
        <w:t>4.2.2 委托人向监理人的索赔不成立时，应赔偿监理人由此引起的费用。</w:t>
      </w:r>
    </w:p>
    <w:p>
      <w:pPr>
        <w:keepNext w:val="0"/>
        <w:keepLines w:val="0"/>
        <w:widowControl w:val="0"/>
        <w:kinsoku/>
        <w:wordWrap/>
        <w:overflowPunct/>
        <w:topLinePunct w:val="0"/>
        <w:autoSpaceDE/>
        <w:autoSpaceDN/>
        <w:bidi w:val="0"/>
        <w:adjustRightInd/>
        <w:spacing w:line="360" w:lineRule="auto"/>
        <w:ind w:firstLine="420" w:firstLineChars="200"/>
        <w:textAlignment w:val="auto"/>
        <w:outlineLvl w:val="9"/>
        <w:rPr>
          <w:rFonts w:ascii="宋体" w:hAnsi="宋体" w:cs="宋体"/>
          <w:szCs w:val="24"/>
        </w:rPr>
      </w:pPr>
      <w:r>
        <w:rPr>
          <w:rFonts w:hint="eastAsia" w:ascii="宋体" w:hAnsi="宋体" w:cs="宋体"/>
          <w:szCs w:val="24"/>
        </w:rPr>
        <w:t>4.2.3 委托人未能按期支付酬金超过28天，应按专用条件约定支付逾期付款利息。</w:t>
      </w:r>
    </w:p>
    <w:p>
      <w:pPr>
        <w:keepNext w:val="0"/>
        <w:keepLines w:val="0"/>
        <w:widowControl w:val="0"/>
        <w:kinsoku/>
        <w:wordWrap/>
        <w:overflowPunct/>
        <w:topLinePunct w:val="0"/>
        <w:autoSpaceDE/>
        <w:autoSpaceDN/>
        <w:bidi w:val="0"/>
        <w:adjustRightInd/>
        <w:spacing w:line="360" w:lineRule="auto"/>
        <w:ind w:firstLine="210" w:firstLineChars="100"/>
        <w:textAlignment w:val="auto"/>
        <w:outlineLvl w:val="9"/>
        <w:rPr>
          <w:rFonts w:ascii="宋体" w:hAnsi="宋体" w:cs="宋体"/>
          <w:szCs w:val="24"/>
        </w:rPr>
      </w:pPr>
      <w:r>
        <w:rPr>
          <w:rFonts w:hint="eastAsia" w:ascii="宋体" w:hAnsi="宋体" w:cs="宋体"/>
          <w:szCs w:val="24"/>
        </w:rPr>
        <w:t>4.3 除外责任</w:t>
      </w:r>
    </w:p>
    <w:p>
      <w:pPr>
        <w:keepNext w:val="0"/>
        <w:keepLines w:val="0"/>
        <w:widowControl w:val="0"/>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szCs w:val="24"/>
        </w:rPr>
      </w:pPr>
      <w:r>
        <w:rPr>
          <w:rFonts w:hint="eastAsia" w:ascii="宋体" w:hAnsi="宋体" w:cs="宋体"/>
          <w:szCs w:val="24"/>
        </w:rPr>
        <w:t>因非监理人的原因，且监理人无过错，发生工程质量事故、安全事故、工期延误等造成的损失，监理人不承担赔偿责任。</w:t>
      </w:r>
    </w:p>
    <w:p>
      <w:pPr>
        <w:keepNext w:val="0"/>
        <w:keepLines w:val="0"/>
        <w:widowControl w:val="0"/>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szCs w:val="24"/>
        </w:rPr>
      </w:pPr>
      <w:r>
        <w:rPr>
          <w:rFonts w:hint="eastAsia" w:ascii="宋体" w:hAnsi="宋体" w:cs="宋体"/>
          <w:szCs w:val="24"/>
        </w:rPr>
        <w:t>因不可抗力导致本合同全部或部分不能履行时，双方各自承担其因此而造成的损失、损害。</w:t>
      </w:r>
    </w:p>
    <w:p>
      <w:pPr>
        <w:keepNext w:val="0"/>
        <w:keepLines w:val="0"/>
        <w:widowControl w:val="0"/>
        <w:kinsoku/>
        <w:wordWrap/>
        <w:overflowPunct/>
        <w:topLinePunct w:val="0"/>
        <w:autoSpaceDE/>
        <w:autoSpaceDN/>
        <w:bidi w:val="0"/>
        <w:adjustRightInd/>
        <w:snapToGrid w:val="0"/>
        <w:spacing w:line="360" w:lineRule="auto"/>
        <w:textAlignment w:val="auto"/>
        <w:outlineLvl w:val="9"/>
        <w:rPr>
          <w:rFonts w:ascii="宋体" w:hAnsi="宋体" w:cs="宋体"/>
          <w:b/>
          <w:szCs w:val="24"/>
        </w:rPr>
      </w:pPr>
      <w:r>
        <w:rPr>
          <w:rFonts w:hint="eastAsia" w:ascii="宋体" w:hAnsi="宋体" w:cs="宋体"/>
          <w:b/>
          <w:szCs w:val="24"/>
        </w:rPr>
        <w:t>5. 支付</w:t>
      </w:r>
    </w:p>
    <w:p>
      <w:pPr>
        <w:keepNext w:val="0"/>
        <w:keepLines w:val="0"/>
        <w:widowControl w:val="0"/>
        <w:kinsoku/>
        <w:wordWrap/>
        <w:overflowPunct/>
        <w:topLinePunct w:val="0"/>
        <w:autoSpaceDE/>
        <w:autoSpaceDN/>
        <w:bidi w:val="0"/>
        <w:adjustRightInd/>
        <w:snapToGrid w:val="0"/>
        <w:spacing w:line="360" w:lineRule="auto"/>
        <w:ind w:left="210" w:leftChars="100"/>
        <w:textAlignment w:val="auto"/>
        <w:outlineLvl w:val="9"/>
        <w:rPr>
          <w:rFonts w:ascii="宋体" w:hAnsi="宋体" w:cs="宋体"/>
          <w:szCs w:val="24"/>
        </w:rPr>
      </w:pPr>
      <w:r>
        <w:rPr>
          <w:rFonts w:hint="eastAsia" w:ascii="宋体" w:hAnsi="宋体" w:cs="宋体"/>
          <w:szCs w:val="24"/>
        </w:rPr>
        <w:t>5.1 支付货币</w:t>
      </w:r>
    </w:p>
    <w:p>
      <w:pPr>
        <w:keepNext w:val="0"/>
        <w:keepLines w:val="0"/>
        <w:widowControl w:val="0"/>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szCs w:val="24"/>
        </w:rPr>
      </w:pPr>
      <w:r>
        <w:rPr>
          <w:rFonts w:hint="eastAsia" w:ascii="宋体" w:hAnsi="宋体" w:cs="宋体"/>
          <w:szCs w:val="24"/>
        </w:rPr>
        <w:t>除专用条件另有约定外，酬金均以人民币支付。涉及外币支付的，所采用的货币种类、比例和汇率在专用条件中约定。</w:t>
      </w:r>
    </w:p>
    <w:p>
      <w:pPr>
        <w:keepNext w:val="0"/>
        <w:keepLines w:val="0"/>
        <w:widowControl w:val="0"/>
        <w:kinsoku/>
        <w:wordWrap/>
        <w:overflowPunct/>
        <w:topLinePunct w:val="0"/>
        <w:autoSpaceDE/>
        <w:autoSpaceDN/>
        <w:bidi w:val="0"/>
        <w:adjustRightInd/>
        <w:snapToGrid w:val="0"/>
        <w:spacing w:line="360" w:lineRule="auto"/>
        <w:ind w:left="210" w:leftChars="100"/>
        <w:textAlignment w:val="auto"/>
        <w:outlineLvl w:val="9"/>
        <w:rPr>
          <w:rFonts w:ascii="宋体" w:hAnsi="宋体" w:cs="宋体"/>
          <w:szCs w:val="24"/>
        </w:rPr>
      </w:pPr>
      <w:r>
        <w:rPr>
          <w:rFonts w:hint="eastAsia" w:ascii="宋体" w:hAnsi="宋体" w:cs="宋体"/>
          <w:szCs w:val="24"/>
        </w:rPr>
        <w:t>5.2 支付申请</w:t>
      </w:r>
    </w:p>
    <w:p>
      <w:pPr>
        <w:keepNext w:val="0"/>
        <w:keepLines w:val="0"/>
        <w:widowControl w:val="0"/>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szCs w:val="24"/>
        </w:rPr>
      </w:pPr>
      <w:r>
        <w:rPr>
          <w:rFonts w:hint="eastAsia" w:ascii="宋体" w:hAnsi="宋体" w:cs="宋体"/>
          <w:szCs w:val="24"/>
        </w:rPr>
        <w:t>监理人应在本合同约定的每次应付款时间的7天前，向委托人提交支付申请书。支付申请书应当说明当期应付款总额，并列出当期应支付的款项及其金额。</w:t>
      </w:r>
    </w:p>
    <w:p>
      <w:pPr>
        <w:keepNext w:val="0"/>
        <w:keepLines w:val="0"/>
        <w:widowControl w:val="0"/>
        <w:kinsoku/>
        <w:wordWrap/>
        <w:overflowPunct/>
        <w:topLinePunct w:val="0"/>
        <w:autoSpaceDE/>
        <w:autoSpaceDN/>
        <w:bidi w:val="0"/>
        <w:adjustRightInd/>
        <w:snapToGrid w:val="0"/>
        <w:spacing w:line="360" w:lineRule="auto"/>
        <w:textAlignment w:val="auto"/>
        <w:outlineLvl w:val="9"/>
        <w:rPr>
          <w:rFonts w:ascii="宋体" w:hAnsi="宋体" w:cs="宋体"/>
          <w:szCs w:val="24"/>
        </w:rPr>
      </w:pPr>
      <w:r>
        <w:rPr>
          <w:rFonts w:hint="eastAsia" w:ascii="宋体" w:hAnsi="宋体" w:cs="宋体"/>
          <w:szCs w:val="24"/>
        </w:rPr>
        <w:t xml:space="preserve"> 5.3 支付酬金</w:t>
      </w:r>
    </w:p>
    <w:p>
      <w:pPr>
        <w:keepNext w:val="0"/>
        <w:keepLines w:val="0"/>
        <w:widowControl w:val="0"/>
        <w:kinsoku/>
        <w:wordWrap/>
        <w:overflowPunct/>
        <w:topLinePunct w:val="0"/>
        <w:autoSpaceDE/>
        <w:autoSpaceDN/>
        <w:bidi w:val="0"/>
        <w:adjustRightInd/>
        <w:snapToGrid w:val="0"/>
        <w:spacing w:line="360" w:lineRule="auto"/>
        <w:ind w:firstLine="480"/>
        <w:textAlignment w:val="auto"/>
        <w:outlineLvl w:val="9"/>
        <w:rPr>
          <w:rFonts w:ascii="宋体" w:hAnsi="宋体" w:cs="宋体"/>
          <w:szCs w:val="24"/>
        </w:rPr>
      </w:pPr>
      <w:r>
        <w:rPr>
          <w:rFonts w:hint="eastAsia" w:ascii="宋体" w:hAnsi="宋体" w:cs="宋体"/>
          <w:szCs w:val="24"/>
        </w:rPr>
        <w:t>支付的酬金包括正常工作酬金、附加工作酬金、合理化建议奖励金额及费用。</w:t>
      </w:r>
    </w:p>
    <w:p>
      <w:pPr>
        <w:keepNext w:val="0"/>
        <w:keepLines w:val="0"/>
        <w:widowControl w:val="0"/>
        <w:kinsoku/>
        <w:wordWrap/>
        <w:overflowPunct/>
        <w:topLinePunct w:val="0"/>
        <w:autoSpaceDE/>
        <w:autoSpaceDN/>
        <w:bidi w:val="0"/>
        <w:adjustRightInd/>
        <w:snapToGrid w:val="0"/>
        <w:spacing w:line="360" w:lineRule="auto"/>
        <w:textAlignment w:val="auto"/>
        <w:outlineLvl w:val="9"/>
        <w:rPr>
          <w:rFonts w:ascii="宋体" w:hAnsi="宋体" w:cs="宋体"/>
          <w:szCs w:val="24"/>
        </w:rPr>
      </w:pPr>
      <w:r>
        <w:rPr>
          <w:rFonts w:hint="eastAsia" w:ascii="宋体" w:hAnsi="宋体" w:cs="宋体"/>
          <w:szCs w:val="24"/>
        </w:rPr>
        <w:t xml:space="preserve">  5.4 有争议部分的付款</w:t>
      </w:r>
    </w:p>
    <w:p>
      <w:pPr>
        <w:keepNext w:val="0"/>
        <w:keepLines w:val="0"/>
        <w:widowControl w:val="0"/>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szCs w:val="24"/>
        </w:rPr>
      </w:pPr>
      <w:r>
        <w:rPr>
          <w:rFonts w:hint="eastAsia" w:ascii="宋体" w:hAnsi="宋体" w:cs="宋体"/>
          <w:szCs w:val="24"/>
        </w:rPr>
        <w:t>委托人对监理人提交的支付申请书有异议时，应当在收到监理人提交的支付申请书后7天内，以书面形式向监理人发出异议通知。无异议部分的款项应按期支付，有异议部分的款项按第7条约定办理。</w:t>
      </w:r>
    </w:p>
    <w:p>
      <w:pPr>
        <w:keepNext w:val="0"/>
        <w:keepLines w:val="0"/>
        <w:widowControl w:val="0"/>
        <w:kinsoku/>
        <w:wordWrap/>
        <w:overflowPunct/>
        <w:topLinePunct w:val="0"/>
        <w:autoSpaceDE/>
        <w:autoSpaceDN/>
        <w:bidi w:val="0"/>
        <w:adjustRightInd/>
        <w:snapToGrid w:val="0"/>
        <w:spacing w:line="360" w:lineRule="auto"/>
        <w:textAlignment w:val="auto"/>
        <w:outlineLvl w:val="9"/>
        <w:rPr>
          <w:rFonts w:ascii="宋体" w:hAnsi="宋体" w:cs="宋体"/>
          <w:b/>
          <w:szCs w:val="24"/>
        </w:rPr>
      </w:pPr>
      <w:r>
        <w:rPr>
          <w:rFonts w:hint="eastAsia" w:ascii="宋体" w:hAnsi="宋体" w:cs="宋体"/>
          <w:b/>
          <w:szCs w:val="24"/>
        </w:rPr>
        <w:t>6. 合同生效、变更、暂停、解除与终止</w:t>
      </w:r>
    </w:p>
    <w:p>
      <w:pPr>
        <w:keepNext w:val="0"/>
        <w:keepLines w:val="0"/>
        <w:widowControl w:val="0"/>
        <w:kinsoku/>
        <w:wordWrap/>
        <w:overflowPunct/>
        <w:topLinePunct w:val="0"/>
        <w:autoSpaceDE/>
        <w:autoSpaceDN/>
        <w:bidi w:val="0"/>
        <w:adjustRightInd/>
        <w:spacing w:line="360" w:lineRule="auto"/>
        <w:ind w:left="210" w:leftChars="100"/>
        <w:textAlignment w:val="auto"/>
        <w:outlineLvl w:val="9"/>
        <w:rPr>
          <w:rFonts w:ascii="宋体" w:hAnsi="宋体" w:cs="宋体"/>
          <w:szCs w:val="24"/>
        </w:rPr>
      </w:pPr>
      <w:r>
        <w:rPr>
          <w:rFonts w:hint="eastAsia" w:ascii="宋体" w:hAnsi="宋体" w:cs="宋体"/>
          <w:szCs w:val="24"/>
        </w:rPr>
        <w:t>6.1生效</w:t>
      </w:r>
    </w:p>
    <w:p>
      <w:pPr>
        <w:keepNext w:val="0"/>
        <w:keepLines w:val="0"/>
        <w:widowControl w:val="0"/>
        <w:kinsoku/>
        <w:wordWrap/>
        <w:overflowPunct/>
        <w:topLinePunct w:val="0"/>
        <w:autoSpaceDE/>
        <w:autoSpaceDN/>
        <w:bidi w:val="0"/>
        <w:adjustRightInd/>
        <w:spacing w:line="360" w:lineRule="auto"/>
        <w:ind w:firstLine="420" w:firstLineChars="200"/>
        <w:textAlignment w:val="auto"/>
        <w:outlineLvl w:val="9"/>
        <w:rPr>
          <w:rFonts w:ascii="宋体" w:hAnsi="宋体" w:cs="宋体"/>
          <w:szCs w:val="24"/>
        </w:rPr>
      </w:pPr>
      <w:r>
        <w:rPr>
          <w:rFonts w:hint="eastAsia" w:ascii="宋体" w:hAnsi="宋体" w:cs="宋体"/>
          <w:szCs w:val="24"/>
        </w:rPr>
        <w:t>除法律另有规定或者专用条件另有约定外，委托人和监理人的法定代表人或其授权代理人在协议书上签字并盖单位章后本合同生效。</w:t>
      </w:r>
    </w:p>
    <w:p>
      <w:pPr>
        <w:keepNext w:val="0"/>
        <w:keepLines w:val="0"/>
        <w:widowControl w:val="0"/>
        <w:kinsoku/>
        <w:wordWrap/>
        <w:overflowPunct/>
        <w:topLinePunct w:val="0"/>
        <w:autoSpaceDE/>
        <w:autoSpaceDN/>
        <w:bidi w:val="0"/>
        <w:adjustRightInd/>
        <w:snapToGrid w:val="0"/>
        <w:spacing w:line="360" w:lineRule="auto"/>
        <w:ind w:left="210" w:leftChars="100"/>
        <w:textAlignment w:val="auto"/>
        <w:outlineLvl w:val="9"/>
        <w:rPr>
          <w:rFonts w:ascii="宋体" w:hAnsi="宋体" w:cs="宋体"/>
          <w:szCs w:val="24"/>
        </w:rPr>
      </w:pPr>
      <w:r>
        <w:rPr>
          <w:rFonts w:hint="eastAsia" w:ascii="宋体" w:hAnsi="宋体" w:cs="宋体"/>
          <w:szCs w:val="24"/>
        </w:rPr>
        <w:t>6.2变更</w:t>
      </w:r>
    </w:p>
    <w:p>
      <w:pPr>
        <w:keepNext w:val="0"/>
        <w:keepLines w:val="0"/>
        <w:widowControl w:val="0"/>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szCs w:val="24"/>
        </w:rPr>
      </w:pPr>
      <w:r>
        <w:rPr>
          <w:rFonts w:hint="eastAsia" w:ascii="宋体" w:hAnsi="宋体" w:cs="宋体"/>
          <w:szCs w:val="24"/>
        </w:rPr>
        <w:t>6.2.1 任何一方提出变更请求时，双方经协商一致后可进行变更。</w:t>
      </w:r>
    </w:p>
    <w:p>
      <w:pPr>
        <w:keepNext w:val="0"/>
        <w:keepLines w:val="0"/>
        <w:widowControl w:val="0"/>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szCs w:val="24"/>
        </w:rPr>
      </w:pPr>
      <w:r>
        <w:rPr>
          <w:rFonts w:hint="eastAsia" w:ascii="宋体" w:hAnsi="宋体" w:cs="宋体"/>
          <w:szCs w:val="24"/>
        </w:rPr>
        <w:t>6.2.2除不可抗力外，因非监理人原因导致监理人履行合同期限延长、内容增加时，监理人应当将此情况与可能产生的影响及时通知委托人。增加的监理工作时间、工作内容应视为附加工作。附加工作酬金的确定方法在专用条件中约定。</w:t>
      </w:r>
    </w:p>
    <w:p>
      <w:pPr>
        <w:keepNext w:val="0"/>
        <w:keepLines w:val="0"/>
        <w:widowControl w:val="0"/>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szCs w:val="24"/>
        </w:rPr>
      </w:pPr>
      <w:r>
        <w:rPr>
          <w:rFonts w:hint="eastAsia" w:ascii="宋体" w:hAnsi="宋体" w:cs="宋体"/>
          <w:szCs w:val="24"/>
        </w:rPr>
        <w:t>6.2.3合同生效后，如果实际情况发生变化使得监理人不能完成全部或部分工作时，监理人应立即通知委托人。除不可抗力外，其善后工作以及恢复服务的准备工作应为附加工作，附加工作酬金的确定方法在专用条件中约定。监理人用于恢复服务的准备时间不应超过28天。</w:t>
      </w:r>
    </w:p>
    <w:p>
      <w:pPr>
        <w:keepNext w:val="0"/>
        <w:keepLines w:val="0"/>
        <w:widowControl w:val="0"/>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szCs w:val="24"/>
        </w:rPr>
      </w:pPr>
      <w:r>
        <w:rPr>
          <w:rFonts w:hint="eastAsia" w:ascii="宋体" w:hAnsi="宋体" w:cs="宋体"/>
          <w:szCs w:val="24"/>
        </w:rPr>
        <w:t>6.2.4合同签订后，遇有与工程相关的法律法规、标准颁布或修订的，双方应遵照执行。由此引起监理与相关服务的范围、时间、酬金变化的，双方应通过协商进行相应调整。</w:t>
      </w:r>
    </w:p>
    <w:p>
      <w:pPr>
        <w:keepNext w:val="0"/>
        <w:keepLines w:val="0"/>
        <w:widowControl w:val="0"/>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szCs w:val="24"/>
        </w:rPr>
      </w:pPr>
      <w:r>
        <w:rPr>
          <w:rFonts w:hint="eastAsia" w:ascii="宋体" w:hAnsi="宋体" w:cs="宋体"/>
          <w:szCs w:val="24"/>
        </w:rPr>
        <w:t>6.2.5 因非监理人原因造成工程概算投资额或建筑安装工程费增加时，正常工作酬金应作相应调整。调整方法在专用条件中约定。</w:t>
      </w:r>
    </w:p>
    <w:p>
      <w:pPr>
        <w:keepNext w:val="0"/>
        <w:keepLines w:val="0"/>
        <w:widowControl w:val="0"/>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szCs w:val="24"/>
        </w:rPr>
      </w:pPr>
      <w:r>
        <w:rPr>
          <w:rFonts w:hint="eastAsia" w:ascii="宋体" w:hAnsi="宋体" w:cs="宋体"/>
          <w:szCs w:val="24"/>
        </w:rPr>
        <w:t>6.2.6 因工程规模、监理范围的变化导致监理人的正常工作量减少时，正常工作酬金应作相应调整。调整方法在专用条件中约定。</w:t>
      </w:r>
    </w:p>
    <w:p>
      <w:pPr>
        <w:keepNext w:val="0"/>
        <w:keepLines w:val="0"/>
        <w:widowControl w:val="0"/>
        <w:kinsoku/>
        <w:wordWrap/>
        <w:overflowPunct/>
        <w:topLinePunct w:val="0"/>
        <w:autoSpaceDE/>
        <w:autoSpaceDN/>
        <w:bidi w:val="0"/>
        <w:adjustRightInd/>
        <w:snapToGrid w:val="0"/>
        <w:spacing w:line="360" w:lineRule="auto"/>
        <w:textAlignment w:val="auto"/>
        <w:outlineLvl w:val="9"/>
        <w:rPr>
          <w:rFonts w:ascii="宋体" w:hAnsi="宋体" w:cs="宋体"/>
          <w:szCs w:val="24"/>
        </w:rPr>
      </w:pPr>
      <w:r>
        <w:rPr>
          <w:rFonts w:hint="eastAsia" w:ascii="宋体" w:hAnsi="宋体" w:cs="宋体"/>
          <w:szCs w:val="24"/>
        </w:rPr>
        <w:t xml:space="preserve">  6.3 暂停与解除</w:t>
      </w:r>
    </w:p>
    <w:p>
      <w:pPr>
        <w:keepNext w:val="0"/>
        <w:keepLines w:val="0"/>
        <w:widowControl w:val="0"/>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szCs w:val="24"/>
        </w:rPr>
      </w:pPr>
      <w:r>
        <w:rPr>
          <w:rFonts w:hint="eastAsia" w:ascii="宋体" w:hAnsi="宋体" w:cs="宋体"/>
          <w:szCs w:val="24"/>
        </w:rPr>
        <w:t>除双方协商一致可以解除本合同外，当一方无正当理由未履行本合同约定的义务时，另一方可以根据本合同约定暂停履行本合同直至解除本合同。</w:t>
      </w:r>
    </w:p>
    <w:p>
      <w:pPr>
        <w:keepNext w:val="0"/>
        <w:keepLines w:val="0"/>
        <w:widowControl w:val="0"/>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szCs w:val="24"/>
        </w:rPr>
      </w:pPr>
      <w:r>
        <w:rPr>
          <w:rFonts w:hint="eastAsia" w:ascii="宋体" w:hAnsi="宋体" w:cs="宋体"/>
          <w:szCs w:val="24"/>
        </w:rPr>
        <w:t>6.3.1 在本合同有效期内，由于双方无法预见和控制的原因导致本合同全部或部分无法继续履行或继续履行已无意义，经双方协商一致，可以解除本合同或监理人的部分义务。在解除之前，监理人应作出合理安排，使开支减至最小。</w:t>
      </w:r>
    </w:p>
    <w:p>
      <w:pPr>
        <w:keepNext w:val="0"/>
        <w:keepLines w:val="0"/>
        <w:widowControl w:val="0"/>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szCs w:val="24"/>
        </w:rPr>
      </w:pPr>
      <w:r>
        <w:rPr>
          <w:rFonts w:hint="eastAsia" w:ascii="宋体" w:hAnsi="宋体" w:cs="宋体"/>
          <w:szCs w:val="24"/>
        </w:rPr>
        <w:t>因解除本合同或解除监理人的部分义务导致监理人遭受的损失，除依法可以免除责任的情况外，应由委托人予以补偿，补偿金额由双方协商确定。</w:t>
      </w:r>
    </w:p>
    <w:p>
      <w:pPr>
        <w:keepNext w:val="0"/>
        <w:keepLines w:val="0"/>
        <w:widowControl w:val="0"/>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szCs w:val="24"/>
        </w:rPr>
      </w:pPr>
      <w:r>
        <w:rPr>
          <w:rFonts w:hint="eastAsia" w:ascii="宋体" w:hAnsi="宋体" w:cs="宋体"/>
          <w:szCs w:val="24"/>
        </w:rPr>
        <w:t>解除本合同的协议必须采取书面形式，协议未达成之前，本合同仍然有效。</w:t>
      </w:r>
    </w:p>
    <w:p>
      <w:pPr>
        <w:keepNext w:val="0"/>
        <w:keepLines w:val="0"/>
        <w:widowControl w:val="0"/>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szCs w:val="24"/>
        </w:rPr>
      </w:pPr>
      <w:r>
        <w:rPr>
          <w:rFonts w:hint="eastAsia" w:ascii="宋体" w:hAnsi="宋体" w:cs="宋体"/>
          <w:szCs w:val="24"/>
        </w:rPr>
        <w:t>6.3.2 在本合同有效期内，因非监理人的原因导致工程施工全部或部分暂停，委托人可通知监理人要求暂停全部或部分工作。监理人应立即安排停止工作，并将开支减至最小。除不可抗力外，由此导致监理人遭受的损失应由委托人予以补偿。</w:t>
      </w:r>
    </w:p>
    <w:p>
      <w:pPr>
        <w:keepNext w:val="0"/>
        <w:keepLines w:val="0"/>
        <w:widowControl w:val="0"/>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szCs w:val="24"/>
        </w:rPr>
      </w:pPr>
      <w:r>
        <w:rPr>
          <w:rFonts w:hint="eastAsia" w:ascii="宋体" w:hAnsi="宋体" w:cs="宋体"/>
          <w:szCs w:val="24"/>
        </w:rPr>
        <w:t>暂停部分监理与相关服务时间超过182天，监理人可发出解除本合同约定的该部分义务的通知；暂停全部工作时间超过182天，监理人可发出解除本合同的通知，本合同自通知到达委托人时解除。委托人应将监理与相关服务的酬金支付至本合同解除日，且应承担第4.2款约定的责任。</w:t>
      </w:r>
    </w:p>
    <w:p>
      <w:pPr>
        <w:keepNext w:val="0"/>
        <w:keepLines w:val="0"/>
        <w:widowControl w:val="0"/>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szCs w:val="24"/>
        </w:rPr>
      </w:pPr>
      <w:r>
        <w:rPr>
          <w:rFonts w:hint="eastAsia" w:ascii="宋体" w:hAnsi="宋体" w:cs="宋体"/>
          <w:szCs w:val="24"/>
        </w:rPr>
        <w:t>6.3.3 当监理人无正当理由未履行本合同约定的义务时，委托人应通知监理人限期改正。若委托人在监理人接到通知后的7天内未收到监理人书面形式的合理解释，则可在7天内发出解除本合同的通知，自通知到达监理人时本合同解除。委托人应将监理与相关服务的酬金支付至限期改正通知到达监理人之日，但监理人应承担第4.1款约定的责任。</w:t>
      </w:r>
    </w:p>
    <w:p>
      <w:pPr>
        <w:keepNext w:val="0"/>
        <w:keepLines w:val="0"/>
        <w:widowControl w:val="0"/>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szCs w:val="24"/>
        </w:rPr>
      </w:pPr>
      <w:r>
        <w:rPr>
          <w:rFonts w:hint="eastAsia" w:ascii="宋体" w:hAnsi="宋体" w:cs="宋体"/>
          <w:szCs w:val="24"/>
        </w:rPr>
        <w:t>6.3.4 监理人在专用条件5.3中约定的支付之日起28天后仍未收到委托人按本合同约定应付的款项，可向委托人发出催付通知。委托人接到通知14天后仍未支付或未提出监理人可以接受的延期支付安排，监理人可向委托人发出暂停工作的通知并可自行暂停全部或部分工作。暂停工作后14天内监理人仍未获得委托人应付酬金或委托人的合理答复，监理人可向委托人发出解除本合同的通知，自通知到达委托人时本合同解除。委托人应承担第4.2.3款约定的责任。</w:t>
      </w:r>
    </w:p>
    <w:p>
      <w:pPr>
        <w:keepNext w:val="0"/>
        <w:keepLines w:val="0"/>
        <w:widowControl w:val="0"/>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szCs w:val="24"/>
        </w:rPr>
      </w:pPr>
      <w:r>
        <w:rPr>
          <w:rFonts w:hint="eastAsia" w:ascii="宋体" w:hAnsi="宋体" w:cs="宋体"/>
          <w:szCs w:val="24"/>
        </w:rPr>
        <w:t>6.3.5 因不可抗力致使本合同部分或全部不能履行时，一方应立即通知另一方，可暂停或解除本合同。</w:t>
      </w:r>
    </w:p>
    <w:p>
      <w:pPr>
        <w:keepNext w:val="0"/>
        <w:keepLines w:val="0"/>
        <w:widowControl w:val="0"/>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szCs w:val="24"/>
        </w:rPr>
      </w:pPr>
      <w:r>
        <w:rPr>
          <w:rFonts w:hint="eastAsia" w:ascii="宋体" w:hAnsi="宋体" w:cs="宋体"/>
          <w:szCs w:val="24"/>
        </w:rPr>
        <w:t>6.3.6 本合同解除后，本合同约定的有关结算、清理、争议解决方式的条件仍然有效。</w:t>
      </w:r>
    </w:p>
    <w:p>
      <w:pPr>
        <w:keepNext w:val="0"/>
        <w:keepLines w:val="0"/>
        <w:widowControl w:val="0"/>
        <w:kinsoku/>
        <w:wordWrap/>
        <w:overflowPunct/>
        <w:topLinePunct w:val="0"/>
        <w:autoSpaceDE/>
        <w:autoSpaceDN/>
        <w:bidi w:val="0"/>
        <w:adjustRightInd/>
        <w:snapToGrid w:val="0"/>
        <w:spacing w:line="360" w:lineRule="auto"/>
        <w:ind w:left="210" w:leftChars="100"/>
        <w:textAlignment w:val="auto"/>
        <w:outlineLvl w:val="9"/>
        <w:rPr>
          <w:rFonts w:ascii="宋体" w:hAnsi="宋体" w:cs="宋体"/>
          <w:szCs w:val="24"/>
        </w:rPr>
      </w:pPr>
      <w:r>
        <w:rPr>
          <w:rFonts w:hint="eastAsia" w:ascii="宋体" w:hAnsi="宋体" w:cs="宋体"/>
          <w:szCs w:val="24"/>
        </w:rPr>
        <w:t>6.4 终止</w:t>
      </w:r>
    </w:p>
    <w:p>
      <w:pPr>
        <w:keepNext w:val="0"/>
        <w:keepLines w:val="0"/>
        <w:widowControl w:val="0"/>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szCs w:val="24"/>
        </w:rPr>
      </w:pPr>
      <w:r>
        <w:rPr>
          <w:rFonts w:hint="eastAsia" w:ascii="宋体" w:hAnsi="宋体" w:cs="宋体"/>
          <w:szCs w:val="24"/>
        </w:rPr>
        <w:t>以下条件全部满足时，本合同即告终止：</w:t>
      </w:r>
    </w:p>
    <w:p>
      <w:pPr>
        <w:keepNext w:val="0"/>
        <w:keepLines w:val="0"/>
        <w:widowControl w:val="0"/>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szCs w:val="24"/>
        </w:rPr>
      </w:pPr>
      <w:r>
        <w:rPr>
          <w:rFonts w:hint="eastAsia" w:ascii="宋体" w:hAnsi="宋体" w:cs="宋体"/>
          <w:szCs w:val="24"/>
        </w:rPr>
        <w:t>（1）监理人完成本合同约定的全部工作；</w:t>
      </w:r>
    </w:p>
    <w:p>
      <w:pPr>
        <w:keepNext w:val="0"/>
        <w:keepLines w:val="0"/>
        <w:widowControl w:val="0"/>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szCs w:val="24"/>
        </w:rPr>
      </w:pPr>
      <w:r>
        <w:rPr>
          <w:rFonts w:hint="eastAsia" w:ascii="宋体" w:hAnsi="宋体" w:cs="宋体"/>
          <w:szCs w:val="24"/>
        </w:rPr>
        <w:t>（2）委托人与监理人结清并支付全部酬金。</w:t>
      </w:r>
    </w:p>
    <w:p>
      <w:pPr>
        <w:keepNext w:val="0"/>
        <w:keepLines w:val="0"/>
        <w:widowControl w:val="0"/>
        <w:kinsoku/>
        <w:wordWrap/>
        <w:overflowPunct/>
        <w:topLinePunct w:val="0"/>
        <w:autoSpaceDE/>
        <w:autoSpaceDN/>
        <w:bidi w:val="0"/>
        <w:adjustRightInd/>
        <w:snapToGrid w:val="0"/>
        <w:spacing w:line="360" w:lineRule="auto"/>
        <w:textAlignment w:val="auto"/>
        <w:outlineLvl w:val="9"/>
        <w:rPr>
          <w:rFonts w:ascii="宋体" w:hAnsi="宋体" w:cs="宋体"/>
          <w:b/>
          <w:szCs w:val="24"/>
        </w:rPr>
      </w:pPr>
      <w:r>
        <w:rPr>
          <w:rFonts w:hint="eastAsia" w:ascii="宋体" w:hAnsi="宋体" w:cs="宋体"/>
          <w:b/>
          <w:szCs w:val="24"/>
        </w:rPr>
        <w:t>7. 争议解决</w:t>
      </w:r>
    </w:p>
    <w:p>
      <w:pPr>
        <w:keepNext w:val="0"/>
        <w:keepLines w:val="0"/>
        <w:widowControl w:val="0"/>
        <w:kinsoku/>
        <w:wordWrap/>
        <w:overflowPunct/>
        <w:topLinePunct w:val="0"/>
        <w:autoSpaceDE/>
        <w:autoSpaceDN/>
        <w:bidi w:val="0"/>
        <w:adjustRightInd/>
        <w:snapToGrid w:val="0"/>
        <w:spacing w:line="360" w:lineRule="auto"/>
        <w:ind w:left="210" w:leftChars="100"/>
        <w:textAlignment w:val="auto"/>
        <w:outlineLvl w:val="9"/>
        <w:rPr>
          <w:rFonts w:ascii="宋体" w:hAnsi="宋体" w:cs="宋体"/>
          <w:szCs w:val="24"/>
        </w:rPr>
      </w:pPr>
      <w:r>
        <w:rPr>
          <w:rFonts w:hint="eastAsia" w:ascii="宋体" w:hAnsi="宋体" w:cs="宋体"/>
          <w:szCs w:val="24"/>
        </w:rPr>
        <w:t>7.1协商</w:t>
      </w:r>
    </w:p>
    <w:p>
      <w:pPr>
        <w:keepNext w:val="0"/>
        <w:keepLines w:val="0"/>
        <w:widowControl w:val="0"/>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szCs w:val="24"/>
        </w:rPr>
      </w:pPr>
      <w:r>
        <w:rPr>
          <w:rFonts w:hint="eastAsia" w:ascii="宋体" w:hAnsi="宋体" w:cs="宋体"/>
          <w:szCs w:val="24"/>
        </w:rPr>
        <w:t>双方应本着诚信原则协商解决彼此间的争议。</w:t>
      </w:r>
    </w:p>
    <w:p>
      <w:pPr>
        <w:keepNext w:val="0"/>
        <w:keepLines w:val="0"/>
        <w:widowControl w:val="0"/>
        <w:kinsoku/>
        <w:wordWrap/>
        <w:overflowPunct/>
        <w:topLinePunct w:val="0"/>
        <w:autoSpaceDE/>
        <w:autoSpaceDN/>
        <w:bidi w:val="0"/>
        <w:adjustRightInd/>
        <w:snapToGrid w:val="0"/>
        <w:spacing w:line="360" w:lineRule="auto"/>
        <w:ind w:left="210" w:leftChars="100"/>
        <w:textAlignment w:val="auto"/>
        <w:outlineLvl w:val="9"/>
        <w:rPr>
          <w:rFonts w:ascii="宋体" w:hAnsi="宋体" w:cs="宋体"/>
          <w:szCs w:val="24"/>
        </w:rPr>
      </w:pPr>
      <w:r>
        <w:rPr>
          <w:rFonts w:hint="eastAsia" w:ascii="宋体" w:hAnsi="宋体" w:cs="宋体"/>
          <w:szCs w:val="24"/>
        </w:rPr>
        <w:t>7.2调解</w:t>
      </w:r>
    </w:p>
    <w:p>
      <w:pPr>
        <w:keepNext w:val="0"/>
        <w:keepLines w:val="0"/>
        <w:widowControl w:val="0"/>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szCs w:val="24"/>
        </w:rPr>
      </w:pPr>
      <w:r>
        <w:rPr>
          <w:rFonts w:hint="eastAsia" w:ascii="宋体" w:hAnsi="宋体" w:cs="宋体"/>
          <w:szCs w:val="24"/>
        </w:rPr>
        <w:t>如果双方不能在14天内或双方商定的其他时间内解决本合同争议，可以将其提交给专用条件约定的或事后达成协议的调解人进行调解。</w:t>
      </w:r>
    </w:p>
    <w:p>
      <w:pPr>
        <w:keepNext w:val="0"/>
        <w:keepLines w:val="0"/>
        <w:widowControl w:val="0"/>
        <w:kinsoku/>
        <w:wordWrap/>
        <w:overflowPunct/>
        <w:topLinePunct w:val="0"/>
        <w:autoSpaceDE/>
        <w:autoSpaceDN/>
        <w:bidi w:val="0"/>
        <w:adjustRightInd/>
        <w:snapToGrid w:val="0"/>
        <w:spacing w:line="360" w:lineRule="auto"/>
        <w:ind w:left="210" w:leftChars="100"/>
        <w:textAlignment w:val="auto"/>
        <w:outlineLvl w:val="9"/>
        <w:rPr>
          <w:rFonts w:ascii="宋体" w:hAnsi="宋体" w:cs="宋体"/>
          <w:szCs w:val="24"/>
        </w:rPr>
      </w:pPr>
      <w:r>
        <w:rPr>
          <w:rFonts w:hint="eastAsia" w:ascii="宋体" w:hAnsi="宋体" w:cs="宋体"/>
          <w:szCs w:val="24"/>
        </w:rPr>
        <w:t>7.3仲裁或诉讼</w:t>
      </w:r>
    </w:p>
    <w:p>
      <w:pPr>
        <w:keepNext w:val="0"/>
        <w:keepLines w:val="0"/>
        <w:widowControl w:val="0"/>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szCs w:val="24"/>
        </w:rPr>
      </w:pPr>
      <w:r>
        <w:rPr>
          <w:rFonts w:hint="eastAsia" w:ascii="宋体" w:hAnsi="宋体" w:cs="宋体"/>
          <w:szCs w:val="24"/>
        </w:rPr>
        <w:t>双方均有权不经调解直接向专用条件约定的仲裁机构申请仲裁或向有管辖权的人民法院提起诉讼。</w:t>
      </w:r>
    </w:p>
    <w:p>
      <w:pPr>
        <w:keepNext w:val="0"/>
        <w:keepLines w:val="0"/>
        <w:widowControl w:val="0"/>
        <w:kinsoku/>
        <w:wordWrap/>
        <w:overflowPunct/>
        <w:topLinePunct w:val="0"/>
        <w:autoSpaceDE/>
        <w:autoSpaceDN/>
        <w:bidi w:val="0"/>
        <w:adjustRightInd/>
        <w:snapToGrid w:val="0"/>
        <w:spacing w:line="360" w:lineRule="auto"/>
        <w:textAlignment w:val="auto"/>
        <w:outlineLvl w:val="9"/>
        <w:rPr>
          <w:rFonts w:ascii="宋体" w:hAnsi="宋体" w:cs="宋体"/>
          <w:b/>
          <w:szCs w:val="24"/>
        </w:rPr>
      </w:pPr>
      <w:r>
        <w:rPr>
          <w:rFonts w:hint="eastAsia" w:ascii="宋体" w:hAnsi="宋体" w:cs="宋体"/>
          <w:b/>
          <w:szCs w:val="24"/>
        </w:rPr>
        <w:t>8. 其他</w:t>
      </w:r>
    </w:p>
    <w:p>
      <w:pPr>
        <w:keepNext w:val="0"/>
        <w:keepLines w:val="0"/>
        <w:widowControl w:val="0"/>
        <w:kinsoku/>
        <w:wordWrap/>
        <w:overflowPunct/>
        <w:topLinePunct w:val="0"/>
        <w:autoSpaceDE/>
        <w:autoSpaceDN/>
        <w:bidi w:val="0"/>
        <w:adjustRightInd/>
        <w:spacing w:line="360" w:lineRule="auto"/>
        <w:ind w:left="210" w:leftChars="100"/>
        <w:textAlignment w:val="auto"/>
        <w:outlineLvl w:val="9"/>
        <w:rPr>
          <w:rFonts w:ascii="宋体" w:hAnsi="宋体" w:cs="宋体"/>
          <w:szCs w:val="24"/>
        </w:rPr>
      </w:pPr>
      <w:r>
        <w:rPr>
          <w:rFonts w:hint="eastAsia" w:ascii="宋体" w:hAnsi="宋体" w:cs="宋体"/>
          <w:szCs w:val="24"/>
        </w:rPr>
        <w:t>8.1 外出考察费用</w:t>
      </w:r>
    </w:p>
    <w:p>
      <w:pPr>
        <w:keepNext w:val="0"/>
        <w:keepLines w:val="0"/>
        <w:widowControl w:val="0"/>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szCs w:val="24"/>
        </w:rPr>
      </w:pPr>
      <w:r>
        <w:rPr>
          <w:rFonts w:hint="eastAsia" w:ascii="宋体" w:hAnsi="宋体" w:cs="宋体"/>
          <w:szCs w:val="24"/>
        </w:rPr>
        <w:t>经委托人同意，监理人员外出考察发生的费用由委托人审核后支付。</w:t>
      </w:r>
    </w:p>
    <w:p>
      <w:pPr>
        <w:keepNext w:val="0"/>
        <w:keepLines w:val="0"/>
        <w:widowControl w:val="0"/>
        <w:kinsoku/>
        <w:wordWrap/>
        <w:overflowPunct/>
        <w:topLinePunct w:val="0"/>
        <w:autoSpaceDE/>
        <w:autoSpaceDN/>
        <w:bidi w:val="0"/>
        <w:adjustRightInd/>
        <w:snapToGrid w:val="0"/>
        <w:spacing w:line="360" w:lineRule="auto"/>
        <w:ind w:left="210" w:leftChars="100"/>
        <w:textAlignment w:val="auto"/>
        <w:outlineLvl w:val="9"/>
        <w:rPr>
          <w:rFonts w:ascii="宋体" w:hAnsi="宋体" w:cs="宋体"/>
          <w:szCs w:val="24"/>
        </w:rPr>
      </w:pPr>
      <w:r>
        <w:rPr>
          <w:rFonts w:hint="eastAsia" w:ascii="宋体" w:hAnsi="宋体" w:cs="宋体"/>
          <w:szCs w:val="24"/>
        </w:rPr>
        <w:t>8.2 检测费用</w:t>
      </w:r>
    </w:p>
    <w:p>
      <w:pPr>
        <w:keepNext w:val="0"/>
        <w:keepLines w:val="0"/>
        <w:widowControl w:val="0"/>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szCs w:val="24"/>
        </w:rPr>
      </w:pPr>
      <w:r>
        <w:rPr>
          <w:rFonts w:hint="eastAsia" w:ascii="宋体" w:hAnsi="宋体" w:cs="宋体"/>
          <w:szCs w:val="24"/>
        </w:rPr>
        <w:t>委托人要求监理人进行的材料和设备检测所发生的费用，由委托人支付，支付时间在专用条件中约定。</w:t>
      </w:r>
    </w:p>
    <w:p>
      <w:pPr>
        <w:keepNext w:val="0"/>
        <w:keepLines w:val="0"/>
        <w:widowControl w:val="0"/>
        <w:kinsoku/>
        <w:wordWrap/>
        <w:overflowPunct/>
        <w:topLinePunct w:val="0"/>
        <w:autoSpaceDE/>
        <w:autoSpaceDN/>
        <w:bidi w:val="0"/>
        <w:adjustRightInd/>
        <w:snapToGrid w:val="0"/>
        <w:spacing w:line="360" w:lineRule="auto"/>
        <w:ind w:left="210" w:leftChars="100"/>
        <w:textAlignment w:val="auto"/>
        <w:outlineLvl w:val="9"/>
        <w:rPr>
          <w:rFonts w:ascii="宋体" w:hAnsi="宋体" w:cs="宋体"/>
          <w:szCs w:val="24"/>
        </w:rPr>
      </w:pPr>
      <w:r>
        <w:rPr>
          <w:rFonts w:hint="eastAsia" w:ascii="宋体" w:hAnsi="宋体" w:cs="宋体"/>
          <w:szCs w:val="24"/>
        </w:rPr>
        <w:t>8.3 咨询费用</w:t>
      </w:r>
    </w:p>
    <w:p>
      <w:pPr>
        <w:keepNext w:val="0"/>
        <w:keepLines w:val="0"/>
        <w:widowControl w:val="0"/>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szCs w:val="24"/>
        </w:rPr>
      </w:pPr>
      <w:r>
        <w:rPr>
          <w:rFonts w:hint="eastAsia" w:ascii="宋体" w:hAnsi="宋体" w:cs="宋体"/>
          <w:szCs w:val="24"/>
        </w:rPr>
        <w:t>经委托人同意，根据工程需要由监理人组织的相关咨询论证会以及聘请相关专家等发生的费用由委托人支付，支付时间在专用条件中约定。</w:t>
      </w:r>
    </w:p>
    <w:p>
      <w:pPr>
        <w:keepNext w:val="0"/>
        <w:keepLines w:val="0"/>
        <w:widowControl w:val="0"/>
        <w:kinsoku/>
        <w:wordWrap/>
        <w:overflowPunct/>
        <w:topLinePunct w:val="0"/>
        <w:autoSpaceDE/>
        <w:autoSpaceDN/>
        <w:bidi w:val="0"/>
        <w:adjustRightInd/>
        <w:snapToGrid w:val="0"/>
        <w:spacing w:line="360" w:lineRule="auto"/>
        <w:ind w:left="210" w:leftChars="100"/>
        <w:textAlignment w:val="auto"/>
        <w:outlineLvl w:val="9"/>
        <w:rPr>
          <w:rFonts w:ascii="宋体" w:hAnsi="宋体" w:cs="宋体"/>
          <w:szCs w:val="24"/>
        </w:rPr>
      </w:pPr>
      <w:r>
        <w:rPr>
          <w:rFonts w:hint="eastAsia" w:ascii="宋体" w:hAnsi="宋体" w:cs="宋体"/>
          <w:szCs w:val="24"/>
        </w:rPr>
        <w:t>8.4 奖励</w:t>
      </w:r>
    </w:p>
    <w:p>
      <w:pPr>
        <w:keepNext w:val="0"/>
        <w:keepLines w:val="0"/>
        <w:widowControl w:val="0"/>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szCs w:val="24"/>
        </w:rPr>
      </w:pPr>
      <w:r>
        <w:rPr>
          <w:rFonts w:hint="eastAsia" w:ascii="宋体" w:hAnsi="宋体" w:cs="宋体"/>
          <w:szCs w:val="24"/>
        </w:rPr>
        <w:t>监理人在服务过程中提出的合理化建议，使委托人获得经济效益的，双方在专用条件中约定奖励金额的确定方法。奖励金额在合理化建议被采纳后，与最近一期的正常工作酬金同期支付。</w:t>
      </w:r>
    </w:p>
    <w:p>
      <w:pPr>
        <w:keepNext w:val="0"/>
        <w:keepLines w:val="0"/>
        <w:widowControl w:val="0"/>
        <w:kinsoku/>
        <w:wordWrap/>
        <w:overflowPunct/>
        <w:topLinePunct w:val="0"/>
        <w:autoSpaceDE/>
        <w:autoSpaceDN/>
        <w:bidi w:val="0"/>
        <w:adjustRightInd/>
        <w:snapToGrid w:val="0"/>
        <w:spacing w:line="360" w:lineRule="auto"/>
        <w:ind w:left="210" w:leftChars="100"/>
        <w:textAlignment w:val="auto"/>
        <w:outlineLvl w:val="9"/>
        <w:rPr>
          <w:rFonts w:ascii="宋体" w:hAnsi="宋体" w:cs="宋体"/>
          <w:szCs w:val="24"/>
        </w:rPr>
      </w:pPr>
      <w:r>
        <w:rPr>
          <w:rFonts w:hint="eastAsia" w:ascii="宋体" w:hAnsi="宋体" w:cs="宋体"/>
          <w:szCs w:val="24"/>
        </w:rPr>
        <w:t>8.5 守法诚信</w:t>
      </w:r>
    </w:p>
    <w:p>
      <w:pPr>
        <w:keepNext w:val="0"/>
        <w:keepLines w:val="0"/>
        <w:widowControl w:val="0"/>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szCs w:val="24"/>
        </w:rPr>
      </w:pPr>
      <w:r>
        <w:rPr>
          <w:rFonts w:hint="eastAsia" w:ascii="宋体" w:hAnsi="宋体" w:cs="宋体"/>
          <w:szCs w:val="24"/>
        </w:rPr>
        <w:t>监理人及其工作人员不得从与实施工程有关的第三方处获得任何经济利益。</w:t>
      </w:r>
    </w:p>
    <w:p>
      <w:pPr>
        <w:keepNext w:val="0"/>
        <w:keepLines w:val="0"/>
        <w:widowControl w:val="0"/>
        <w:kinsoku/>
        <w:wordWrap/>
        <w:overflowPunct/>
        <w:topLinePunct w:val="0"/>
        <w:autoSpaceDE/>
        <w:autoSpaceDN/>
        <w:bidi w:val="0"/>
        <w:adjustRightInd/>
        <w:snapToGrid w:val="0"/>
        <w:spacing w:line="360" w:lineRule="auto"/>
        <w:ind w:left="210" w:leftChars="100"/>
        <w:textAlignment w:val="auto"/>
        <w:outlineLvl w:val="9"/>
        <w:rPr>
          <w:rFonts w:ascii="宋体" w:hAnsi="宋体" w:cs="宋体"/>
          <w:szCs w:val="24"/>
        </w:rPr>
      </w:pPr>
      <w:r>
        <w:rPr>
          <w:rFonts w:hint="eastAsia" w:ascii="宋体" w:hAnsi="宋体" w:cs="宋体"/>
          <w:szCs w:val="24"/>
        </w:rPr>
        <w:t>8.6 保密</w:t>
      </w:r>
    </w:p>
    <w:p>
      <w:pPr>
        <w:keepNext w:val="0"/>
        <w:keepLines w:val="0"/>
        <w:widowControl w:val="0"/>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szCs w:val="24"/>
        </w:rPr>
      </w:pPr>
      <w:r>
        <w:rPr>
          <w:rFonts w:hint="eastAsia" w:ascii="宋体" w:hAnsi="宋体" w:cs="宋体"/>
          <w:szCs w:val="24"/>
        </w:rPr>
        <w:t>双方不得泄露对方申明的保密资料，亦不得泄露与实施工程有关的第三方所提供的保密资料，保密事项在专用条件中约定。</w:t>
      </w:r>
    </w:p>
    <w:p>
      <w:pPr>
        <w:keepNext w:val="0"/>
        <w:keepLines w:val="0"/>
        <w:widowControl w:val="0"/>
        <w:kinsoku/>
        <w:wordWrap/>
        <w:overflowPunct/>
        <w:topLinePunct w:val="0"/>
        <w:autoSpaceDE/>
        <w:autoSpaceDN/>
        <w:bidi w:val="0"/>
        <w:adjustRightInd/>
        <w:snapToGrid w:val="0"/>
        <w:spacing w:line="360" w:lineRule="auto"/>
        <w:ind w:left="210" w:leftChars="100"/>
        <w:textAlignment w:val="auto"/>
        <w:outlineLvl w:val="9"/>
        <w:rPr>
          <w:rFonts w:ascii="宋体" w:hAnsi="宋体" w:cs="宋体"/>
          <w:szCs w:val="24"/>
        </w:rPr>
      </w:pPr>
      <w:r>
        <w:rPr>
          <w:rFonts w:hint="eastAsia" w:ascii="宋体" w:hAnsi="宋体" w:cs="宋体"/>
          <w:szCs w:val="24"/>
        </w:rPr>
        <w:t>8.7 通知</w:t>
      </w:r>
    </w:p>
    <w:p>
      <w:pPr>
        <w:keepNext w:val="0"/>
        <w:keepLines w:val="0"/>
        <w:widowControl w:val="0"/>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szCs w:val="24"/>
        </w:rPr>
      </w:pPr>
      <w:r>
        <w:rPr>
          <w:rFonts w:hint="eastAsia" w:ascii="宋体" w:hAnsi="宋体" w:cs="宋体"/>
          <w:szCs w:val="24"/>
        </w:rPr>
        <w:t>本合同涉及的通知均应当采用书面形式，并在送达对方时生效，收件人应书面签收。</w:t>
      </w:r>
    </w:p>
    <w:p>
      <w:pPr>
        <w:keepNext w:val="0"/>
        <w:keepLines w:val="0"/>
        <w:widowControl w:val="0"/>
        <w:kinsoku/>
        <w:wordWrap/>
        <w:overflowPunct/>
        <w:topLinePunct w:val="0"/>
        <w:autoSpaceDE/>
        <w:autoSpaceDN/>
        <w:bidi w:val="0"/>
        <w:adjustRightInd/>
        <w:snapToGrid w:val="0"/>
        <w:spacing w:line="360" w:lineRule="auto"/>
        <w:ind w:left="210" w:leftChars="100"/>
        <w:textAlignment w:val="auto"/>
        <w:outlineLvl w:val="9"/>
        <w:rPr>
          <w:rFonts w:ascii="宋体" w:hAnsi="宋体" w:cs="宋体"/>
          <w:szCs w:val="24"/>
        </w:rPr>
      </w:pPr>
      <w:r>
        <w:rPr>
          <w:rFonts w:hint="eastAsia" w:ascii="宋体" w:hAnsi="宋体" w:cs="宋体"/>
          <w:szCs w:val="24"/>
        </w:rPr>
        <w:t>8.8 著作权</w:t>
      </w:r>
    </w:p>
    <w:p>
      <w:pPr>
        <w:keepNext w:val="0"/>
        <w:keepLines w:val="0"/>
        <w:widowControl w:val="0"/>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szCs w:val="24"/>
        </w:rPr>
      </w:pPr>
      <w:r>
        <w:rPr>
          <w:rFonts w:hint="eastAsia" w:ascii="宋体" w:hAnsi="宋体" w:cs="宋体"/>
          <w:szCs w:val="24"/>
        </w:rPr>
        <w:t>监理人对其编制的文件拥有著作权。</w:t>
      </w:r>
    </w:p>
    <w:p>
      <w:pPr>
        <w:keepNext w:val="0"/>
        <w:keepLines w:val="0"/>
        <w:widowControl w:val="0"/>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szCs w:val="24"/>
        </w:rPr>
      </w:pPr>
      <w:r>
        <w:rPr>
          <w:rFonts w:hint="eastAsia" w:ascii="宋体" w:hAnsi="宋体" w:cs="宋体"/>
          <w:szCs w:val="24"/>
        </w:rPr>
        <w:t>监理人可单独或与他人联合出版有关监理与相关服务的资料。除专用条件另有约定外，如果监理人在本合同履行期间及本合同终止后两年内出版涉及本工程的有关监理与相关服务的资料，应当征得委托人的同意。</w:t>
      </w:r>
    </w:p>
    <w:p>
      <w:pPr>
        <w:keepNext w:val="0"/>
        <w:keepLines w:val="0"/>
        <w:pageBreakBefore/>
        <w:widowControl w:val="0"/>
        <w:kinsoku/>
        <w:wordWrap/>
        <w:overflowPunct/>
        <w:topLinePunct w:val="0"/>
        <w:autoSpaceDE/>
        <w:autoSpaceDN/>
        <w:bidi w:val="0"/>
        <w:adjustRightInd/>
        <w:spacing w:line="360" w:lineRule="auto"/>
        <w:jc w:val="center"/>
        <w:textAlignment w:val="auto"/>
        <w:outlineLvl w:val="9"/>
        <w:rPr>
          <w:rFonts w:ascii="宋体" w:hAnsi="宋体" w:cs="宋体"/>
          <w:b/>
          <w:szCs w:val="24"/>
        </w:rPr>
      </w:pPr>
      <w:r>
        <w:rPr>
          <w:rFonts w:hint="eastAsia" w:ascii="宋体" w:hAnsi="宋体" w:cs="宋体"/>
          <w:b/>
          <w:szCs w:val="24"/>
        </w:rPr>
        <w:t>第三部分  专用条款</w:t>
      </w:r>
    </w:p>
    <w:p>
      <w:pPr>
        <w:keepNext w:val="0"/>
        <w:keepLines w:val="0"/>
        <w:widowControl w:val="0"/>
        <w:kinsoku/>
        <w:wordWrap/>
        <w:overflowPunct/>
        <w:topLinePunct w:val="0"/>
        <w:autoSpaceDE/>
        <w:autoSpaceDN/>
        <w:bidi w:val="0"/>
        <w:adjustRightInd/>
        <w:snapToGrid w:val="0"/>
        <w:spacing w:line="360" w:lineRule="auto"/>
        <w:textAlignment w:val="auto"/>
        <w:outlineLvl w:val="9"/>
        <w:rPr>
          <w:rFonts w:ascii="宋体" w:hAnsi="宋体" w:cs="宋体"/>
          <w:b/>
          <w:szCs w:val="24"/>
        </w:rPr>
      </w:pPr>
      <w:r>
        <w:rPr>
          <w:rFonts w:hint="eastAsia" w:ascii="宋体" w:hAnsi="宋体" w:cs="宋体"/>
          <w:b/>
          <w:szCs w:val="24"/>
        </w:rPr>
        <w:t>1. 定义与解释</w:t>
      </w:r>
    </w:p>
    <w:p>
      <w:pPr>
        <w:keepNext w:val="0"/>
        <w:keepLines w:val="0"/>
        <w:widowControl w:val="0"/>
        <w:kinsoku/>
        <w:wordWrap/>
        <w:overflowPunct/>
        <w:topLinePunct w:val="0"/>
        <w:autoSpaceDE/>
        <w:autoSpaceDN/>
        <w:bidi w:val="0"/>
        <w:adjustRightInd/>
        <w:snapToGrid w:val="0"/>
        <w:spacing w:line="360" w:lineRule="auto"/>
        <w:textAlignment w:val="auto"/>
        <w:outlineLvl w:val="9"/>
        <w:rPr>
          <w:rFonts w:ascii="宋体" w:hAnsi="宋体" w:cs="宋体"/>
          <w:szCs w:val="24"/>
        </w:rPr>
      </w:pPr>
      <w:r>
        <w:rPr>
          <w:rFonts w:hint="eastAsia" w:ascii="宋体" w:hAnsi="宋体" w:cs="宋体"/>
          <w:szCs w:val="24"/>
        </w:rPr>
        <w:t xml:space="preserve">  1.2  解释</w:t>
      </w:r>
    </w:p>
    <w:p>
      <w:pPr>
        <w:keepNext w:val="0"/>
        <w:keepLines w:val="0"/>
        <w:widowControl w:val="0"/>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szCs w:val="24"/>
        </w:rPr>
      </w:pPr>
      <w:r>
        <w:rPr>
          <w:rFonts w:hint="eastAsia" w:ascii="宋体" w:hAnsi="宋体" w:cs="宋体"/>
          <w:szCs w:val="24"/>
        </w:rPr>
        <w:t>1.2.1 本合同文件除使用中文外，还可用</w:t>
      </w:r>
      <w:r>
        <w:rPr>
          <w:rFonts w:hint="eastAsia" w:ascii="宋体" w:hAnsi="宋体" w:cs="宋体"/>
          <w:szCs w:val="24"/>
          <w:u w:val="single"/>
        </w:rPr>
        <w:t xml:space="preserve"> </w:t>
      </w:r>
      <w:r>
        <w:rPr>
          <w:rFonts w:hint="eastAsia" w:ascii="宋体" w:hAnsi="宋体" w:cs="宋体"/>
          <w:b/>
          <w:szCs w:val="24"/>
          <w:u w:val="single"/>
        </w:rPr>
        <w:t xml:space="preserve"> </w:t>
      </w:r>
      <w:r>
        <w:rPr>
          <w:rFonts w:hint="eastAsia" w:ascii="宋体" w:hAnsi="宋体" w:cs="宋体"/>
          <w:szCs w:val="24"/>
          <w:u w:val="single"/>
        </w:rPr>
        <w:t>/</w:t>
      </w:r>
      <w:r>
        <w:rPr>
          <w:rFonts w:hint="eastAsia" w:ascii="宋体" w:hAnsi="宋体" w:cs="宋体"/>
          <w:b/>
          <w:szCs w:val="24"/>
          <w:u w:val="single"/>
        </w:rPr>
        <w:t xml:space="preserve">   </w:t>
      </w:r>
      <w:r>
        <w:rPr>
          <w:rFonts w:hint="eastAsia" w:ascii="宋体" w:hAnsi="宋体" w:cs="宋体"/>
          <w:szCs w:val="24"/>
          <w:u w:val="single"/>
        </w:rPr>
        <w:t xml:space="preserve">    </w:t>
      </w:r>
      <w:r>
        <w:rPr>
          <w:rFonts w:hint="eastAsia" w:ascii="宋体" w:hAnsi="宋体" w:cs="宋体"/>
          <w:szCs w:val="24"/>
        </w:rPr>
        <w:t>。</w:t>
      </w:r>
    </w:p>
    <w:p>
      <w:pPr>
        <w:keepNext w:val="0"/>
        <w:keepLines w:val="0"/>
        <w:widowControl w:val="0"/>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szCs w:val="24"/>
        </w:rPr>
      </w:pPr>
      <w:r>
        <w:rPr>
          <w:rFonts w:hint="eastAsia" w:ascii="宋体" w:hAnsi="宋体" w:cs="宋体"/>
          <w:szCs w:val="24"/>
        </w:rPr>
        <w:t>1.2.2 约定本合同文件的解释顺序为：</w:t>
      </w:r>
      <w:r>
        <w:rPr>
          <w:rFonts w:hint="eastAsia" w:ascii="宋体" w:hAnsi="宋体" w:cs="宋体"/>
          <w:szCs w:val="24"/>
          <w:u w:val="single"/>
        </w:rPr>
        <w:t>协议书、中标通知书、专用条件及附录A、附录B、通用条件、投标文件和其他合同文件（包括补充协议、会议纪要等）。</w:t>
      </w:r>
    </w:p>
    <w:p>
      <w:pPr>
        <w:keepNext w:val="0"/>
        <w:keepLines w:val="0"/>
        <w:widowControl w:val="0"/>
        <w:kinsoku/>
        <w:wordWrap/>
        <w:overflowPunct/>
        <w:topLinePunct w:val="0"/>
        <w:autoSpaceDE/>
        <w:autoSpaceDN/>
        <w:bidi w:val="0"/>
        <w:adjustRightInd/>
        <w:snapToGrid w:val="0"/>
        <w:spacing w:line="360" w:lineRule="auto"/>
        <w:textAlignment w:val="auto"/>
        <w:outlineLvl w:val="9"/>
        <w:rPr>
          <w:rFonts w:ascii="宋体" w:hAnsi="宋体" w:cs="宋体"/>
          <w:b/>
          <w:szCs w:val="24"/>
        </w:rPr>
      </w:pPr>
      <w:r>
        <w:rPr>
          <w:rFonts w:hint="eastAsia" w:ascii="宋体" w:hAnsi="宋体" w:cs="宋体"/>
          <w:b/>
          <w:szCs w:val="24"/>
        </w:rPr>
        <w:t>2. 监理人义务</w:t>
      </w:r>
    </w:p>
    <w:p>
      <w:pPr>
        <w:keepNext w:val="0"/>
        <w:keepLines w:val="0"/>
        <w:widowControl w:val="0"/>
        <w:kinsoku/>
        <w:wordWrap/>
        <w:overflowPunct/>
        <w:topLinePunct w:val="0"/>
        <w:autoSpaceDE/>
        <w:autoSpaceDN/>
        <w:bidi w:val="0"/>
        <w:adjustRightInd/>
        <w:snapToGrid w:val="0"/>
        <w:spacing w:line="360" w:lineRule="auto"/>
        <w:ind w:firstLine="205" w:firstLineChars="98"/>
        <w:textAlignment w:val="auto"/>
        <w:outlineLvl w:val="9"/>
        <w:rPr>
          <w:rFonts w:ascii="宋体" w:hAnsi="宋体" w:cs="宋体"/>
          <w:szCs w:val="24"/>
        </w:rPr>
      </w:pPr>
      <w:r>
        <w:rPr>
          <w:rFonts w:hint="eastAsia" w:ascii="宋体" w:hAnsi="宋体" w:cs="宋体"/>
          <w:szCs w:val="24"/>
        </w:rPr>
        <w:t>2.1 监理的范围和内容</w:t>
      </w:r>
    </w:p>
    <w:p>
      <w:pPr>
        <w:keepNext w:val="0"/>
        <w:keepLines w:val="0"/>
        <w:widowControl w:val="0"/>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szCs w:val="24"/>
        </w:rPr>
      </w:pPr>
      <w:r>
        <w:rPr>
          <w:rFonts w:hint="eastAsia" w:ascii="宋体" w:hAnsi="宋体" w:cs="宋体"/>
          <w:szCs w:val="24"/>
        </w:rPr>
        <w:t>2.1.1 监理范围包括：</w:t>
      </w:r>
      <w:r>
        <w:rPr>
          <w:rFonts w:hint="eastAsia" w:ascii="宋体" w:hAnsi="宋体" w:cs="宋体"/>
          <w:szCs w:val="24"/>
          <w:u w:val="single"/>
        </w:rPr>
        <w:t xml:space="preserve">                                   </w:t>
      </w:r>
      <w:r>
        <w:rPr>
          <w:rFonts w:hint="eastAsia" w:ascii="宋体" w:hAnsi="宋体" w:cs="宋体"/>
          <w:szCs w:val="24"/>
        </w:rPr>
        <w:t>。</w:t>
      </w:r>
    </w:p>
    <w:p>
      <w:pPr>
        <w:pStyle w:val="15"/>
        <w:keepNext w:val="0"/>
        <w:keepLines w:val="0"/>
        <w:widowControl w:val="0"/>
        <w:kinsoku/>
        <w:wordWrap/>
        <w:overflowPunct/>
        <w:topLinePunct w:val="0"/>
        <w:autoSpaceDE/>
        <w:autoSpaceDN/>
        <w:bidi w:val="0"/>
        <w:adjustRightInd/>
        <w:spacing w:line="440" w:lineRule="exact"/>
        <w:ind w:firstLine="447" w:firstLineChars="213"/>
        <w:textAlignment w:val="auto"/>
        <w:outlineLvl w:val="9"/>
        <w:rPr>
          <w:rFonts w:hint="default" w:hAnsi="宋体" w:cs="宋体"/>
        </w:rPr>
      </w:pPr>
      <w:r>
        <w:rPr>
          <w:rFonts w:hAnsi="宋体" w:cs="宋体"/>
        </w:rPr>
        <w:t>2.1.2 监理工作内容还包括：</w:t>
      </w:r>
      <w:r>
        <w:rPr>
          <w:rFonts w:hAnsi="宋体" w:cs="宋体"/>
          <w:b/>
          <w:u w:val="single"/>
        </w:rPr>
        <w:t>“</w:t>
      </w:r>
      <w:r>
        <w:rPr>
          <w:rFonts w:hAnsi="宋体" w:cs="宋体"/>
          <w:u w:val="single"/>
        </w:rPr>
        <w:t>四控、两管、一协调”（四控即：安全控制、质量控制、工期控制、造价控制，两管即：合同管理、信息管理，一协调即：协调委托人、设计人和承包人之间的关系）和《河南省建设监理管理规定》 第十二条中（三）～（十）条的监理内容及《建设工程质量管理条例》、《河南省建筑工程施工现场质量标准化管理实施办法》、《建设工程监理规范》内的必须实行监理的内容</w:t>
      </w:r>
      <w:r>
        <w:rPr>
          <w:rFonts w:hAnsi="宋体" w:cs="宋体"/>
        </w:rPr>
        <w:t>。</w:t>
      </w:r>
    </w:p>
    <w:p>
      <w:pPr>
        <w:keepNext w:val="0"/>
        <w:keepLines w:val="0"/>
        <w:widowControl w:val="0"/>
        <w:kinsoku/>
        <w:wordWrap/>
        <w:overflowPunct/>
        <w:topLinePunct w:val="0"/>
        <w:autoSpaceDE/>
        <w:autoSpaceDN/>
        <w:bidi w:val="0"/>
        <w:adjustRightInd/>
        <w:snapToGrid w:val="0"/>
        <w:spacing w:line="360" w:lineRule="auto"/>
        <w:ind w:firstLine="205" w:firstLineChars="98"/>
        <w:textAlignment w:val="auto"/>
        <w:outlineLvl w:val="9"/>
        <w:rPr>
          <w:rFonts w:ascii="宋体" w:hAnsi="宋体" w:cs="宋体"/>
          <w:szCs w:val="24"/>
        </w:rPr>
      </w:pPr>
      <w:r>
        <w:rPr>
          <w:rFonts w:hint="eastAsia" w:ascii="宋体" w:hAnsi="宋体" w:cs="宋体"/>
          <w:szCs w:val="24"/>
        </w:rPr>
        <w:t>2.2 监理与相关服务依据</w:t>
      </w:r>
    </w:p>
    <w:p>
      <w:pPr>
        <w:pStyle w:val="15"/>
        <w:keepNext w:val="0"/>
        <w:keepLines w:val="0"/>
        <w:widowControl w:val="0"/>
        <w:kinsoku/>
        <w:wordWrap/>
        <w:overflowPunct/>
        <w:topLinePunct w:val="0"/>
        <w:autoSpaceDE/>
        <w:autoSpaceDN/>
        <w:bidi w:val="0"/>
        <w:adjustRightInd/>
        <w:spacing w:line="440" w:lineRule="exact"/>
        <w:ind w:firstLine="447" w:firstLineChars="213"/>
        <w:textAlignment w:val="auto"/>
        <w:outlineLvl w:val="9"/>
        <w:rPr>
          <w:rFonts w:hint="default" w:hAnsi="宋体" w:cs="宋体"/>
          <w:u w:val="single"/>
        </w:rPr>
      </w:pPr>
      <w:r>
        <w:rPr>
          <w:rFonts w:hAnsi="宋体" w:cs="宋体"/>
        </w:rPr>
        <w:t>2.2.1 监理依据包括：</w:t>
      </w:r>
      <w:r>
        <w:rPr>
          <w:rFonts w:hAnsi="宋体" w:cs="宋体"/>
          <w:u w:val="single"/>
        </w:rPr>
        <w:t>1、国家和地方有关工程建设的法律、法规；2、国家和地方有关工程建设的技术标准、规范和规程；3、经有关部门批准的工程项目文件和设计文件；4、本监理合同；5、委托人与承包单位依法签订的建设工程施工合同。</w:t>
      </w:r>
    </w:p>
    <w:p>
      <w:pPr>
        <w:pStyle w:val="69"/>
        <w:keepNext w:val="0"/>
        <w:keepLines w:val="0"/>
        <w:widowControl w:val="0"/>
        <w:kinsoku/>
        <w:wordWrap/>
        <w:overflowPunct/>
        <w:topLinePunct w:val="0"/>
        <w:autoSpaceDE/>
        <w:autoSpaceDN/>
        <w:bidi w:val="0"/>
        <w:adjustRightInd/>
        <w:spacing w:line="520" w:lineRule="atLeast"/>
        <w:ind w:left="0" w:firstLine="315" w:firstLineChars="150"/>
        <w:textAlignment w:val="auto"/>
        <w:outlineLvl w:val="9"/>
        <w:rPr>
          <w:rFonts w:hint="default" w:ascii="宋体" w:hAnsi="宋体" w:cs="宋体"/>
          <w:dstrike/>
          <w:sz w:val="21"/>
        </w:rPr>
      </w:pPr>
      <w:r>
        <w:rPr>
          <w:rFonts w:ascii="宋体" w:hAnsi="宋体" w:cs="宋体"/>
          <w:sz w:val="21"/>
        </w:rPr>
        <w:t>2.2.2 相关服务依据包括：</w:t>
      </w:r>
      <w:r>
        <w:rPr>
          <w:rFonts w:ascii="宋体" w:hAnsi="宋体" w:cs="宋体"/>
          <w:sz w:val="21"/>
          <w:u w:val="single"/>
        </w:rPr>
        <w:t>1、国家和地方有关工程建设的法律、法规；2、国家和地方有关工程建设的技术标准、规范和规程；3、经有关部门批准的工程项目文件和设计文件；4、本监理合同；5、委托人与承包单位依法签订的建设工程施工合同</w:t>
      </w:r>
      <w:r>
        <w:rPr>
          <w:rFonts w:ascii="宋体" w:hAnsi="宋体" w:cs="宋体"/>
          <w:b/>
          <w:sz w:val="21"/>
        </w:rPr>
        <w:t>。</w:t>
      </w:r>
    </w:p>
    <w:p>
      <w:pPr>
        <w:keepNext w:val="0"/>
        <w:keepLines w:val="0"/>
        <w:widowControl w:val="0"/>
        <w:kinsoku/>
        <w:wordWrap/>
        <w:overflowPunct/>
        <w:topLinePunct w:val="0"/>
        <w:autoSpaceDE/>
        <w:autoSpaceDN/>
        <w:bidi w:val="0"/>
        <w:adjustRightInd/>
        <w:spacing w:line="360" w:lineRule="auto"/>
        <w:textAlignment w:val="auto"/>
        <w:outlineLvl w:val="9"/>
        <w:rPr>
          <w:rFonts w:ascii="宋体" w:hAnsi="宋体" w:cs="宋体"/>
          <w:szCs w:val="24"/>
        </w:rPr>
      </w:pPr>
      <w:r>
        <w:rPr>
          <w:rFonts w:hint="eastAsia" w:ascii="宋体" w:hAnsi="宋体" w:cs="宋体"/>
          <w:szCs w:val="24"/>
        </w:rPr>
        <w:t xml:space="preserve">  2.3项目监理机构和人员</w:t>
      </w:r>
    </w:p>
    <w:p>
      <w:pPr>
        <w:keepNext w:val="0"/>
        <w:keepLines w:val="0"/>
        <w:widowControl w:val="0"/>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szCs w:val="24"/>
        </w:rPr>
      </w:pPr>
      <w:r>
        <w:rPr>
          <w:rFonts w:hint="eastAsia" w:ascii="宋体" w:hAnsi="宋体" w:cs="宋体"/>
          <w:szCs w:val="24"/>
        </w:rPr>
        <w:t>2.3.4 更换监理人员的其他情形：</w:t>
      </w:r>
      <w:r>
        <w:rPr>
          <w:rFonts w:hint="eastAsia" w:ascii="宋体" w:hAnsi="宋体" w:cs="宋体"/>
          <w:szCs w:val="24"/>
          <w:u w:val="single"/>
        </w:rPr>
        <w:t xml:space="preserve"> 根据工程进度施工情况进行调整但调整前应征的委托人同意</w:t>
      </w:r>
      <w:r>
        <w:rPr>
          <w:rFonts w:hint="eastAsia" w:ascii="宋体" w:hAnsi="宋体" w:cs="宋体"/>
          <w:szCs w:val="24"/>
        </w:rPr>
        <w:t>。</w:t>
      </w:r>
    </w:p>
    <w:p>
      <w:pPr>
        <w:keepNext w:val="0"/>
        <w:keepLines w:val="0"/>
        <w:widowControl w:val="0"/>
        <w:kinsoku/>
        <w:wordWrap/>
        <w:overflowPunct/>
        <w:topLinePunct w:val="0"/>
        <w:autoSpaceDE/>
        <w:autoSpaceDN/>
        <w:bidi w:val="0"/>
        <w:adjustRightInd/>
        <w:spacing w:line="360" w:lineRule="auto"/>
        <w:ind w:firstLine="205" w:firstLineChars="98"/>
        <w:textAlignment w:val="auto"/>
        <w:outlineLvl w:val="9"/>
        <w:rPr>
          <w:rFonts w:ascii="宋体" w:hAnsi="宋体" w:cs="宋体"/>
          <w:szCs w:val="24"/>
        </w:rPr>
      </w:pPr>
      <w:r>
        <w:rPr>
          <w:rFonts w:hint="eastAsia" w:ascii="宋体" w:hAnsi="宋体" w:cs="宋体"/>
          <w:szCs w:val="24"/>
        </w:rPr>
        <w:t>2.4 履行职责</w:t>
      </w:r>
    </w:p>
    <w:p>
      <w:pPr>
        <w:keepNext w:val="0"/>
        <w:keepLines w:val="0"/>
        <w:widowControl w:val="0"/>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szCs w:val="24"/>
        </w:rPr>
      </w:pPr>
      <w:r>
        <w:rPr>
          <w:rFonts w:hint="eastAsia" w:ascii="宋体" w:hAnsi="宋体" w:cs="宋体"/>
          <w:szCs w:val="24"/>
        </w:rPr>
        <w:t>2.4.3 对监理人的授权范围：</w:t>
      </w:r>
      <w:r>
        <w:rPr>
          <w:rFonts w:hint="eastAsia" w:ascii="宋体" w:hAnsi="宋体" w:cs="宋体"/>
          <w:szCs w:val="24"/>
          <w:u w:val="single"/>
        </w:rPr>
        <w:t xml:space="preserve"> 见通用条件 </w:t>
      </w:r>
      <w:r>
        <w:rPr>
          <w:rFonts w:hint="eastAsia" w:ascii="宋体" w:hAnsi="宋体" w:cs="宋体"/>
          <w:szCs w:val="24"/>
        </w:rPr>
        <w:t>。</w:t>
      </w:r>
    </w:p>
    <w:p>
      <w:pPr>
        <w:keepNext w:val="0"/>
        <w:keepLines w:val="0"/>
        <w:widowControl w:val="0"/>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szCs w:val="24"/>
        </w:rPr>
      </w:pPr>
      <w:bookmarkStart w:id="722" w:name="_Toc19915"/>
      <w:bookmarkStart w:id="723" w:name="_Toc10727"/>
      <w:bookmarkStart w:id="724" w:name="_Toc29564"/>
      <w:bookmarkStart w:id="725" w:name="_Toc26856"/>
      <w:r>
        <w:rPr>
          <w:rFonts w:hint="eastAsia" w:ascii="宋体" w:hAnsi="宋体" w:cs="宋体"/>
          <w:szCs w:val="24"/>
        </w:rPr>
        <w:t>在涉及工程延期</w:t>
      </w:r>
      <w:r>
        <w:rPr>
          <w:rFonts w:hint="eastAsia" w:ascii="宋体" w:hAnsi="宋体" w:cs="宋体"/>
          <w:b/>
          <w:szCs w:val="24"/>
          <w:u w:val="single"/>
        </w:rPr>
        <w:t xml:space="preserve"> </w:t>
      </w:r>
      <w:r>
        <w:rPr>
          <w:rFonts w:hint="eastAsia" w:ascii="宋体" w:hAnsi="宋体" w:cs="宋体"/>
          <w:szCs w:val="24"/>
          <w:u w:val="single"/>
        </w:rPr>
        <w:t>/</w:t>
      </w:r>
      <w:r>
        <w:rPr>
          <w:rFonts w:hint="eastAsia" w:ascii="宋体" w:hAnsi="宋体" w:cs="宋体"/>
          <w:b/>
          <w:szCs w:val="24"/>
          <w:u w:val="single"/>
        </w:rPr>
        <w:t xml:space="preserve"> </w:t>
      </w:r>
      <w:r>
        <w:rPr>
          <w:rFonts w:hint="eastAsia" w:ascii="宋体" w:hAnsi="宋体" w:cs="宋体"/>
          <w:szCs w:val="24"/>
          <w:u w:val="single"/>
        </w:rPr>
        <w:t xml:space="preserve"> </w:t>
      </w:r>
      <w:r>
        <w:rPr>
          <w:rFonts w:hint="eastAsia" w:ascii="宋体" w:hAnsi="宋体" w:cs="宋体"/>
          <w:szCs w:val="24"/>
        </w:rPr>
        <w:t>天内和（或）金额</w:t>
      </w:r>
      <w:r>
        <w:rPr>
          <w:rFonts w:hint="eastAsia" w:ascii="宋体" w:hAnsi="宋体" w:cs="宋体"/>
          <w:szCs w:val="24"/>
          <w:u w:val="single"/>
        </w:rPr>
        <w:t xml:space="preserve">  / </w:t>
      </w:r>
      <w:r>
        <w:rPr>
          <w:rFonts w:hint="eastAsia" w:ascii="宋体" w:hAnsi="宋体" w:cs="宋体"/>
          <w:szCs w:val="24"/>
        </w:rPr>
        <w:t>万元内的变更，监理人不需请示委托人即可向承包人发布变更通知。</w:t>
      </w:r>
      <w:bookmarkEnd w:id="722"/>
      <w:bookmarkEnd w:id="723"/>
      <w:bookmarkEnd w:id="724"/>
      <w:bookmarkEnd w:id="725"/>
    </w:p>
    <w:p>
      <w:pPr>
        <w:keepNext w:val="0"/>
        <w:keepLines w:val="0"/>
        <w:widowControl w:val="0"/>
        <w:kinsoku/>
        <w:wordWrap/>
        <w:overflowPunct/>
        <w:topLinePunct w:val="0"/>
        <w:autoSpaceDE/>
        <w:autoSpaceDN/>
        <w:bidi w:val="0"/>
        <w:adjustRightInd/>
        <w:snapToGrid w:val="0"/>
        <w:spacing w:line="360" w:lineRule="auto"/>
        <w:ind w:firstLine="315" w:firstLineChars="150"/>
        <w:textAlignment w:val="auto"/>
        <w:outlineLvl w:val="9"/>
        <w:rPr>
          <w:rFonts w:ascii="宋体" w:hAnsi="宋体" w:cs="宋体"/>
          <w:szCs w:val="24"/>
          <w:u w:val="single"/>
        </w:rPr>
      </w:pPr>
      <w:r>
        <w:rPr>
          <w:rFonts w:hint="eastAsia" w:ascii="宋体" w:hAnsi="宋体" w:cs="宋体"/>
          <w:szCs w:val="24"/>
        </w:rPr>
        <w:t>2.4.4 监理人有权要求承包人调换其人员的限制条件：</w:t>
      </w:r>
      <w:r>
        <w:rPr>
          <w:rFonts w:hint="eastAsia" w:ascii="宋体" w:hAnsi="宋体" w:cs="宋体"/>
          <w:szCs w:val="24"/>
          <w:u w:val="single"/>
        </w:rPr>
        <w:t xml:space="preserve"> 承包人在施工中出现严重安全和质量隐患，对于监理人员出具的合理整改内容不进行整改的行为时，可以提出警告、处罚、暂停施工等措施；对屡教不改者，监理单位在征求委托人意见后有权提出更改管理人的决定 。  </w:t>
      </w:r>
    </w:p>
    <w:p>
      <w:pPr>
        <w:keepNext w:val="0"/>
        <w:keepLines w:val="0"/>
        <w:widowControl w:val="0"/>
        <w:kinsoku/>
        <w:wordWrap/>
        <w:overflowPunct/>
        <w:topLinePunct w:val="0"/>
        <w:autoSpaceDE/>
        <w:autoSpaceDN/>
        <w:bidi w:val="0"/>
        <w:adjustRightInd/>
        <w:spacing w:line="360" w:lineRule="auto"/>
        <w:textAlignment w:val="auto"/>
        <w:outlineLvl w:val="9"/>
        <w:rPr>
          <w:rFonts w:ascii="宋体" w:hAnsi="宋体" w:cs="宋体"/>
          <w:szCs w:val="24"/>
        </w:rPr>
      </w:pPr>
      <w:r>
        <w:rPr>
          <w:rFonts w:hint="eastAsia" w:ascii="宋体" w:hAnsi="宋体" w:cs="宋体"/>
          <w:szCs w:val="24"/>
        </w:rPr>
        <w:t>2.5 监理工作职责</w:t>
      </w:r>
    </w:p>
    <w:p>
      <w:pPr>
        <w:keepNext w:val="0"/>
        <w:keepLines w:val="0"/>
        <w:widowControl w:val="0"/>
        <w:kinsoku/>
        <w:wordWrap/>
        <w:overflowPunct/>
        <w:topLinePunct w:val="0"/>
        <w:autoSpaceDE/>
        <w:autoSpaceDN/>
        <w:bidi w:val="0"/>
        <w:adjustRightInd/>
        <w:spacing w:line="360" w:lineRule="auto"/>
        <w:ind w:firstLine="420"/>
        <w:textAlignment w:val="auto"/>
        <w:outlineLvl w:val="9"/>
        <w:rPr>
          <w:rFonts w:ascii="宋体" w:hAnsi="宋体" w:cs="宋体"/>
          <w:szCs w:val="24"/>
        </w:rPr>
      </w:pPr>
      <w:r>
        <w:rPr>
          <w:rFonts w:hint="eastAsia" w:ascii="宋体" w:hAnsi="宋体" w:cs="宋体"/>
          <w:szCs w:val="24"/>
        </w:rPr>
        <w:t>2.5.1组建监理组织机构，按甲方要求时间进场，完善监理设施，建立和健全各类监理规章制度；</w:t>
      </w:r>
    </w:p>
    <w:p>
      <w:pPr>
        <w:keepNext w:val="0"/>
        <w:keepLines w:val="0"/>
        <w:widowControl w:val="0"/>
        <w:kinsoku/>
        <w:wordWrap/>
        <w:overflowPunct/>
        <w:topLinePunct w:val="0"/>
        <w:autoSpaceDE/>
        <w:autoSpaceDN/>
        <w:bidi w:val="0"/>
        <w:adjustRightInd/>
        <w:spacing w:line="360" w:lineRule="auto"/>
        <w:ind w:firstLine="420"/>
        <w:textAlignment w:val="auto"/>
        <w:outlineLvl w:val="9"/>
        <w:rPr>
          <w:rFonts w:ascii="宋体" w:hAnsi="宋体" w:cs="宋体"/>
          <w:szCs w:val="24"/>
        </w:rPr>
      </w:pPr>
      <w:r>
        <w:rPr>
          <w:rFonts w:hint="eastAsia" w:ascii="宋体" w:hAnsi="宋体" w:cs="宋体"/>
          <w:szCs w:val="24"/>
        </w:rPr>
        <w:t>2.5.2乙方针对本工程设计图纸及建设用地的地质、水文、周边环境等情况，有针对性的编制监理规划和监理细则。</w:t>
      </w:r>
    </w:p>
    <w:p>
      <w:pPr>
        <w:keepNext w:val="0"/>
        <w:keepLines w:val="0"/>
        <w:widowControl w:val="0"/>
        <w:kinsoku/>
        <w:wordWrap/>
        <w:overflowPunct/>
        <w:topLinePunct w:val="0"/>
        <w:autoSpaceDE/>
        <w:autoSpaceDN/>
        <w:bidi w:val="0"/>
        <w:adjustRightInd/>
        <w:spacing w:line="360" w:lineRule="auto"/>
        <w:ind w:firstLine="420"/>
        <w:textAlignment w:val="auto"/>
        <w:outlineLvl w:val="9"/>
        <w:rPr>
          <w:rFonts w:ascii="宋体" w:hAnsi="宋体" w:cs="宋体"/>
          <w:szCs w:val="24"/>
        </w:rPr>
      </w:pPr>
      <w:r>
        <w:rPr>
          <w:rFonts w:hint="eastAsia" w:ascii="宋体" w:hAnsi="宋体" w:cs="宋体"/>
          <w:szCs w:val="24"/>
        </w:rPr>
        <w:t>2.5.3积极进行现场调查，对坐标水准点进行复核并督促承包商制定方案、加以保护；</w:t>
      </w:r>
    </w:p>
    <w:p>
      <w:pPr>
        <w:keepNext w:val="0"/>
        <w:keepLines w:val="0"/>
        <w:widowControl w:val="0"/>
        <w:kinsoku/>
        <w:wordWrap/>
        <w:overflowPunct/>
        <w:topLinePunct w:val="0"/>
        <w:autoSpaceDE/>
        <w:autoSpaceDN/>
        <w:bidi w:val="0"/>
        <w:adjustRightInd/>
        <w:spacing w:line="360" w:lineRule="auto"/>
        <w:ind w:firstLine="420"/>
        <w:textAlignment w:val="auto"/>
        <w:outlineLvl w:val="9"/>
        <w:rPr>
          <w:rFonts w:ascii="宋体" w:hAnsi="宋体" w:cs="宋体"/>
          <w:szCs w:val="24"/>
        </w:rPr>
      </w:pPr>
      <w:r>
        <w:rPr>
          <w:rFonts w:hint="eastAsia" w:ascii="宋体" w:hAnsi="宋体" w:cs="宋体"/>
          <w:szCs w:val="24"/>
        </w:rPr>
        <w:t>2.5.4参与图纸会审、设计技术交底工作；</w:t>
      </w:r>
    </w:p>
    <w:p>
      <w:pPr>
        <w:keepNext w:val="0"/>
        <w:keepLines w:val="0"/>
        <w:widowControl w:val="0"/>
        <w:kinsoku/>
        <w:wordWrap/>
        <w:overflowPunct/>
        <w:topLinePunct w:val="0"/>
        <w:autoSpaceDE/>
        <w:autoSpaceDN/>
        <w:bidi w:val="0"/>
        <w:adjustRightInd/>
        <w:spacing w:line="360" w:lineRule="auto"/>
        <w:ind w:firstLine="420"/>
        <w:textAlignment w:val="auto"/>
        <w:outlineLvl w:val="9"/>
        <w:rPr>
          <w:rFonts w:ascii="宋体" w:hAnsi="宋体" w:cs="宋体"/>
          <w:szCs w:val="24"/>
        </w:rPr>
      </w:pPr>
      <w:r>
        <w:rPr>
          <w:rFonts w:hint="eastAsia" w:ascii="宋体" w:hAnsi="宋体" w:cs="宋体"/>
          <w:szCs w:val="24"/>
        </w:rPr>
        <w:t>2.5.5检查承包商的项目机构和人员就位情况，督促承包商建立质量保证体系及安全保证体系形成书面意见报甲方；</w:t>
      </w:r>
    </w:p>
    <w:p>
      <w:pPr>
        <w:keepNext w:val="0"/>
        <w:keepLines w:val="0"/>
        <w:widowControl w:val="0"/>
        <w:kinsoku/>
        <w:wordWrap/>
        <w:overflowPunct/>
        <w:topLinePunct w:val="0"/>
        <w:autoSpaceDE/>
        <w:autoSpaceDN/>
        <w:bidi w:val="0"/>
        <w:adjustRightInd/>
        <w:spacing w:line="360" w:lineRule="auto"/>
        <w:ind w:firstLine="420"/>
        <w:textAlignment w:val="auto"/>
        <w:outlineLvl w:val="9"/>
        <w:rPr>
          <w:rFonts w:ascii="宋体" w:hAnsi="宋体" w:cs="宋体"/>
          <w:szCs w:val="24"/>
        </w:rPr>
      </w:pPr>
      <w:r>
        <w:rPr>
          <w:rFonts w:hint="eastAsia" w:ascii="宋体" w:hAnsi="宋体" w:cs="宋体"/>
          <w:szCs w:val="24"/>
        </w:rPr>
        <w:t>2.5.6参加第一次工程会议并主持召开常规工地监理例会，主持每周一次的施工协调会，协调各工程参与单位之间的工作，并形成书面意见报甲方；</w:t>
      </w:r>
    </w:p>
    <w:p>
      <w:pPr>
        <w:keepNext w:val="0"/>
        <w:keepLines w:val="0"/>
        <w:widowControl w:val="0"/>
        <w:kinsoku/>
        <w:wordWrap/>
        <w:overflowPunct/>
        <w:topLinePunct w:val="0"/>
        <w:autoSpaceDE/>
        <w:autoSpaceDN/>
        <w:bidi w:val="0"/>
        <w:adjustRightInd/>
        <w:spacing w:line="360" w:lineRule="auto"/>
        <w:ind w:firstLine="420"/>
        <w:textAlignment w:val="auto"/>
        <w:outlineLvl w:val="9"/>
        <w:rPr>
          <w:rFonts w:ascii="宋体" w:hAnsi="宋体" w:cs="宋体"/>
          <w:szCs w:val="24"/>
        </w:rPr>
      </w:pPr>
      <w:r>
        <w:rPr>
          <w:rFonts w:hint="eastAsia" w:ascii="宋体" w:hAnsi="宋体" w:cs="宋体"/>
          <w:szCs w:val="24"/>
        </w:rPr>
        <w:t>2.5.7审查承包商施工准备情况，确认其具备开工条件时，按规定程序、报甲方同意后发布开工令，批准单位工程开工报告；</w:t>
      </w:r>
    </w:p>
    <w:p>
      <w:pPr>
        <w:keepNext w:val="0"/>
        <w:keepLines w:val="0"/>
        <w:widowControl w:val="0"/>
        <w:kinsoku/>
        <w:wordWrap/>
        <w:overflowPunct/>
        <w:topLinePunct w:val="0"/>
        <w:autoSpaceDE/>
        <w:autoSpaceDN/>
        <w:bidi w:val="0"/>
        <w:adjustRightInd/>
        <w:spacing w:line="360" w:lineRule="auto"/>
        <w:ind w:firstLine="420"/>
        <w:textAlignment w:val="auto"/>
        <w:outlineLvl w:val="9"/>
        <w:rPr>
          <w:rFonts w:ascii="宋体" w:hAnsi="宋体" w:cs="宋体"/>
          <w:szCs w:val="24"/>
        </w:rPr>
      </w:pPr>
      <w:r>
        <w:rPr>
          <w:rFonts w:hint="eastAsia" w:ascii="宋体" w:hAnsi="宋体" w:cs="宋体"/>
          <w:szCs w:val="24"/>
        </w:rPr>
        <w:t>2.5.8审核承包商授权的常驻现场代表的资质，以及其它派驻到现场的主要技术、管理人员的资质。在监理过程中如发现承包商的某些人员工作不力，可向甲方提出调换建议；</w:t>
      </w:r>
    </w:p>
    <w:p>
      <w:pPr>
        <w:keepNext w:val="0"/>
        <w:keepLines w:val="0"/>
        <w:widowControl w:val="0"/>
        <w:kinsoku/>
        <w:wordWrap/>
        <w:overflowPunct/>
        <w:topLinePunct w:val="0"/>
        <w:autoSpaceDE/>
        <w:autoSpaceDN/>
        <w:bidi w:val="0"/>
        <w:adjustRightInd/>
        <w:spacing w:line="360" w:lineRule="auto"/>
        <w:ind w:firstLine="420"/>
        <w:textAlignment w:val="auto"/>
        <w:outlineLvl w:val="9"/>
        <w:rPr>
          <w:rFonts w:ascii="宋体" w:hAnsi="宋体" w:cs="宋体"/>
          <w:szCs w:val="24"/>
        </w:rPr>
      </w:pPr>
      <w:r>
        <w:rPr>
          <w:rFonts w:hint="eastAsia" w:ascii="宋体" w:hAnsi="宋体" w:cs="宋体"/>
          <w:szCs w:val="24"/>
        </w:rPr>
        <w:t>2.5.9审查承包商报送的施工组织设计，确认每一个承包商的工作是否与合同相符，并形成书面意见报甲方；</w:t>
      </w:r>
    </w:p>
    <w:p>
      <w:pPr>
        <w:keepNext w:val="0"/>
        <w:keepLines w:val="0"/>
        <w:widowControl w:val="0"/>
        <w:kinsoku/>
        <w:wordWrap/>
        <w:overflowPunct/>
        <w:topLinePunct w:val="0"/>
        <w:autoSpaceDE/>
        <w:autoSpaceDN/>
        <w:bidi w:val="0"/>
        <w:adjustRightInd/>
        <w:spacing w:line="360" w:lineRule="auto"/>
        <w:ind w:firstLine="420"/>
        <w:textAlignment w:val="auto"/>
        <w:outlineLvl w:val="9"/>
        <w:rPr>
          <w:rFonts w:ascii="宋体" w:hAnsi="宋体" w:cs="宋体"/>
          <w:szCs w:val="24"/>
        </w:rPr>
      </w:pPr>
      <w:r>
        <w:rPr>
          <w:rFonts w:hint="eastAsia" w:ascii="宋体" w:hAnsi="宋体" w:cs="宋体"/>
          <w:szCs w:val="24"/>
        </w:rPr>
        <w:t>2.5.10审批承包商拟用与本工程的原材料；</w:t>
      </w:r>
    </w:p>
    <w:p>
      <w:pPr>
        <w:keepNext w:val="0"/>
        <w:keepLines w:val="0"/>
        <w:widowControl w:val="0"/>
        <w:kinsoku/>
        <w:wordWrap/>
        <w:overflowPunct/>
        <w:topLinePunct w:val="0"/>
        <w:autoSpaceDE/>
        <w:autoSpaceDN/>
        <w:bidi w:val="0"/>
        <w:adjustRightInd/>
        <w:spacing w:line="360" w:lineRule="auto"/>
        <w:ind w:firstLine="420"/>
        <w:textAlignment w:val="auto"/>
        <w:outlineLvl w:val="9"/>
        <w:rPr>
          <w:rFonts w:ascii="宋体" w:hAnsi="宋体" w:cs="宋体"/>
          <w:szCs w:val="24"/>
        </w:rPr>
      </w:pPr>
      <w:r>
        <w:rPr>
          <w:rFonts w:hint="eastAsia" w:ascii="宋体" w:hAnsi="宋体" w:cs="宋体"/>
          <w:szCs w:val="24"/>
        </w:rPr>
        <w:t>2.5.11审查承包商拟用与本工程的施工机械的性能与数量是否满足技术规定和工程质量，进度的要求；</w:t>
      </w:r>
    </w:p>
    <w:p>
      <w:pPr>
        <w:keepNext w:val="0"/>
        <w:keepLines w:val="0"/>
        <w:widowControl w:val="0"/>
        <w:kinsoku/>
        <w:wordWrap/>
        <w:overflowPunct/>
        <w:topLinePunct w:val="0"/>
        <w:autoSpaceDE/>
        <w:autoSpaceDN/>
        <w:bidi w:val="0"/>
        <w:adjustRightInd/>
        <w:spacing w:line="360" w:lineRule="auto"/>
        <w:ind w:firstLine="420"/>
        <w:textAlignment w:val="auto"/>
        <w:outlineLvl w:val="9"/>
        <w:rPr>
          <w:rFonts w:ascii="宋体" w:hAnsi="宋体" w:cs="宋体"/>
          <w:szCs w:val="24"/>
        </w:rPr>
      </w:pPr>
      <w:r>
        <w:rPr>
          <w:rFonts w:hint="eastAsia" w:ascii="宋体" w:hAnsi="宋体" w:cs="宋体"/>
          <w:szCs w:val="24"/>
        </w:rPr>
        <w:t>2.5.12审查承包商实施本工程的施工方案、技术措施、施工方法和施工工艺，并形成书面意见报甲方，在施工过程中监督执行；</w:t>
      </w:r>
    </w:p>
    <w:p>
      <w:pPr>
        <w:keepNext w:val="0"/>
        <w:keepLines w:val="0"/>
        <w:widowControl w:val="0"/>
        <w:kinsoku/>
        <w:wordWrap/>
        <w:overflowPunct/>
        <w:topLinePunct w:val="0"/>
        <w:autoSpaceDE/>
        <w:autoSpaceDN/>
        <w:bidi w:val="0"/>
        <w:adjustRightInd/>
        <w:spacing w:line="360" w:lineRule="auto"/>
        <w:ind w:firstLine="420"/>
        <w:textAlignment w:val="auto"/>
        <w:outlineLvl w:val="9"/>
        <w:rPr>
          <w:rFonts w:ascii="宋体" w:hAnsi="宋体" w:cs="宋体"/>
          <w:szCs w:val="24"/>
        </w:rPr>
      </w:pPr>
      <w:r>
        <w:rPr>
          <w:rFonts w:hint="eastAsia" w:ascii="宋体" w:hAnsi="宋体" w:cs="宋体"/>
          <w:szCs w:val="24"/>
        </w:rPr>
        <w:t>2.5.13协助甲方审查分包合同和分包人的资质，并控制外购成品件或半成品件的质量，形成书面意见报甲方；</w:t>
      </w:r>
    </w:p>
    <w:p>
      <w:pPr>
        <w:keepNext w:val="0"/>
        <w:keepLines w:val="0"/>
        <w:widowControl w:val="0"/>
        <w:kinsoku/>
        <w:wordWrap/>
        <w:overflowPunct/>
        <w:topLinePunct w:val="0"/>
        <w:autoSpaceDE/>
        <w:autoSpaceDN/>
        <w:bidi w:val="0"/>
        <w:adjustRightInd/>
        <w:spacing w:line="360" w:lineRule="auto"/>
        <w:ind w:firstLine="420"/>
        <w:textAlignment w:val="auto"/>
        <w:outlineLvl w:val="9"/>
        <w:rPr>
          <w:rFonts w:ascii="宋体" w:hAnsi="宋体"/>
          <w:kern w:val="0"/>
          <w:szCs w:val="21"/>
        </w:rPr>
      </w:pPr>
      <w:r>
        <w:rPr>
          <w:rFonts w:hint="eastAsia" w:ascii="宋体" w:hAnsi="宋体" w:cs="宋体"/>
          <w:szCs w:val="24"/>
        </w:rPr>
        <w:t>2.5.14会同甲方审批承包</w:t>
      </w:r>
      <w:r>
        <w:rPr>
          <w:rFonts w:hint="eastAsia" w:ascii="宋体" w:hAnsi="宋体"/>
          <w:kern w:val="0"/>
          <w:szCs w:val="21"/>
        </w:rPr>
        <w:t>商提交的总体进度计划，检查和督促承包商实施进度计划，核批承包商的修正计划，并形成书面意见报甲方；</w:t>
      </w:r>
    </w:p>
    <w:p>
      <w:pPr>
        <w:keepNext w:val="0"/>
        <w:keepLines w:val="0"/>
        <w:widowControl w:val="0"/>
        <w:kinsoku/>
        <w:wordWrap/>
        <w:overflowPunct/>
        <w:topLinePunct w:val="0"/>
        <w:autoSpaceDE/>
        <w:autoSpaceDN/>
        <w:bidi w:val="0"/>
        <w:adjustRightInd/>
        <w:spacing w:line="360" w:lineRule="auto"/>
        <w:ind w:firstLine="420"/>
        <w:textAlignment w:val="auto"/>
        <w:outlineLvl w:val="9"/>
        <w:rPr>
          <w:rFonts w:ascii="宋体" w:hAnsi="宋体" w:cs="宋体"/>
          <w:szCs w:val="24"/>
        </w:rPr>
      </w:pPr>
      <w:r>
        <w:rPr>
          <w:rFonts w:hint="eastAsia" w:ascii="宋体" w:hAnsi="宋体" w:cs="宋体"/>
          <w:szCs w:val="24"/>
        </w:rPr>
        <w:t>2.5.15要求承包商按照合同条件、技术规范和监理程序进行施工，通过旁站、巡视、检测、试验和整体验收等手段全面监督、检查和控制工程质量；</w:t>
      </w:r>
    </w:p>
    <w:p>
      <w:pPr>
        <w:keepNext w:val="0"/>
        <w:keepLines w:val="0"/>
        <w:widowControl w:val="0"/>
        <w:kinsoku/>
        <w:wordWrap/>
        <w:overflowPunct/>
        <w:topLinePunct w:val="0"/>
        <w:autoSpaceDE/>
        <w:autoSpaceDN/>
        <w:bidi w:val="0"/>
        <w:adjustRightInd/>
        <w:spacing w:line="360" w:lineRule="auto"/>
        <w:ind w:firstLine="420"/>
        <w:textAlignment w:val="auto"/>
        <w:outlineLvl w:val="9"/>
        <w:rPr>
          <w:rFonts w:ascii="宋体" w:hAnsi="宋体" w:cs="宋体"/>
          <w:szCs w:val="24"/>
        </w:rPr>
      </w:pPr>
      <w:r>
        <w:rPr>
          <w:rFonts w:hint="eastAsia" w:ascii="宋体" w:hAnsi="宋体" w:cs="宋体"/>
          <w:szCs w:val="24"/>
        </w:rPr>
        <w:t>2.5.16严格执行工序进行中的旁站监理，确认工序质量，办理隐蔽工程验收，签发中间交工证书；</w:t>
      </w:r>
    </w:p>
    <w:p>
      <w:pPr>
        <w:keepNext w:val="0"/>
        <w:keepLines w:val="0"/>
        <w:widowControl w:val="0"/>
        <w:kinsoku/>
        <w:wordWrap/>
        <w:overflowPunct/>
        <w:topLinePunct w:val="0"/>
        <w:autoSpaceDE/>
        <w:autoSpaceDN/>
        <w:bidi w:val="0"/>
        <w:adjustRightInd/>
        <w:spacing w:line="360" w:lineRule="auto"/>
        <w:ind w:firstLine="420"/>
        <w:textAlignment w:val="auto"/>
        <w:outlineLvl w:val="9"/>
        <w:rPr>
          <w:rFonts w:ascii="宋体" w:hAnsi="宋体" w:cs="宋体"/>
          <w:szCs w:val="24"/>
        </w:rPr>
      </w:pPr>
      <w:r>
        <w:rPr>
          <w:rFonts w:hint="eastAsia" w:ascii="宋体" w:hAnsi="宋体" w:cs="宋体"/>
          <w:szCs w:val="24"/>
        </w:rPr>
        <w:t>2.5.17调查、处理工程质量缺陷和事故，出现重大质量事故时，督促承包商按规定上报有关部门；</w:t>
      </w:r>
    </w:p>
    <w:p>
      <w:pPr>
        <w:keepNext w:val="0"/>
        <w:keepLines w:val="0"/>
        <w:widowControl w:val="0"/>
        <w:kinsoku/>
        <w:wordWrap/>
        <w:overflowPunct/>
        <w:topLinePunct w:val="0"/>
        <w:autoSpaceDE/>
        <w:autoSpaceDN/>
        <w:bidi w:val="0"/>
        <w:adjustRightInd/>
        <w:spacing w:line="360" w:lineRule="auto"/>
        <w:ind w:firstLine="420"/>
        <w:textAlignment w:val="auto"/>
        <w:outlineLvl w:val="9"/>
        <w:rPr>
          <w:rFonts w:ascii="宋体" w:hAnsi="宋体" w:cs="宋体"/>
          <w:szCs w:val="24"/>
        </w:rPr>
      </w:pPr>
      <w:r>
        <w:rPr>
          <w:rFonts w:hint="eastAsia" w:ascii="宋体" w:hAnsi="宋体" w:cs="宋体"/>
          <w:szCs w:val="24"/>
        </w:rPr>
        <w:t>2.5.18针对现场存在的重大问题，在征得甲方同意后，发布暂停令；</w:t>
      </w:r>
    </w:p>
    <w:p>
      <w:pPr>
        <w:keepNext w:val="0"/>
        <w:keepLines w:val="0"/>
        <w:widowControl w:val="0"/>
        <w:kinsoku/>
        <w:wordWrap/>
        <w:overflowPunct/>
        <w:topLinePunct w:val="0"/>
        <w:autoSpaceDE/>
        <w:autoSpaceDN/>
        <w:bidi w:val="0"/>
        <w:adjustRightInd/>
        <w:spacing w:line="360" w:lineRule="auto"/>
        <w:ind w:firstLine="420"/>
        <w:textAlignment w:val="auto"/>
        <w:outlineLvl w:val="9"/>
        <w:rPr>
          <w:rFonts w:ascii="宋体" w:hAnsi="宋体" w:cs="宋体"/>
          <w:szCs w:val="24"/>
        </w:rPr>
      </w:pPr>
      <w:r>
        <w:rPr>
          <w:rFonts w:hint="eastAsia" w:ascii="宋体" w:hAnsi="宋体" w:cs="宋体"/>
          <w:szCs w:val="24"/>
        </w:rPr>
        <w:t>2.5.19按照设计和规范对已完分部、分项、检验批工程进行质量检评，对确认合格的分部、分项、检验批进行准确的计量，会同甲方办理工程签证；</w:t>
      </w:r>
    </w:p>
    <w:p>
      <w:pPr>
        <w:keepNext w:val="0"/>
        <w:keepLines w:val="0"/>
        <w:widowControl w:val="0"/>
        <w:kinsoku/>
        <w:wordWrap/>
        <w:overflowPunct/>
        <w:topLinePunct w:val="0"/>
        <w:autoSpaceDE/>
        <w:autoSpaceDN/>
        <w:bidi w:val="0"/>
        <w:adjustRightInd/>
        <w:spacing w:line="360" w:lineRule="auto"/>
        <w:ind w:firstLine="420"/>
        <w:textAlignment w:val="auto"/>
        <w:outlineLvl w:val="9"/>
        <w:rPr>
          <w:rFonts w:ascii="宋体" w:hAnsi="宋体" w:cs="宋体"/>
          <w:szCs w:val="24"/>
        </w:rPr>
      </w:pPr>
      <w:r>
        <w:rPr>
          <w:rFonts w:hint="eastAsia" w:ascii="宋体" w:hAnsi="宋体" w:cs="宋体"/>
          <w:szCs w:val="24"/>
        </w:rPr>
        <w:t>2.5.20办理工程款（进度款）支付凭证手续，会同甲方审核后签发；</w:t>
      </w:r>
    </w:p>
    <w:p>
      <w:pPr>
        <w:keepNext w:val="0"/>
        <w:keepLines w:val="0"/>
        <w:widowControl w:val="0"/>
        <w:kinsoku/>
        <w:wordWrap/>
        <w:overflowPunct/>
        <w:topLinePunct w:val="0"/>
        <w:autoSpaceDE/>
        <w:autoSpaceDN/>
        <w:bidi w:val="0"/>
        <w:adjustRightInd/>
        <w:spacing w:line="360" w:lineRule="auto"/>
        <w:ind w:firstLine="420"/>
        <w:textAlignment w:val="auto"/>
        <w:outlineLvl w:val="9"/>
        <w:rPr>
          <w:rFonts w:ascii="宋体" w:hAnsi="宋体" w:cs="宋体"/>
          <w:szCs w:val="24"/>
        </w:rPr>
      </w:pPr>
      <w:r>
        <w:rPr>
          <w:rFonts w:hint="eastAsia" w:ascii="宋体" w:hAnsi="宋体" w:cs="宋体"/>
          <w:szCs w:val="24"/>
        </w:rPr>
        <w:t>2.5.21组织总、分包单位之间工作面的移交工作，并办理相关会签手续；</w:t>
      </w:r>
    </w:p>
    <w:p>
      <w:pPr>
        <w:keepNext w:val="0"/>
        <w:keepLines w:val="0"/>
        <w:widowControl w:val="0"/>
        <w:kinsoku/>
        <w:wordWrap/>
        <w:overflowPunct/>
        <w:topLinePunct w:val="0"/>
        <w:autoSpaceDE/>
        <w:autoSpaceDN/>
        <w:bidi w:val="0"/>
        <w:adjustRightInd/>
        <w:spacing w:line="360" w:lineRule="auto"/>
        <w:ind w:firstLine="420"/>
        <w:textAlignment w:val="auto"/>
        <w:outlineLvl w:val="9"/>
        <w:rPr>
          <w:rFonts w:ascii="宋体" w:hAnsi="宋体" w:cs="宋体"/>
          <w:szCs w:val="24"/>
        </w:rPr>
      </w:pPr>
      <w:r>
        <w:rPr>
          <w:rFonts w:hint="eastAsia" w:ascii="宋体" w:hAnsi="宋体" w:cs="宋体"/>
          <w:szCs w:val="24"/>
        </w:rPr>
        <w:t>2.5.22对承包商的竣工验收申请进行实地调查和评估，确认符合竣工条件且竣工资料齐全时，组织竣工初验，对发现的问题督促承包商进行整改直至合格，并参与竣工验收。</w:t>
      </w:r>
    </w:p>
    <w:p>
      <w:pPr>
        <w:keepNext w:val="0"/>
        <w:keepLines w:val="0"/>
        <w:widowControl w:val="0"/>
        <w:kinsoku/>
        <w:wordWrap/>
        <w:overflowPunct/>
        <w:topLinePunct w:val="0"/>
        <w:autoSpaceDE/>
        <w:autoSpaceDN/>
        <w:bidi w:val="0"/>
        <w:adjustRightInd/>
        <w:spacing w:line="360" w:lineRule="auto"/>
        <w:ind w:firstLine="420"/>
        <w:textAlignment w:val="auto"/>
        <w:outlineLvl w:val="9"/>
        <w:rPr>
          <w:rFonts w:ascii="宋体" w:hAnsi="宋体" w:cs="宋体"/>
          <w:szCs w:val="24"/>
        </w:rPr>
      </w:pPr>
      <w:r>
        <w:rPr>
          <w:rFonts w:hint="eastAsia" w:ascii="宋体" w:hAnsi="宋体" w:cs="宋体"/>
          <w:szCs w:val="24"/>
        </w:rPr>
        <w:t>2.5.23确认工程质量合格、竣工资料符合合同要求，并在征得甲方同意后签发交工证书；</w:t>
      </w:r>
    </w:p>
    <w:p>
      <w:pPr>
        <w:keepNext w:val="0"/>
        <w:keepLines w:val="0"/>
        <w:widowControl w:val="0"/>
        <w:kinsoku/>
        <w:wordWrap/>
        <w:overflowPunct/>
        <w:topLinePunct w:val="0"/>
        <w:autoSpaceDE/>
        <w:autoSpaceDN/>
        <w:bidi w:val="0"/>
        <w:adjustRightInd/>
        <w:spacing w:line="360" w:lineRule="auto"/>
        <w:ind w:firstLine="420"/>
        <w:textAlignment w:val="auto"/>
        <w:outlineLvl w:val="9"/>
        <w:rPr>
          <w:rFonts w:ascii="宋体" w:hAnsi="宋体" w:cs="宋体"/>
          <w:szCs w:val="24"/>
        </w:rPr>
      </w:pPr>
      <w:r>
        <w:rPr>
          <w:rFonts w:hint="eastAsia" w:ascii="宋体" w:hAnsi="宋体" w:cs="宋体"/>
          <w:szCs w:val="24"/>
        </w:rPr>
        <w:t>2.5.24编制监理方面的竣工文件，并向甲方提交一整套工程资料；</w:t>
      </w:r>
    </w:p>
    <w:p>
      <w:pPr>
        <w:keepNext w:val="0"/>
        <w:keepLines w:val="0"/>
        <w:widowControl w:val="0"/>
        <w:kinsoku/>
        <w:wordWrap/>
        <w:overflowPunct/>
        <w:topLinePunct w:val="0"/>
        <w:autoSpaceDE/>
        <w:autoSpaceDN/>
        <w:bidi w:val="0"/>
        <w:adjustRightInd/>
        <w:spacing w:line="360" w:lineRule="auto"/>
        <w:ind w:firstLine="420"/>
        <w:textAlignment w:val="auto"/>
        <w:outlineLvl w:val="9"/>
        <w:rPr>
          <w:rFonts w:ascii="宋体" w:hAnsi="宋体" w:cs="宋体"/>
          <w:szCs w:val="24"/>
        </w:rPr>
      </w:pPr>
      <w:r>
        <w:rPr>
          <w:rFonts w:hint="eastAsia" w:ascii="宋体" w:hAnsi="宋体" w:cs="宋体"/>
          <w:szCs w:val="24"/>
        </w:rPr>
        <w:t>2.5.25督促各承包商提供保修责任书，明确保修期、保修范围、保修责任和实施方法，明确保修责任人及联络方法；</w:t>
      </w:r>
    </w:p>
    <w:p>
      <w:pPr>
        <w:keepNext w:val="0"/>
        <w:keepLines w:val="0"/>
        <w:widowControl w:val="0"/>
        <w:kinsoku/>
        <w:wordWrap/>
        <w:overflowPunct/>
        <w:topLinePunct w:val="0"/>
        <w:autoSpaceDE/>
        <w:autoSpaceDN/>
        <w:bidi w:val="0"/>
        <w:adjustRightInd/>
        <w:spacing w:line="360" w:lineRule="auto"/>
        <w:ind w:firstLine="420"/>
        <w:textAlignment w:val="auto"/>
        <w:outlineLvl w:val="9"/>
        <w:rPr>
          <w:rFonts w:ascii="宋体" w:hAnsi="宋体"/>
          <w:kern w:val="0"/>
          <w:szCs w:val="21"/>
        </w:rPr>
      </w:pPr>
      <w:r>
        <w:rPr>
          <w:rFonts w:hint="eastAsia" w:ascii="宋体" w:hAnsi="宋体" w:cs="宋体"/>
          <w:szCs w:val="24"/>
        </w:rPr>
        <w:t>2.5.26审查符合和确认工程结算款，</w:t>
      </w:r>
      <w:r>
        <w:rPr>
          <w:rFonts w:hint="eastAsia" w:ascii="宋体" w:hAnsi="宋体"/>
          <w:kern w:val="0"/>
          <w:szCs w:val="21"/>
        </w:rPr>
        <w:t>办理最终支付凭证手续，会同甲方后签发承包商拟用与本工程；</w:t>
      </w:r>
    </w:p>
    <w:p>
      <w:pPr>
        <w:keepNext w:val="0"/>
        <w:keepLines w:val="0"/>
        <w:widowControl w:val="0"/>
        <w:kinsoku/>
        <w:wordWrap/>
        <w:overflowPunct/>
        <w:topLinePunct w:val="0"/>
        <w:autoSpaceDE/>
        <w:autoSpaceDN/>
        <w:bidi w:val="0"/>
        <w:adjustRightInd/>
        <w:snapToGrid w:val="0"/>
        <w:spacing w:line="360" w:lineRule="auto"/>
        <w:ind w:firstLine="105" w:firstLineChars="50"/>
        <w:textAlignment w:val="auto"/>
        <w:outlineLvl w:val="9"/>
        <w:rPr>
          <w:rFonts w:ascii="宋体" w:hAnsi="宋体" w:cs="宋体"/>
          <w:szCs w:val="24"/>
        </w:rPr>
      </w:pPr>
      <w:r>
        <w:rPr>
          <w:rFonts w:hint="eastAsia" w:ascii="宋体" w:hAnsi="宋体" w:cs="宋体"/>
          <w:szCs w:val="24"/>
        </w:rPr>
        <w:t>2.6 提交报告</w:t>
      </w:r>
    </w:p>
    <w:p>
      <w:pPr>
        <w:keepNext w:val="0"/>
        <w:keepLines w:val="0"/>
        <w:widowControl w:val="0"/>
        <w:kinsoku/>
        <w:wordWrap/>
        <w:overflowPunct/>
        <w:topLinePunct w:val="0"/>
        <w:autoSpaceDE/>
        <w:autoSpaceDN/>
        <w:bidi w:val="0"/>
        <w:adjustRightInd/>
        <w:snapToGrid w:val="0"/>
        <w:spacing w:line="360" w:lineRule="auto"/>
        <w:ind w:firstLine="525"/>
        <w:textAlignment w:val="auto"/>
        <w:outlineLvl w:val="9"/>
        <w:rPr>
          <w:rFonts w:ascii="宋体" w:hAnsi="宋体" w:cs="宋体"/>
          <w:szCs w:val="24"/>
          <w:u w:val="single"/>
        </w:rPr>
      </w:pPr>
      <w:r>
        <w:rPr>
          <w:rFonts w:hint="eastAsia" w:ascii="宋体" w:hAnsi="宋体" w:cs="宋体"/>
          <w:szCs w:val="24"/>
        </w:rPr>
        <w:t>监理人应提交报告的种类(包括监理规划、监理月报及约定的专项报告)、时间和份数：</w:t>
      </w:r>
      <w:r>
        <w:rPr>
          <w:rFonts w:hint="eastAsia" w:ascii="宋体" w:hAnsi="宋体" w:cs="宋体"/>
          <w:szCs w:val="24"/>
          <w:u w:val="single"/>
        </w:rPr>
        <w:t xml:space="preserve"> 监理规划在开工前提供1份；监理周报、月报及约定的专项报告在每月28日前提供1份 </w:t>
      </w:r>
      <w:r>
        <w:rPr>
          <w:rFonts w:hint="eastAsia" w:ascii="宋体" w:hAnsi="宋体" w:cs="宋体"/>
          <w:szCs w:val="24"/>
        </w:rPr>
        <w:t>。</w:t>
      </w:r>
    </w:p>
    <w:p>
      <w:pPr>
        <w:keepNext w:val="0"/>
        <w:keepLines w:val="0"/>
        <w:widowControl w:val="0"/>
        <w:kinsoku/>
        <w:wordWrap/>
        <w:overflowPunct/>
        <w:topLinePunct w:val="0"/>
        <w:autoSpaceDE/>
        <w:autoSpaceDN/>
        <w:bidi w:val="0"/>
        <w:adjustRightInd/>
        <w:spacing w:line="360" w:lineRule="auto"/>
        <w:textAlignment w:val="auto"/>
        <w:outlineLvl w:val="9"/>
        <w:rPr>
          <w:rFonts w:ascii="宋体" w:hAnsi="宋体" w:cs="宋体"/>
          <w:szCs w:val="24"/>
        </w:rPr>
      </w:pPr>
      <w:r>
        <w:rPr>
          <w:rFonts w:hint="eastAsia" w:ascii="宋体" w:hAnsi="宋体" w:cs="宋体"/>
          <w:szCs w:val="24"/>
        </w:rPr>
        <w:t xml:space="preserve"> 2.7 使用委托人的财产</w:t>
      </w:r>
    </w:p>
    <w:p>
      <w:pPr>
        <w:keepNext w:val="0"/>
        <w:keepLines w:val="0"/>
        <w:widowControl w:val="0"/>
        <w:kinsoku/>
        <w:wordWrap/>
        <w:overflowPunct/>
        <w:topLinePunct w:val="0"/>
        <w:autoSpaceDE/>
        <w:autoSpaceDN/>
        <w:bidi w:val="0"/>
        <w:adjustRightInd/>
        <w:spacing w:line="360" w:lineRule="auto"/>
        <w:textAlignment w:val="auto"/>
        <w:outlineLvl w:val="9"/>
        <w:rPr>
          <w:rFonts w:ascii="宋体" w:hAnsi="宋体" w:cs="宋体"/>
          <w:szCs w:val="24"/>
        </w:rPr>
      </w:pPr>
      <w:r>
        <w:rPr>
          <w:rFonts w:hint="eastAsia" w:ascii="宋体" w:hAnsi="宋体" w:cs="宋体"/>
          <w:szCs w:val="24"/>
        </w:rPr>
        <w:t xml:space="preserve">     附录B中由委托人无偿提供的房屋、设备的所有权属于：</w:t>
      </w:r>
      <w:r>
        <w:rPr>
          <w:rFonts w:hint="eastAsia" w:ascii="宋体" w:hAnsi="宋体" w:cs="宋体"/>
          <w:szCs w:val="24"/>
          <w:u w:val="single"/>
        </w:rPr>
        <w:t xml:space="preserve">  委托人</w:t>
      </w:r>
      <w:r>
        <w:rPr>
          <w:rFonts w:hint="eastAsia" w:ascii="宋体" w:hAnsi="宋体" w:cs="宋体"/>
          <w:b/>
          <w:szCs w:val="24"/>
          <w:u w:val="single"/>
        </w:rPr>
        <w:t xml:space="preserve"> </w:t>
      </w:r>
      <w:r>
        <w:rPr>
          <w:rFonts w:hint="eastAsia" w:ascii="宋体" w:hAnsi="宋体" w:cs="宋体"/>
          <w:szCs w:val="24"/>
          <w:u w:val="single"/>
        </w:rPr>
        <w:t xml:space="preserve">  </w:t>
      </w:r>
      <w:r>
        <w:rPr>
          <w:rFonts w:hint="eastAsia" w:ascii="宋体" w:hAnsi="宋体" w:cs="宋体"/>
          <w:szCs w:val="24"/>
        </w:rPr>
        <w:t>。</w:t>
      </w:r>
    </w:p>
    <w:p>
      <w:pPr>
        <w:keepNext w:val="0"/>
        <w:keepLines w:val="0"/>
        <w:widowControl w:val="0"/>
        <w:kinsoku/>
        <w:wordWrap/>
        <w:overflowPunct/>
        <w:topLinePunct w:val="0"/>
        <w:autoSpaceDE/>
        <w:autoSpaceDN/>
        <w:bidi w:val="0"/>
        <w:adjustRightInd/>
        <w:spacing w:line="360" w:lineRule="auto"/>
        <w:ind w:firstLine="525" w:firstLineChars="250"/>
        <w:textAlignment w:val="auto"/>
        <w:outlineLvl w:val="9"/>
        <w:rPr>
          <w:rFonts w:ascii="宋体" w:hAnsi="宋体" w:cs="宋体"/>
          <w:szCs w:val="24"/>
        </w:rPr>
      </w:pPr>
      <w:r>
        <w:rPr>
          <w:rFonts w:hint="eastAsia" w:ascii="宋体" w:hAnsi="宋体" w:cs="宋体"/>
          <w:szCs w:val="24"/>
        </w:rPr>
        <w:t>监理人应在本合同终止后</w:t>
      </w:r>
      <w:r>
        <w:rPr>
          <w:rFonts w:hint="eastAsia" w:ascii="宋体" w:hAnsi="宋体" w:cs="宋体"/>
          <w:b/>
          <w:szCs w:val="24"/>
          <w:u w:val="single"/>
        </w:rPr>
        <w:t>7</w:t>
      </w:r>
      <w:r>
        <w:rPr>
          <w:rFonts w:hint="eastAsia" w:ascii="宋体" w:hAnsi="宋体" w:cs="宋体"/>
          <w:szCs w:val="24"/>
        </w:rPr>
        <w:t>天内移交委托人无偿提供的房屋、设备，移交的时间和方式为：</w:t>
      </w:r>
      <w:r>
        <w:rPr>
          <w:rFonts w:hint="eastAsia" w:ascii="宋体" w:hAnsi="宋体" w:cs="宋体"/>
          <w:b/>
          <w:szCs w:val="24"/>
          <w:u w:val="single"/>
        </w:rPr>
        <w:t xml:space="preserve"> </w:t>
      </w:r>
      <w:r>
        <w:rPr>
          <w:rFonts w:hint="eastAsia" w:ascii="宋体" w:hAnsi="宋体" w:cs="宋体"/>
          <w:szCs w:val="24"/>
          <w:u w:val="single"/>
        </w:rPr>
        <w:t>当面移交</w:t>
      </w:r>
      <w:r>
        <w:rPr>
          <w:rFonts w:hint="eastAsia" w:ascii="宋体" w:hAnsi="宋体" w:cs="宋体"/>
          <w:b/>
          <w:szCs w:val="24"/>
          <w:u w:val="single"/>
        </w:rPr>
        <w:t xml:space="preserve"> </w:t>
      </w:r>
      <w:r>
        <w:rPr>
          <w:rFonts w:hint="eastAsia" w:ascii="宋体" w:hAnsi="宋体" w:cs="宋体"/>
          <w:szCs w:val="24"/>
        </w:rPr>
        <w:t>。</w:t>
      </w:r>
    </w:p>
    <w:p>
      <w:pPr>
        <w:keepNext w:val="0"/>
        <w:keepLines w:val="0"/>
        <w:widowControl w:val="0"/>
        <w:kinsoku/>
        <w:wordWrap/>
        <w:overflowPunct/>
        <w:topLinePunct w:val="0"/>
        <w:autoSpaceDE/>
        <w:autoSpaceDN/>
        <w:bidi w:val="0"/>
        <w:adjustRightInd/>
        <w:snapToGrid w:val="0"/>
        <w:spacing w:line="360" w:lineRule="auto"/>
        <w:textAlignment w:val="auto"/>
        <w:outlineLvl w:val="9"/>
        <w:rPr>
          <w:rFonts w:ascii="宋体" w:hAnsi="宋体" w:cs="宋体"/>
          <w:b/>
          <w:szCs w:val="24"/>
        </w:rPr>
      </w:pPr>
      <w:r>
        <w:rPr>
          <w:rFonts w:hint="eastAsia" w:ascii="宋体" w:hAnsi="宋体" w:cs="宋体"/>
          <w:b/>
          <w:szCs w:val="24"/>
        </w:rPr>
        <w:t xml:space="preserve">3. 委托人义务  </w:t>
      </w:r>
    </w:p>
    <w:p>
      <w:pPr>
        <w:keepNext w:val="0"/>
        <w:keepLines w:val="0"/>
        <w:widowControl w:val="0"/>
        <w:kinsoku/>
        <w:wordWrap/>
        <w:overflowPunct/>
        <w:topLinePunct w:val="0"/>
        <w:autoSpaceDE/>
        <w:autoSpaceDN/>
        <w:bidi w:val="0"/>
        <w:adjustRightInd/>
        <w:snapToGrid w:val="0"/>
        <w:spacing w:line="360" w:lineRule="auto"/>
        <w:textAlignment w:val="auto"/>
        <w:outlineLvl w:val="9"/>
        <w:rPr>
          <w:rFonts w:ascii="宋体" w:hAnsi="宋体" w:cs="宋体"/>
          <w:szCs w:val="24"/>
        </w:rPr>
      </w:pPr>
      <w:r>
        <w:rPr>
          <w:rFonts w:hint="eastAsia" w:ascii="宋体" w:hAnsi="宋体" w:cs="宋体"/>
          <w:szCs w:val="24"/>
        </w:rPr>
        <w:t xml:space="preserve">  3.4 委托人代表</w:t>
      </w:r>
    </w:p>
    <w:p>
      <w:pPr>
        <w:keepNext w:val="0"/>
        <w:keepLines w:val="0"/>
        <w:widowControl w:val="0"/>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color w:val="000000" w:themeColor="text1"/>
          <w:szCs w:val="24"/>
          <w:u w:val="single"/>
          <w14:textFill>
            <w14:solidFill>
              <w14:schemeClr w14:val="tx1"/>
            </w14:solidFill>
          </w14:textFill>
        </w:rPr>
      </w:pPr>
      <w:r>
        <w:rPr>
          <w:rFonts w:hint="eastAsia" w:ascii="宋体" w:hAnsi="宋体" w:cs="宋体"/>
          <w:color w:val="000000" w:themeColor="text1"/>
          <w:szCs w:val="24"/>
          <w14:textFill>
            <w14:solidFill>
              <w14:schemeClr w14:val="tx1"/>
            </w14:solidFill>
          </w14:textFill>
        </w:rPr>
        <w:t>委托人代表为：</w:t>
      </w:r>
      <w:r>
        <w:rPr>
          <w:rFonts w:hint="eastAsia" w:ascii="宋体" w:hAnsi="宋体" w:cs="宋体"/>
          <w:color w:val="000000" w:themeColor="text1"/>
          <w:szCs w:val="24"/>
          <w:u w:val="single"/>
          <w14:textFill>
            <w14:solidFill>
              <w14:schemeClr w14:val="tx1"/>
            </w14:solidFill>
          </w14:textFill>
        </w:rPr>
        <w:t xml:space="preserve">     </w:t>
      </w:r>
      <w:r>
        <w:rPr>
          <w:rFonts w:hint="eastAsia" w:ascii="宋体" w:hAnsi="宋体" w:cs="宋体"/>
          <w:color w:val="000000" w:themeColor="text1"/>
          <w:szCs w:val="24"/>
          <w14:textFill>
            <w14:solidFill>
              <w14:schemeClr w14:val="tx1"/>
            </w14:solidFill>
          </w14:textFill>
        </w:rPr>
        <w:t>。</w:t>
      </w:r>
    </w:p>
    <w:p>
      <w:pPr>
        <w:keepNext w:val="0"/>
        <w:keepLines w:val="0"/>
        <w:widowControl w:val="0"/>
        <w:kinsoku/>
        <w:wordWrap/>
        <w:overflowPunct/>
        <w:topLinePunct w:val="0"/>
        <w:autoSpaceDE/>
        <w:autoSpaceDN/>
        <w:bidi w:val="0"/>
        <w:adjustRightInd/>
        <w:snapToGrid w:val="0"/>
        <w:spacing w:line="360" w:lineRule="auto"/>
        <w:ind w:firstLine="205" w:firstLineChars="98"/>
        <w:textAlignment w:val="auto"/>
        <w:outlineLvl w:val="9"/>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3.6 答复</w:t>
      </w:r>
    </w:p>
    <w:p>
      <w:pPr>
        <w:keepNext w:val="0"/>
        <w:keepLines w:val="0"/>
        <w:widowControl w:val="0"/>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委托人同意在</w:t>
      </w:r>
      <w:r>
        <w:rPr>
          <w:rFonts w:hint="eastAsia" w:ascii="宋体" w:hAnsi="宋体" w:cs="宋体"/>
          <w:b/>
          <w:color w:val="000000" w:themeColor="text1"/>
          <w:szCs w:val="24"/>
          <w:u w:val="single"/>
          <w14:textFill>
            <w14:solidFill>
              <w14:schemeClr w14:val="tx1"/>
            </w14:solidFill>
          </w14:textFill>
        </w:rPr>
        <w:t xml:space="preserve"> </w:t>
      </w:r>
      <w:r>
        <w:rPr>
          <w:rFonts w:hint="eastAsia" w:ascii="宋体" w:hAnsi="宋体" w:cs="宋体"/>
          <w:color w:val="000000" w:themeColor="text1"/>
          <w:szCs w:val="24"/>
          <w:u w:val="single"/>
          <w14:textFill>
            <w14:solidFill>
              <w14:schemeClr w14:val="tx1"/>
            </w14:solidFill>
          </w14:textFill>
        </w:rPr>
        <w:t>7</w:t>
      </w:r>
      <w:r>
        <w:rPr>
          <w:rFonts w:hint="eastAsia" w:ascii="宋体" w:hAnsi="宋体" w:cs="宋体"/>
          <w:b/>
          <w:color w:val="000000" w:themeColor="text1"/>
          <w:szCs w:val="24"/>
          <w:u w:val="single"/>
          <w14:textFill>
            <w14:solidFill>
              <w14:schemeClr w14:val="tx1"/>
            </w14:solidFill>
          </w14:textFill>
        </w:rPr>
        <w:t xml:space="preserve"> </w:t>
      </w:r>
      <w:r>
        <w:rPr>
          <w:rFonts w:hint="eastAsia" w:ascii="宋体" w:hAnsi="宋体" w:cs="宋体"/>
          <w:color w:val="000000" w:themeColor="text1"/>
          <w:szCs w:val="24"/>
          <w14:textFill>
            <w14:solidFill>
              <w14:schemeClr w14:val="tx1"/>
            </w14:solidFill>
          </w14:textFill>
        </w:rPr>
        <w:t>天内，对监理人书面提交并要求做出决定的事宜给予书面答复。</w:t>
      </w:r>
    </w:p>
    <w:p>
      <w:pPr>
        <w:keepNext w:val="0"/>
        <w:keepLines w:val="0"/>
        <w:widowControl w:val="0"/>
        <w:kinsoku/>
        <w:wordWrap/>
        <w:overflowPunct/>
        <w:topLinePunct w:val="0"/>
        <w:autoSpaceDE/>
        <w:autoSpaceDN/>
        <w:bidi w:val="0"/>
        <w:adjustRightInd/>
        <w:snapToGrid w:val="0"/>
        <w:spacing w:line="360" w:lineRule="auto"/>
        <w:textAlignment w:val="auto"/>
        <w:outlineLvl w:val="9"/>
        <w:rPr>
          <w:rFonts w:ascii="宋体" w:hAnsi="宋体" w:cs="宋体"/>
          <w:b/>
          <w:color w:val="000000" w:themeColor="text1"/>
          <w:szCs w:val="24"/>
          <w14:textFill>
            <w14:solidFill>
              <w14:schemeClr w14:val="tx1"/>
            </w14:solidFill>
          </w14:textFill>
        </w:rPr>
      </w:pPr>
      <w:r>
        <w:rPr>
          <w:rFonts w:hint="eastAsia" w:ascii="宋体" w:hAnsi="宋体" w:cs="宋体"/>
          <w:b/>
          <w:color w:val="000000" w:themeColor="text1"/>
          <w:szCs w:val="24"/>
          <w14:textFill>
            <w14:solidFill>
              <w14:schemeClr w14:val="tx1"/>
            </w14:solidFill>
          </w14:textFill>
        </w:rPr>
        <w:t>4. 违约责任</w:t>
      </w:r>
    </w:p>
    <w:p>
      <w:pPr>
        <w:keepNext w:val="0"/>
        <w:keepLines w:val="0"/>
        <w:widowControl w:val="0"/>
        <w:kinsoku/>
        <w:wordWrap/>
        <w:overflowPunct/>
        <w:topLinePunct w:val="0"/>
        <w:autoSpaceDE/>
        <w:autoSpaceDN/>
        <w:bidi w:val="0"/>
        <w:adjustRightInd/>
        <w:spacing w:line="360" w:lineRule="auto"/>
        <w:ind w:left="210" w:leftChars="100"/>
        <w:textAlignment w:val="auto"/>
        <w:outlineLvl w:val="9"/>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4.1 监理人的违约责任</w:t>
      </w:r>
    </w:p>
    <w:p>
      <w:pPr>
        <w:keepNext w:val="0"/>
        <w:keepLines w:val="0"/>
        <w:widowControl w:val="0"/>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4.1.1监理人赔偿金额按下列方法确定：</w:t>
      </w:r>
    </w:p>
    <w:p>
      <w:pPr>
        <w:keepNext w:val="0"/>
        <w:keepLines w:val="0"/>
        <w:widowControl w:val="0"/>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赔偿金＝直接经济损失×中标监理费率（费率=监理合同额/施工合同额）</w:t>
      </w:r>
    </w:p>
    <w:p>
      <w:pPr>
        <w:keepNext w:val="0"/>
        <w:keepLines w:val="0"/>
        <w:widowControl w:val="0"/>
        <w:kinsoku/>
        <w:wordWrap/>
        <w:overflowPunct/>
        <w:topLinePunct w:val="0"/>
        <w:autoSpaceDE/>
        <w:autoSpaceDN/>
        <w:bidi w:val="0"/>
        <w:adjustRightInd/>
        <w:spacing w:line="360" w:lineRule="auto"/>
        <w:textAlignment w:val="auto"/>
        <w:outlineLvl w:val="9"/>
        <w:rPr>
          <w:rFonts w:ascii="宋体" w:hAnsi="宋体" w:cs="宋体"/>
          <w:b/>
          <w:color w:val="000000" w:themeColor="text1"/>
          <w:szCs w:val="24"/>
          <w:lang w:val="zh-CN"/>
          <w14:textFill>
            <w14:solidFill>
              <w14:schemeClr w14:val="tx1"/>
            </w14:solidFill>
          </w14:textFill>
        </w:rPr>
      </w:pPr>
      <w:r>
        <w:rPr>
          <w:rFonts w:hint="eastAsia" w:ascii="宋体" w:hAnsi="宋体" w:cs="宋体"/>
          <w:b/>
          <w:color w:val="000000" w:themeColor="text1"/>
          <w:szCs w:val="24"/>
          <w:lang w:val="zh-CN"/>
          <w14:textFill>
            <w14:solidFill>
              <w14:schemeClr w14:val="tx1"/>
            </w14:solidFill>
          </w14:textFill>
        </w:rPr>
        <w:t>5. 支付</w:t>
      </w:r>
    </w:p>
    <w:p>
      <w:pPr>
        <w:keepNext w:val="0"/>
        <w:keepLines w:val="0"/>
        <w:widowControl w:val="0"/>
        <w:kinsoku/>
        <w:wordWrap/>
        <w:overflowPunct/>
        <w:topLinePunct w:val="0"/>
        <w:autoSpaceDE/>
        <w:autoSpaceDN/>
        <w:bidi w:val="0"/>
        <w:adjustRightInd/>
        <w:spacing w:line="360" w:lineRule="auto"/>
        <w:textAlignment w:val="auto"/>
        <w:outlineLvl w:val="9"/>
        <w:rPr>
          <w:rFonts w:ascii="宋体" w:hAnsi="宋体" w:cs="宋体"/>
          <w:color w:val="000000" w:themeColor="text1"/>
          <w:szCs w:val="24"/>
          <w:lang w:val="zh-CN"/>
          <w14:textFill>
            <w14:solidFill>
              <w14:schemeClr w14:val="tx1"/>
            </w14:solidFill>
          </w14:textFill>
        </w:rPr>
      </w:pPr>
      <w:r>
        <w:rPr>
          <w:rFonts w:hint="eastAsia" w:ascii="宋体" w:hAnsi="宋体" w:cs="宋体"/>
          <w:color w:val="000000" w:themeColor="text1"/>
          <w:szCs w:val="24"/>
          <w:lang w:val="zh-CN"/>
          <w14:textFill>
            <w14:solidFill>
              <w14:schemeClr w14:val="tx1"/>
            </w14:solidFill>
          </w14:textFill>
        </w:rPr>
        <w:t xml:space="preserve">  5.1 支付货币</w:t>
      </w:r>
    </w:p>
    <w:p>
      <w:pPr>
        <w:keepNext w:val="0"/>
        <w:keepLines w:val="0"/>
        <w:widowControl w:val="0"/>
        <w:kinsoku/>
        <w:wordWrap/>
        <w:overflowPunct/>
        <w:topLinePunct w:val="0"/>
        <w:autoSpaceDE/>
        <w:autoSpaceDN/>
        <w:bidi w:val="0"/>
        <w:adjustRightInd/>
        <w:spacing w:line="360" w:lineRule="auto"/>
        <w:ind w:firstLine="560"/>
        <w:textAlignment w:val="auto"/>
        <w:outlineLvl w:val="9"/>
        <w:rPr>
          <w:rFonts w:ascii="宋体" w:hAnsi="宋体" w:cs="宋体"/>
          <w:color w:val="000000" w:themeColor="text1"/>
          <w:szCs w:val="24"/>
          <w:lang w:val="zh-CN"/>
          <w14:textFill>
            <w14:solidFill>
              <w14:schemeClr w14:val="tx1"/>
            </w14:solidFill>
          </w14:textFill>
        </w:rPr>
      </w:pPr>
      <w:r>
        <w:rPr>
          <w:rFonts w:hint="eastAsia" w:ascii="宋体" w:hAnsi="宋体" w:cs="宋体"/>
          <w:color w:val="000000" w:themeColor="text1"/>
          <w:szCs w:val="24"/>
          <w:lang w:val="zh-CN"/>
          <w14:textFill>
            <w14:solidFill>
              <w14:schemeClr w14:val="tx1"/>
            </w14:solidFill>
          </w14:textFill>
        </w:rPr>
        <w:t>币种为：</w:t>
      </w:r>
      <w:r>
        <w:rPr>
          <w:rFonts w:hint="eastAsia" w:ascii="宋体" w:hAnsi="宋体" w:cs="宋体"/>
          <w:color w:val="000000" w:themeColor="text1"/>
          <w:szCs w:val="24"/>
          <w:u w:val="single"/>
          <w:lang w:val="zh-CN"/>
          <w14:textFill>
            <w14:solidFill>
              <w14:schemeClr w14:val="tx1"/>
            </w14:solidFill>
          </w14:textFill>
        </w:rPr>
        <w:t>人民币</w:t>
      </w:r>
      <w:r>
        <w:rPr>
          <w:rFonts w:hint="eastAsia" w:ascii="宋体" w:hAnsi="宋体" w:cs="宋体"/>
          <w:color w:val="000000" w:themeColor="text1"/>
          <w:szCs w:val="24"/>
          <w:lang w:val="zh-CN"/>
          <w14:textFill>
            <w14:solidFill>
              <w14:schemeClr w14:val="tx1"/>
            </w14:solidFill>
          </w14:textFill>
        </w:rPr>
        <w:t>，比例为：</w:t>
      </w:r>
      <w:r>
        <w:rPr>
          <w:rFonts w:hint="eastAsia" w:ascii="宋体" w:hAnsi="宋体" w:cs="宋体"/>
          <w:color w:val="000000" w:themeColor="text1"/>
          <w:szCs w:val="24"/>
          <w:u w:val="single"/>
          <w:lang w:val="zh-CN"/>
          <w14:textFill>
            <w14:solidFill>
              <w14:schemeClr w14:val="tx1"/>
            </w14:solidFill>
          </w14:textFill>
        </w:rPr>
        <w:t xml:space="preserve">   /   </w:t>
      </w:r>
      <w:r>
        <w:rPr>
          <w:rFonts w:hint="eastAsia" w:ascii="宋体" w:hAnsi="宋体" w:cs="宋体"/>
          <w:color w:val="000000" w:themeColor="text1"/>
          <w:szCs w:val="24"/>
          <w:lang w:val="zh-CN"/>
          <w14:textFill>
            <w14:solidFill>
              <w14:schemeClr w14:val="tx1"/>
            </w14:solidFill>
          </w14:textFill>
        </w:rPr>
        <w:t>，汇率为：</w:t>
      </w:r>
      <w:r>
        <w:rPr>
          <w:rFonts w:hint="eastAsia" w:ascii="宋体" w:hAnsi="宋体" w:cs="宋体"/>
          <w:color w:val="000000" w:themeColor="text1"/>
          <w:szCs w:val="24"/>
          <w:u w:val="single"/>
          <w:lang w:val="zh-CN"/>
          <w14:textFill>
            <w14:solidFill>
              <w14:schemeClr w14:val="tx1"/>
            </w14:solidFill>
          </w14:textFill>
        </w:rPr>
        <w:t xml:space="preserve">   /   </w:t>
      </w:r>
      <w:r>
        <w:rPr>
          <w:rFonts w:hint="eastAsia" w:ascii="宋体" w:hAnsi="宋体" w:cs="宋体"/>
          <w:color w:val="000000" w:themeColor="text1"/>
          <w:szCs w:val="24"/>
          <w:lang w:val="zh-CN"/>
          <w14:textFill>
            <w14:solidFill>
              <w14:schemeClr w14:val="tx1"/>
            </w14:solidFill>
          </w14:textFill>
        </w:rPr>
        <w:t xml:space="preserve">。 </w:t>
      </w:r>
    </w:p>
    <w:p>
      <w:pPr>
        <w:pStyle w:val="43"/>
        <w:keepNext w:val="0"/>
        <w:keepLines w:val="0"/>
        <w:widowControl w:val="0"/>
        <w:kinsoku/>
        <w:wordWrap/>
        <w:overflowPunct/>
        <w:topLinePunct w:val="0"/>
        <w:autoSpaceDE/>
        <w:autoSpaceDN/>
        <w:bidi w:val="0"/>
        <w:adjustRightInd/>
        <w:ind w:firstLine="210" w:firstLineChars="100"/>
        <w:textAlignment w:val="auto"/>
        <w:outlineLvl w:val="9"/>
        <w:rPr>
          <w:rFonts w:ascii="宋体" w:hAnsi="宋体" w:cs="宋体"/>
          <w:color w:val="000000" w:themeColor="text1"/>
          <w:sz w:val="21"/>
          <w:szCs w:val="24"/>
          <w:lang w:val="zh-CN"/>
          <w14:textFill>
            <w14:solidFill>
              <w14:schemeClr w14:val="tx1"/>
            </w14:solidFill>
          </w14:textFill>
        </w:rPr>
      </w:pPr>
      <w:r>
        <w:rPr>
          <w:rFonts w:hint="eastAsia" w:ascii="宋体" w:hAnsi="宋体" w:cs="宋体"/>
          <w:color w:val="000000" w:themeColor="text1"/>
          <w:sz w:val="21"/>
          <w:szCs w:val="24"/>
          <w:lang w:val="zh-CN"/>
          <w14:textFill>
            <w14:solidFill>
              <w14:schemeClr w14:val="tx1"/>
            </w14:solidFill>
          </w14:textFill>
        </w:rPr>
        <w:t>5.2履约担保</w:t>
      </w:r>
    </w:p>
    <w:p>
      <w:pPr>
        <w:pStyle w:val="43"/>
        <w:keepNext w:val="0"/>
        <w:keepLines w:val="0"/>
        <w:widowControl w:val="0"/>
        <w:kinsoku/>
        <w:wordWrap/>
        <w:overflowPunct/>
        <w:topLinePunct w:val="0"/>
        <w:autoSpaceDE/>
        <w:autoSpaceDN/>
        <w:bidi w:val="0"/>
        <w:adjustRightInd/>
        <w:ind w:firstLine="420"/>
        <w:textAlignment w:val="auto"/>
        <w:outlineLvl w:val="9"/>
        <w:rPr>
          <w:color w:val="000000" w:themeColor="text1"/>
          <w:sz w:val="21"/>
          <w:szCs w:val="21"/>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 xml:space="preserve">  </w:t>
      </w:r>
      <w:r>
        <w:rPr>
          <w:rFonts w:hint="eastAsia" w:ascii="宋体" w:hAnsi="宋体" w:cs="宋体"/>
          <w:color w:val="000000" w:themeColor="text1"/>
          <w:sz w:val="21"/>
          <w:szCs w:val="21"/>
          <w:u w:val="single"/>
          <w:lang w:val="en-US" w:eastAsia="zh-CN"/>
          <w14:textFill>
            <w14:solidFill>
              <w14:schemeClr w14:val="tx1"/>
            </w14:solidFill>
          </w14:textFill>
        </w:rPr>
        <w:t xml:space="preserve">  缴纳  </w:t>
      </w:r>
      <w:r>
        <w:rPr>
          <w:rFonts w:hint="eastAsia" w:ascii="宋体" w:hAnsi="宋体" w:cs="宋体"/>
          <w:color w:val="000000" w:themeColor="text1"/>
          <w:sz w:val="21"/>
          <w:szCs w:val="21"/>
          <w:lang w:val="en-US" w:eastAsia="zh-CN"/>
          <w14:textFill>
            <w14:solidFill>
              <w14:schemeClr w14:val="tx1"/>
            </w14:solidFill>
          </w14:textFill>
        </w:rPr>
        <w:t xml:space="preserve"> </w:t>
      </w:r>
      <w:r>
        <w:rPr>
          <w:rFonts w:hint="eastAsia" w:ascii="宋体" w:hAnsi="宋体" w:cs="宋体"/>
          <w:color w:val="000000" w:themeColor="text1"/>
          <w:sz w:val="21"/>
          <w:szCs w:val="21"/>
          <w14:textFill>
            <w14:solidFill>
              <w14:schemeClr w14:val="tx1"/>
            </w14:solidFill>
          </w14:textFill>
        </w:rPr>
        <w:t>。</w:t>
      </w:r>
    </w:p>
    <w:p>
      <w:pPr>
        <w:keepNext w:val="0"/>
        <w:keepLines w:val="0"/>
        <w:widowControl w:val="0"/>
        <w:kinsoku/>
        <w:wordWrap/>
        <w:overflowPunct/>
        <w:topLinePunct w:val="0"/>
        <w:autoSpaceDE/>
        <w:autoSpaceDN/>
        <w:bidi w:val="0"/>
        <w:adjustRightInd/>
        <w:spacing w:line="360" w:lineRule="auto"/>
        <w:ind w:firstLine="320"/>
        <w:textAlignment w:val="auto"/>
        <w:outlineLvl w:val="9"/>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 xml:space="preserve">5.3 </w:t>
      </w:r>
      <w:r>
        <w:rPr>
          <w:rFonts w:hint="eastAsia" w:ascii="宋体" w:hAnsi="宋体" w:cs="宋体"/>
          <w:color w:val="000000" w:themeColor="text1"/>
          <w:szCs w:val="24"/>
          <w:lang w:val="zh-CN"/>
          <w14:textFill>
            <w14:solidFill>
              <w14:schemeClr w14:val="tx1"/>
            </w14:solidFill>
          </w14:textFill>
        </w:rPr>
        <w:t>支付酬金</w:t>
      </w:r>
    </w:p>
    <w:p>
      <w:pPr>
        <w:spacing w:line="400" w:lineRule="exact"/>
        <w:ind w:firstLine="440" w:firstLineChars="200"/>
        <w:rPr>
          <w:rFonts w:hint="eastAsia" w:ascii="宋体" w:hAnsi="宋体" w:cs="Times New Roman"/>
          <w:color w:val="000000" w:themeColor="text1"/>
          <w:sz w:val="22"/>
          <w:szCs w:val="22"/>
          <w:highlight w:val="none"/>
          <w14:textFill>
            <w14:solidFill>
              <w14:schemeClr w14:val="tx1"/>
            </w14:solidFill>
          </w14:textFill>
        </w:rPr>
      </w:pPr>
      <w:r>
        <w:rPr>
          <w:rFonts w:hint="eastAsia" w:ascii="宋体" w:hAnsi="宋体" w:cs="Times New Roman"/>
          <w:color w:val="000000" w:themeColor="text1"/>
          <w:sz w:val="22"/>
          <w:szCs w:val="22"/>
          <w:highlight w:val="none"/>
          <w14:textFill>
            <w14:solidFill>
              <w14:schemeClr w14:val="tx1"/>
            </w14:solidFill>
          </w14:textFill>
        </w:rPr>
        <w:t>本工程按季度付款，每季中标人报送监理服务费支付申请，按实际完成工程量支付应付监理费的70%；验收合格并完成工程结算后，支付至中标价的90%，同时无息退还监理单位缴纳的履约担保；剩余10%的监理费，在缺陷责任期满后，一次性无息付清。</w:t>
      </w:r>
    </w:p>
    <w:p>
      <w:pPr>
        <w:keepNext w:val="0"/>
        <w:keepLines w:val="0"/>
        <w:widowControl w:val="0"/>
        <w:kinsoku/>
        <w:wordWrap/>
        <w:overflowPunct/>
        <w:topLinePunct w:val="0"/>
        <w:autoSpaceDE/>
        <w:autoSpaceDN/>
        <w:bidi w:val="0"/>
        <w:adjustRightInd/>
        <w:snapToGrid w:val="0"/>
        <w:spacing w:line="360" w:lineRule="auto"/>
        <w:textAlignment w:val="auto"/>
        <w:outlineLvl w:val="9"/>
        <w:rPr>
          <w:rFonts w:ascii="宋体" w:hAnsi="宋体" w:cs="宋体"/>
          <w:b/>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6</w:t>
      </w:r>
      <w:r>
        <w:rPr>
          <w:rFonts w:hint="eastAsia" w:ascii="宋体" w:hAnsi="宋体" w:cs="宋体"/>
          <w:b/>
          <w:color w:val="000000" w:themeColor="text1"/>
          <w:szCs w:val="24"/>
          <w14:textFill>
            <w14:solidFill>
              <w14:schemeClr w14:val="tx1"/>
            </w14:solidFill>
          </w14:textFill>
        </w:rPr>
        <w:t>. 合同生效、变更、暂停、解除与终止</w:t>
      </w:r>
    </w:p>
    <w:p>
      <w:pPr>
        <w:keepNext w:val="0"/>
        <w:keepLines w:val="0"/>
        <w:widowControl w:val="0"/>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6.1 生效</w:t>
      </w:r>
    </w:p>
    <w:p>
      <w:pPr>
        <w:keepNext w:val="0"/>
        <w:keepLines w:val="0"/>
        <w:widowControl w:val="0"/>
        <w:kinsoku/>
        <w:wordWrap/>
        <w:overflowPunct/>
        <w:topLinePunct w:val="0"/>
        <w:autoSpaceDE/>
        <w:autoSpaceDN/>
        <w:bidi w:val="0"/>
        <w:adjustRightInd/>
        <w:snapToGrid w:val="0"/>
        <w:spacing w:line="360" w:lineRule="auto"/>
        <w:ind w:firstLine="480"/>
        <w:textAlignment w:val="auto"/>
        <w:outlineLvl w:val="9"/>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本合同生效条件：</w:t>
      </w:r>
      <w:r>
        <w:rPr>
          <w:rFonts w:hint="eastAsia" w:ascii="宋体" w:hAnsi="宋体" w:cs="宋体"/>
          <w:color w:val="000000" w:themeColor="text1"/>
          <w:szCs w:val="24"/>
          <w:u w:val="single"/>
          <w14:textFill>
            <w14:solidFill>
              <w14:schemeClr w14:val="tx1"/>
            </w14:solidFill>
          </w14:textFill>
        </w:rPr>
        <w:t xml:space="preserve"> 双方签字、盖章后 </w:t>
      </w:r>
      <w:r>
        <w:rPr>
          <w:rFonts w:hint="eastAsia" w:ascii="宋体" w:hAnsi="宋体" w:cs="宋体"/>
          <w:color w:val="000000" w:themeColor="text1"/>
          <w:szCs w:val="24"/>
          <w14:textFill>
            <w14:solidFill>
              <w14:schemeClr w14:val="tx1"/>
            </w14:solidFill>
          </w14:textFill>
        </w:rPr>
        <w:t>。</w:t>
      </w:r>
    </w:p>
    <w:p>
      <w:pPr>
        <w:keepNext w:val="0"/>
        <w:keepLines w:val="0"/>
        <w:widowControl w:val="0"/>
        <w:kinsoku/>
        <w:wordWrap/>
        <w:overflowPunct/>
        <w:topLinePunct w:val="0"/>
        <w:autoSpaceDE/>
        <w:autoSpaceDN/>
        <w:bidi w:val="0"/>
        <w:adjustRightInd/>
        <w:snapToGrid w:val="0"/>
        <w:spacing w:line="360" w:lineRule="auto"/>
        <w:ind w:firstLine="413" w:firstLineChars="197"/>
        <w:textAlignment w:val="auto"/>
        <w:outlineLvl w:val="9"/>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6.2 变更</w:t>
      </w:r>
    </w:p>
    <w:p>
      <w:pPr>
        <w:keepNext w:val="0"/>
        <w:keepLines w:val="0"/>
        <w:widowControl w:val="0"/>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 xml:space="preserve">6.2.2 除不可抗力外，项目建设工期延长不增加监理费用。 </w:t>
      </w:r>
    </w:p>
    <w:p>
      <w:pPr>
        <w:keepNext w:val="0"/>
        <w:keepLines w:val="0"/>
        <w:widowControl w:val="0"/>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6.2.3因工程规模、监理范围的变化导致监理人的正常工作量减少时，按减少工作量的比例从协议书约定的正常工作酬金中扣减相同比例的酬金。</w:t>
      </w:r>
    </w:p>
    <w:p>
      <w:pPr>
        <w:keepNext w:val="0"/>
        <w:keepLines w:val="0"/>
        <w:widowControl w:val="0"/>
        <w:kinsoku/>
        <w:wordWrap/>
        <w:overflowPunct/>
        <w:topLinePunct w:val="0"/>
        <w:autoSpaceDE/>
        <w:autoSpaceDN/>
        <w:bidi w:val="0"/>
        <w:adjustRightInd/>
        <w:snapToGrid w:val="0"/>
        <w:spacing w:line="360" w:lineRule="auto"/>
        <w:textAlignment w:val="auto"/>
        <w:outlineLvl w:val="9"/>
        <w:rPr>
          <w:rFonts w:ascii="宋体" w:hAnsi="宋体" w:cs="宋体"/>
          <w:b/>
          <w:color w:val="000000" w:themeColor="text1"/>
          <w:szCs w:val="24"/>
          <w14:textFill>
            <w14:solidFill>
              <w14:schemeClr w14:val="tx1"/>
            </w14:solidFill>
          </w14:textFill>
        </w:rPr>
      </w:pPr>
      <w:r>
        <w:rPr>
          <w:rFonts w:hint="eastAsia" w:ascii="宋体" w:hAnsi="宋体" w:cs="宋体"/>
          <w:b/>
          <w:color w:val="000000" w:themeColor="text1"/>
          <w:szCs w:val="24"/>
          <w14:textFill>
            <w14:solidFill>
              <w14:schemeClr w14:val="tx1"/>
            </w14:solidFill>
          </w14:textFill>
        </w:rPr>
        <w:t>7. 争议解决</w:t>
      </w:r>
    </w:p>
    <w:p>
      <w:pPr>
        <w:keepNext w:val="0"/>
        <w:keepLines w:val="0"/>
        <w:widowControl w:val="0"/>
        <w:kinsoku/>
        <w:wordWrap/>
        <w:overflowPunct/>
        <w:topLinePunct w:val="0"/>
        <w:autoSpaceDE/>
        <w:autoSpaceDN/>
        <w:bidi w:val="0"/>
        <w:adjustRightInd/>
        <w:snapToGrid w:val="0"/>
        <w:spacing w:line="360" w:lineRule="auto"/>
        <w:ind w:firstLine="205" w:firstLineChars="98"/>
        <w:textAlignment w:val="auto"/>
        <w:outlineLvl w:val="9"/>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7.1 调解</w:t>
      </w:r>
    </w:p>
    <w:p>
      <w:pPr>
        <w:keepNext w:val="0"/>
        <w:keepLines w:val="0"/>
        <w:widowControl w:val="0"/>
        <w:kinsoku/>
        <w:wordWrap/>
        <w:overflowPunct/>
        <w:topLinePunct w:val="0"/>
        <w:autoSpaceDE/>
        <w:autoSpaceDN/>
        <w:bidi w:val="0"/>
        <w:adjustRightInd/>
        <w:snapToGrid w:val="0"/>
        <w:spacing w:line="360" w:lineRule="auto"/>
        <w:ind w:firstLine="411" w:firstLineChars="196"/>
        <w:textAlignment w:val="auto"/>
        <w:outlineLvl w:val="9"/>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本合同争议进行调解时，可提交</w:t>
      </w:r>
      <w:r>
        <w:rPr>
          <w:rFonts w:hint="eastAsia" w:ascii="宋体" w:hAnsi="宋体" w:cs="宋体"/>
          <w:color w:val="000000" w:themeColor="text1"/>
          <w:szCs w:val="24"/>
          <w:u w:val="single"/>
          <w14:textFill>
            <w14:solidFill>
              <w14:schemeClr w14:val="tx1"/>
            </w14:solidFill>
          </w14:textFill>
        </w:rPr>
        <w:t xml:space="preserve"> 工程所在地具有管辖权的人民法院 </w:t>
      </w:r>
      <w:r>
        <w:rPr>
          <w:rFonts w:hint="eastAsia" w:ascii="宋体" w:hAnsi="宋体" w:cs="宋体"/>
          <w:color w:val="000000" w:themeColor="text1"/>
          <w:szCs w:val="24"/>
          <w14:textFill>
            <w14:solidFill>
              <w14:schemeClr w14:val="tx1"/>
            </w14:solidFill>
          </w14:textFill>
        </w:rPr>
        <w:t>进行调解。</w:t>
      </w:r>
    </w:p>
    <w:p>
      <w:pPr>
        <w:keepNext w:val="0"/>
        <w:keepLines w:val="0"/>
        <w:widowControl w:val="0"/>
        <w:kinsoku/>
        <w:wordWrap/>
        <w:overflowPunct/>
        <w:topLinePunct w:val="0"/>
        <w:autoSpaceDE/>
        <w:autoSpaceDN/>
        <w:bidi w:val="0"/>
        <w:adjustRightInd/>
        <w:snapToGrid w:val="0"/>
        <w:spacing w:line="360" w:lineRule="auto"/>
        <w:ind w:firstLine="205" w:firstLineChars="98"/>
        <w:textAlignment w:val="auto"/>
        <w:outlineLvl w:val="9"/>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7.2 仲裁或诉讼</w:t>
      </w:r>
    </w:p>
    <w:p>
      <w:pPr>
        <w:keepNext w:val="0"/>
        <w:keepLines w:val="0"/>
        <w:widowControl w:val="0"/>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合同争议的最终解决方式为下列第</w:t>
      </w:r>
      <w:r>
        <w:rPr>
          <w:rFonts w:hint="eastAsia" w:ascii="宋体" w:hAnsi="宋体" w:cs="宋体"/>
          <w:color w:val="000000" w:themeColor="text1"/>
          <w:szCs w:val="24"/>
          <w:u w:val="single"/>
          <w14:textFill>
            <w14:solidFill>
              <w14:schemeClr w14:val="tx1"/>
            </w14:solidFill>
          </w14:textFill>
        </w:rPr>
        <w:t xml:space="preserve"> （2） </w:t>
      </w:r>
      <w:r>
        <w:rPr>
          <w:rFonts w:hint="eastAsia" w:ascii="宋体" w:hAnsi="宋体" w:cs="宋体"/>
          <w:color w:val="000000" w:themeColor="text1"/>
          <w:szCs w:val="24"/>
          <w14:textFill>
            <w14:solidFill>
              <w14:schemeClr w14:val="tx1"/>
            </w14:solidFill>
          </w14:textFill>
        </w:rPr>
        <w:t>种方式：</w:t>
      </w:r>
    </w:p>
    <w:p>
      <w:pPr>
        <w:keepNext w:val="0"/>
        <w:keepLines w:val="0"/>
        <w:widowControl w:val="0"/>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（1）提请</w:t>
      </w:r>
      <w:r>
        <w:rPr>
          <w:rFonts w:hint="eastAsia" w:ascii="宋体" w:hAnsi="宋体" w:cs="宋体"/>
          <w:color w:val="000000" w:themeColor="text1"/>
          <w:szCs w:val="24"/>
          <w:u w:val="single"/>
          <w14:textFill>
            <w14:solidFill>
              <w14:schemeClr w14:val="tx1"/>
            </w14:solidFill>
          </w14:textFill>
        </w:rPr>
        <w:t xml:space="preserve">  / </w:t>
      </w:r>
      <w:r>
        <w:rPr>
          <w:rFonts w:hint="eastAsia" w:ascii="宋体" w:hAnsi="宋体" w:cs="宋体"/>
          <w:color w:val="000000" w:themeColor="text1"/>
          <w:szCs w:val="24"/>
          <w14:textFill>
            <w14:solidFill>
              <w14:schemeClr w14:val="tx1"/>
            </w14:solidFill>
          </w14:textFill>
        </w:rPr>
        <w:t>仲裁委员会进行仲裁。</w:t>
      </w:r>
    </w:p>
    <w:p>
      <w:pPr>
        <w:keepNext w:val="0"/>
        <w:keepLines w:val="0"/>
        <w:widowControl w:val="0"/>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（2）向</w:t>
      </w:r>
      <w:r>
        <w:rPr>
          <w:rFonts w:hint="eastAsia" w:ascii="宋体" w:hAnsi="宋体" w:cs="宋体"/>
          <w:color w:val="000000" w:themeColor="text1"/>
          <w:szCs w:val="24"/>
          <w:u w:val="single"/>
          <w14:textFill>
            <w14:solidFill>
              <w14:schemeClr w14:val="tx1"/>
            </w14:solidFill>
          </w14:textFill>
        </w:rPr>
        <w:t xml:space="preserve"> 项目所在地  </w:t>
      </w:r>
      <w:r>
        <w:rPr>
          <w:rFonts w:hint="eastAsia" w:ascii="宋体" w:hAnsi="宋体" w:cs="宋体"/>
          <w:color w:val="000000" w:themeColor="text1"/>
          <w:szCs w:val="24"/>
          <w14:textFill>
            <w14:solidFill>
              <w14:schemeClr w14:val="tx1"/>
            </w14:solidFill>
          </w14:textFill>
        </w:rPr>
        <w:t>人民法院提起诉讼。</w:t>
      </w:r>
    </w:p>
    <w:p>
      <w:pPr>
        <w:keepNext w:val="0"/>
        <w:keepLines w:val="0"/>
        <w:widowControl w:val="0"/>
        <w:kinsoku/>
        <w:wordWrap/>
        <w:overflowPunct/>
        <w:topLinePunct w:val="0"/>
        <w:autoSpaceDE/>
        <w:autoSpaceDN/>
        <w:bidi w:val="0"/>
        <w:adjustRightInd/>
        <w:snapToGrid w:val="0"/>
        <w:spacing w:line="360" w:lineRule="auto"/>
        <w:textAlignment w:val="auto"/>
        <w:outlineLvl w:val="9"/>
        <w:rPr>
          <w:rFonts w:ascii="宋体" w:hAnsi="宋体" w:cs="宋体"/>
          <w:b/>
          <w:color w:val="000000" w:themeColor="text1"/>
          <w:szCs w:val="24"/>
          <w14:textFill>
            <w14:solidFill>
              <w14:schemeClr w14:val="tx1"/>
            </w14:solidFill>
          </w14:textFill>
        </w:rPr>
      </w:pPr>
      <w:r>
        <w:rPr>
          <w:rFonts w:hint="eastAsia" w:ascii="宋体" w:hAnsi="宋体" w:cs="宋体"/>
          <w:b/>
          <w:color w:val="000000" w:themeColor="text1"/>
          <w:szCs w:val="24"/>
          <w14:textFill>
            <w14:solidFill>
              <w14:schemeClr w14:val="tx1"/>
            </w14:solidFill>
          </w14:textFill>
        </w:rPr>
        <w:t>8. 其他</w:t>
      </w:r>
    </w:p>
    <w:p>
      <w:pPr>
        <w:keepNext w:val="0"/>
        <w:keepLines w:val="0"/>
        <w:widowControl w:val="0"/>
        <w:kinsoku/>
        <w:wordWrap/>
        <w:overflowPunct/>
        <w:topLinePunct w:val="0"/>
        <w:autoSpaceDE/>
        <w:autoSpaceDN/>
        <w:bidi w:val="0"/>
        <w:adjustRightInd/>
        <w:snapToGrid w:val="0"/>
        <w:spacing w:line="360" w:lineRule="auto"/>
        <w:textAlignment w:val="auto"/>
        <w:outlineLvl w:val="9"/>
        <w:rPr>
          <w:rFonts w:ascii="宋体" w:hAnsi="宋体" w:cs="宋体"/>
          <w:color w:val="000000" w:themeColor="text1"/>
          <w:szCs w:val="24"/>
          <w14:textFill>
            <w14:solidFill>
              <w14:schemeClr w14:val="tx1"/>
            </w14:solidFill>
          </w14:textFill>
        </w:rPr>
      </w:pPr>
      <w:r>
        <w:rPr>
          <w:rFonts w:hint="eastAsia" w:ascii="宋体" w:hAnsi="宋体" w:cs="宋体"/>
          <w:b/>
          <w:color w:val="000000" w:themeColor="text1"/>
          <w:szCs w:val="24"/>
          <w14:textFill>
            <w14:solidFill>
              <w14:schemeClr w14:val="tx1"/>
            </w14:solidFill>
          </w14:textFill>
        </w:rPr>
        <w:t xml:space="preserve">  </w:t>
      </w:r>
      <w:r>
        <w:rPr>
          <w:rFonts w:hint="eastAsia" w:ascii="宋体" w:hAnsi="宋体" w:cs="宋体"/>
          <w:color w:val="000000" w:themeColor="text1"/>
          <w:szCs w:val="24"/>
          <w14:textFill>
            <w14:solidFill>
              <w14:schemeClr w14:val="tx1"/>
            </w14:solidFill>
          </w14:textFill>
        </w:rPr>
        <w:t>8.1 检测费用</w:t>
      </w:r>
    </w:p>
    <w:p>
      <w:pPr>
        <w:keepNext w:val="0"/>
        <w:keepLines w:val="0"/>
        <w:widowControl w:val="0"/>
        <w:kinsoku/>
        <w:wordWrap/>
        <w:overflowPunct/>
        <w:topLinePunct w:val="0"/>
        <w:autoSpaceDE/>
        <w:autoSpaceDN/>
        <w:bidi w:val="0"/>
        <w:adjustRightInd/>
        <w:snapToGrid w:val="0"/>
        <w:spacing w:line="360" w:lineRule="auto"/>
        <w:textAlignment w:val="auto"/>
        <w:outlineLvl w:val="9"/>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 xml:space="preserve">    委托人应在检测工作完成后</w:t>
      </w:r>
      <w:r>
        <w:rPr>
          <w:rFonts w:hint="eastAsia" w:ascii="宋体" w:hAnsi="宋体" w:cs="宋体"/>
          <w:color w:val="000000" w:themeColor="text1"/>
          <w:szCs w:val="24"/>
          <w:u w:val="single"/>
          <w14:textFill>
            <w14:solidFill>
              <w14:schemeClr w14:val="tx1"/>
            </w14:solidFill>
          </w14:textFill>
        </w:rPr>
        <w:t xml:space="preserve"> 7 </w:t>
      </w:r>
      <w:r>
        <w:rPr>
          <w:rFonts w:hint="eastAsia" w:ascii="宋体" w:hAnsi="宋体" w:cs="宋体"/>
          <w:color w:val="000000" w:themeColor="text1"/>
          <w:szCs w:val="24"/>
          <w14:textFill>
            <w14:solidFill>
              <w14:schemeClr w14:val="tx1"/>
            </w14:solidFill>
          </w14:textFill>
        </w:rPr>
        <w:t>天内支付检测费用。</w:t>
      </w:r>
    </w:p>
    <w:p>
      <w:pPr>
        <w:keepNext w:val="0"/>
        <w:keepLines w:val="0"/>
        <w:widowControl w:val="0"/>
        <w:kinsoku/>
        <w:wordWrap/>
        <w:overflowPunct/>
        <w:topLinePunct w:val="0"/>
        <w:autoSpaceDE/>
        <w:autoSpaceDN/>
        <w:bidi w:val="0"/>
        <w:adjustRightInd/>
        <w:snapToGrid w:val="0"/>
        <w:spacing w:line="360" w:lineRule="auto"/>
        <w:textAlignment w:val="auto"/>
        <w:outlineLvl w:val="9"/>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 xml:space="preserve">  8.2 咨询费用</w:t>
      </w:r>
    </w:p>
    <w:p>
      <w:pPr>
        <w:keepNext w:val="0"/>
        <w:keepLines w:val="0"/>
        <w:widowControl w:val="0"/>
        <w:kinsoku/>
        <w:wordWrap/>
        <w:overflowPunct/>
        <w:topLinePunct w:val="0"/>
        <w:autoSpaceDE/>
        <w:autoSpaceDN/>
        <w:bidi w:val="0"/>
        <w:adjustRightInd/>
        <w:snapToGrid w:val="0"/>
        <w:spacing w:line="360" w:lineRule="auto"/>
        <w:textAlignment w:val="auto"/>
        <w:outlineLvl w:val="9"/>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 xml:space="preserve">    委托人应在咨询工作完成后</w:t>
      </w:r>
      <w:r>
        <w:rPr>
          <w:rFonts w:hint="eastAsia" w:ascii="宋体" w:hAnsi="宋体" w:cs="宋体"/>
          <w:color w:val="000000" w:themeColor="text1"/>
          <w:szCs w:val="24"/>
          <w:u w:val="single"/>
          <w14:textFill>
            <w14:solidFill>
              <w14:schemeClr w14:val="tx1"/>
            </w14:solidFill>
          </w14:textFill>
        </w:rPr>
        <w:t xml:space="preserve"> 7 </w:t>
      </w:r>
      <w:r>
        <w:rPr>
          <w:rFonts w:hint="eastAsia" w:ascii="宋体" w:hAnsi="宋体" w:cs="宋体"/>
          <w:color w:val="000000" w:themeColor="text1"/>
          <w:szCs w:val="24"/>
          <w14:textFill>
            <w14:solidFill>
              <w14:schemeClr w14:val="tx1"/>
            </w14:solidFill>
          </w14:textFill>
        </w:rPr>
        <w:t>天内支付咨询费用。</w:t>
      </w:r>
    </w:p>
    <w:p>
      <w:pPr>
        <w:keepNext w:val="0"/>
        <w:keepLines w:val="0"/>
        <w:widowControl w:val="0"/>
        <w:kinsoku/>
        <w:wordWrap/>
        <w:overflowPunct/>
        <w:topLinePunct w:val="0"/>
        <w:autoSpaceDE/>
        <w:autoSpaceDN/>
        <w:bidi w:val="0"/>
        <w:adjustRightInd/>
        <w:snapToGrid w:val="0"/>
        <w:spacing w:line="360" w:lineRule="auto"/>
        <w:ind w:firstLine="205" w:firstLineChars="98"/>
        <w:textAlignment w:val="auto"/>
        <w:outlineLvl w:val="9"/>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8.3 奖励</w:t>
      </w:r>
    </w:p>
    <w:p>
      <w:pPr>
        <w:keepNext w:val="0"/>
        <w:keepLines w:val="0"/>
        <w:widowControl w:val="0"/>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合理化建议的奖励金额按下列方法确定为：</w:t>
      </w:r>
    </w:p>
    <w:p>
      <w:pPr>
        <w:keepNext w:val="0"/>
        <w:keepLines w:val="0"/>
        <w:widowControl w:val="0"/>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奖励金额＝工程投资节省额×奖励金额的比率；</w:t>
      </w:r>
    </w:p>
    <w:p>
      <w:pPr>
        <w:keepNext w:val="0"/>
        <w:keepLines w:val="0"/>
        <w:widowControl w:val="0"/>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奖励金额的比率为</w:t>
      </w:r>
      <w:r>
        <w:rPr>
          <w:rFonts w:hint="eastAsia" w:ascii="宋体" w:hAnsi="宋体" w:cs="宋体"/>
          <w:color w:val="000000" w:themeColor="text1"/>
          <w:szCs w:val="24"/>
          <w:u w:val="single"/>
          <w14:textFill>
            <w14:solidFill>
              <w14:schemeClr w14:val="tx1"/>
            </w14:solidFill>
          </w14:textFill>
        </w:rPr>
        <w:t xml:space="preserve"> / </w:t>
      </w:r>
      <w:r>
        <w:rPr>
          <w:rFonts w:hint="eastAsia" w:ascii="宋体" w:hAnsi="宋体" w:cs="宋体"/>
          <w:color w:val="000000" w:themeColor="text1"/>
          <w:szCs w:val="24"/>
          <w14:textFill>
            <w14:solidFill>
              <w14:schemeClr w14:val="tx1"/>
            </w14:solidFill>
          </w14:textFill>
        </w:rPr>
        <w:t>%。</w:t>
      </w:r>
    </w:p>
    <w:p>
      <w:pPr>
        <w:keepNext w:val="0"/>
        <w:keepLines w:val="0"/>
        <w:widowControl w:val="0"/>
        <w:kinsoku/>
        <w:wordWrap/>
        <w:overflowPunct/>
        <w:topLinePunct w:val="0"/>
        <w:autoSpaceDE/>
        <w:autoSpaceDN/>
        <w:bidi w:val="0"/>
        <w:adjustRightInd/>
        <w:snapToGrid w:val="0"/>
        <w:spacing w:line="360" w:lineRule="auto"/>
        <w:ind w:firstLine="205" w:firstLineChars="98"/>
        <w:textAlignment w:val="auto"/>
        <w:outlineLvl w:val="9"/>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8.4 保密</w:t>
      </w:r>
    </w:p>
    <w:p>
      <w:pPr>
        <w:keepNext w:val="0"/>
        <w:keepLines w:val="0"/>
        <w:widowControl w:val="0"/>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color w:val="000000" w:themeColor="text1"/>
          <w:szCs w:val="24"/>
          <w:u w:val="single"/>
          <w14:textFill>
            <w14:solidFill>
              <w14:schemeClr w14:val="tx1"/>
            </w14:solidFill>
          </w14:textFill>
        </w:rPr>
      </w:pPr>
      <w:r>
        <w:rPr>
          <w:rFonts w:hint="eastAsia" w:ascii="宋体" w:hAnsi="宋体" w:cs="宋体"/>
          <w:color w:val="000000" w:themeColor="text1"/>
          <w:szCs w:val="24"/>
          <w14:textFill>
            <w14:solidFill>
              <w14:schemeClr w14:val="tx1"/>
            </w14:solidFill>
          </w14:textFill>
        </w:rPr>
        <w:t>委托人申明的保密事项和期限：</w:t>
      </w:r>
      <w:r>
        <w:rPr>
          <w:rFonts w:hint="eastAsia" w:ascii="宋体" w:hAnsi="宋体" w:cs="宋体"/>
          <w:color w:val="000000" w:themeColor="text1"/>
          <w:szCs w:val="24"/>
          <w:u w:val="single"/>
          <w14:textFill>
            <w14:solidFill>
              <w14:schemeClr w14:val="tx1"/>
            </w14:solidFill>
          </w14:textFill>
        </w:rPr>
        <w:t xml:space="preserve">   / </w:t>
      </w:r>
      <w:r>
        <w:rPr>
          <w:rFonts w:hint="eastAsia" w:ascii="宋体" w:hAnsi="宋体" w:cs="宋体"/>
          <w:b/>
          <w:color w:val="000000" w:themeColor="text1"/>
          <w:szCs w:val="24"/>
          <w:u w:val="single"/>
          <w14:textFill>
            <w14:solidFill>
              <w14:schemeClr w14:val="tx1"/>
            </w14:solidFill>
          </w14:textFill>
        </w:rPr>
        <w:t xml:space="preserve"> </w:t>
      </w:r>
      <w:r>
        <w:rPr>
          <w:rFonts w:hint="eastAsia" w:ascii="宋体" w:hAnsi="宋体" w:cs="宋体"/>
          <w:color w:val="000000" w:themeColor="text1"/>
          <w:szCs w:val="24"/>
          <w:u w:val="single"/>
          <w14:textFill>
            <w14:solidFill>
              <w14:schemeClr w14:val="tx1"/>
            </w14:solidFill>
          </w14:textFill>
        </w:rPr>
        <w:t xml:space="preserve">   </w:t>
      </w:r>
      <w:r>
        <w:rPr>
          <w:rFonts w:hint="eastAsia" w:ascii="宋体" w:hAnsi="宋体" w:cs="宋体"/>
          <w:color w:val="000000" w:themeColor="text1"/>
          <w:szCs w:val="24"/>
          <w14:textFill>
            <w14:solidFill>
              <w14:schemeClr w14:val="tx1"/>
            </w14:solidFill>
          </w14:textFill>
        </w:rPr>
        <w:t>。</w:t>
      </w:r>
    </w:p>
    <w:p>
      <w:pPr>
        <w:keepNext w:val="0"/>
        <w:keepLines w:val="0"/>
        <w:widowControl w:val="0"/>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color w:val="000000" w:themeColor="text1"/>
          <w:szCs w:val="24"/>
          <w:u w:val="single"/>
          <w14:textFill>
            <w14:solidFill>
              <w14:schemeClr w14:val="tx1"/>
            </w14:solidFill>
          </w14:textFill>
        </w:rPr>
      </w:pPr>
      <w:r>
        <w:rPr>
          <w:rFonts w:hint="eastAsia" w:ascii="宋体" w:hAnsi="宋体" w:cs="宋体"/>
          <w:color w:val="000000" w:themeColor="text1"/>
          <w:szCs w:val="24"/>
          <w14:textFill>
            <w14:solidFill>
              <w14:schemeClr w14:val="tx1"/>
            </w14:solidFill>
          </w14:textFill>
        </w:rPr>
        <w:t>监理人申明的保密事项和期限：</w:t>
      </w:r>
      <w:r>
        <w:rPr>
          <w:rFonts w:hint="eastAsia" w:ascii="宋体" w:hAnsi="宋体" w:cs="宋体"/>
          <w:color w:val="000000" w:themeColor="text1"/>
          <w:szCs w:val="24"/>
          <w:u w:val="single"/>
          <w14:textFill>
            <w14:solidFill>
              <w14:schemeClr w14:val="tx1"/>
            </w14:solidFill>
          </w14:textFill>
        </w:rPr>
        <w:t xml:space="preserve">    /    </w:t>
      </w:r>
      <w:r>
        <w:rPr>
          <w:rFonts w:hint="eastAsia" w:ascii="宋体" w:hAnsi="宋体" w:cs="宋体"/>
          <w:color w:val="000000" w:themeColor="text1"/>
          <w:szCs w:val="24"/>
          <w14:textFill>
            <w14:solidFill>
              <w14:schemeClr w14:val="tx1"/>
            </w14:solidFill>
          </w14:textFill>
        </w:rPr>
        <w:t>。</w:t>
      </w:r>
    </w:p>
    <w:p>
      <w:pPr>
        <w:keepNext w:val="0"/>
        <w:keepLines w:val="0"/>
        <w:widowControl w:val="0"/>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color w:val="000000" w:themeColor="text1"/>
          <w:szCs w:val="24"/>
          <w:u w:val="single"/>
          <w14:textFill>
            <w14:solidFill>
              <w14:schemeClr w14:val="tx1"/>
            </w14:solidFill>
          </w14:textFill>
        </w:rPr>
      </w:pPr>
      <w:r>
        <w:rPr>
          <w:rFonts w:hint="eastAsia" w:ascii="宋体" w:hAnsi="宋体" w:cs="宋体"/>
          <w:color w:val="000000" w:themeColor="text1"/>
          <w:szCs w:val="24"/>
          <w14:textFill>
            <w14:solidFill>
              <w14:schemeClr w14:val="tx1"/>
            </w14:solidFill>
          </w14:textFill>
        </w:rPr>
        <w:t>第三方申明的保密事项和期限：</w:t>
      </w:r>
      <w:r>
        <w:rPr>
          <w:rFonts w:hint="eastAsia" w:ascii="宋体" w:hAnsi="宋体" w:cs="宋体"/>
          <w:color w:val="000000" w:themeColor="text1"/>
          <w:szCs w:val="24"/>
          <w:u w:val="single"/>
          <w14:textFill>
            <w14:solidFill>
              <w14:schemeClr w14:val="tx1"/>
            </w14:solidFill>
          </w14:textFill>
        </w:rPr>
        <w:t xml:space="preserve">    / </w:t>
      </w:r>
      <w:r>
        <w:rPr>
          <w:rFonts w:hint="eastAsia" w:ascii="宋体" w:hAnsi="宋体" w:cs="宋体"/>
          <w:b/>
          <w:color w:val="000000" w:themeColor="text1"/>
          <w:szCs w:val="24"/>
          <w:u w:val="single"/>
          <w14:textFill>
            <w14:solidFill>
              <w14:schemeClr w14:val="tx1"/>
            </w14:solidFill>
          </w14:textFill>
        </w:rPr>
        <w:t xml:space="preserve"> </w:t>
      </w:r>
      <w:r>
        <w:rPr>
          <w:rFonts w:hint="eastAsia" w:ascii="宋体" w:hAnsi="宋体" w:cs="宋体"/>
          <w:color w:val="000000" w:themeColor="text1"/>
          <w:szCs w:val="24"/>
          <w:u w:val="single"/>
          <w14:textFill>
            <w14:solidFill>
              <w14:schemeClr w14:val="tx1"/>
            </w14:solidFill>
          </w14:textFill>
        </w:rPr>
        <w:t xml:space="preserve">  </w:t>
      </w:r>
      <w:r>
        <w:rPr>
          <w:rFonts w:hint="eastAsia" w:ascii="宋体" w:hAnsi="宋体" w:cs="宋体"/>
          <w:color w:val="000000" w:themeColor="text1"/>
          <w:szCs w:val="24"/>
          <w14:textFill>
            <w14:solidFill>
              <w14:schemeClr w14:val="tx1"/>
            </w14:solidFill>
          </w14:textFill>
        </w:rPr>
        <w:t>。</w:t>
      </w:r>
    </w:p>
    <w:p>
      <w:pPr>
        <w:keepNext w:val="0"/>
        <w:keepLines w:val="0"/>
        <w:widowControl w:val="0"/>
        <w:kinsoku/>
        <w:wordWrap/>
        <w:overflowPunct/>
        <w:topLinePunct w:val="0"/>
        <w:autoSpaceDE/>
        <w:autoSpaceDN/>
        <w:bidi w:val="0"/>
        <w:adjustRightInd/>
        <w:snapToGrid w:val="0"/>
        <w:spacing w:line="360" w:lineRule="auto"/>
        <w:ind w:firstLine="205" w:firstLineChars="98"/>
        <w:textAlignment w:val="auto"/>
        <w:outlineLvl w:val="9"/>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8.5著作权</w:t>
      </w:r>
    </w:p>
    <w:p>
      <w:pPr>
        <w:keepNext w:val="0"/>
        <w:keepLines w:val="0"/>
        <w:widowControl w:val="0"/>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监理人在本合同履行期间及本合同终止后两年内出版涉及本工程的有关监理与相关服务的资料的限制条件：</w:t>
      </w:r>
      <w:r>
        <w:rPr>
          <w:rFonts w:hint="eastAsia" w:ascii="宋体" w:hAnsi="宋体" w:cs="宋体"/>
          <w:color w:val="000000" w:themeColor="text1"/>
          <w:szCs w:val="24"/>
          <w:u w:val="single"/>
          <w14:textFill>
            <w14:solidFill>
              <w14:schemeClr w14:val="tx1"/>
            </w14:solidFill>
          </w14:textFill>
        </w:rPr>
        <w:t xml:space="preserve">   / </w:t>
      </w:r>
      <w:r>
        <w:rPr>
          <w:rFonts w:hint="eastAsia" w:ascii="宋体" w:hAnsi="宋体" w:cs="宋体"/>
          <w:b/>
          <w:color w:val="000000" w:themeColor="text1"/>
          <w:szCs w:val="24"/>
          <w:u w:val="single"/>
          <w14:textFill>
            <w14:solidFill>
              <w14:schemeClr w14:val="tx1"/>
            </w14:solidFill>
          </w14:textFill>
        </w:rPr>
        <w:t xml:space="preserve"> </w:t>
      </w:r>
      <w:r>
        <w:rPr>
          <w:rFonts w:hint="eastAsia" w:ascii="宋体" w:hAnsi="宋体" w:cs="宋体"/>
          <w:color w:val="000000" w:themeColor="text1"/>
          <w:szCs w:val="24"/>
          <w:u w:val="single"/>
          <w14:textFill>
            <w14:solidFill>
              <w14:schemeClr w14:val="tx1"/>
            </w14:solidFill>
          </w14:textFill>
        </w:rPr>
        <w:t xml:space="preserve">   </w:t>
      </w:r>
      <w:r>
        <w:rPr>
          <w:rFonts w:hint="eastAsia" w:ascii="宋体" w:hAnsi="宋体" w:cs="宋体"/>
          <w:color w:val="000000" w:themeColor="text1"/>
          <w:szCs w:val="24"/>
          <w14:textFill>
            <w14:solidFill>
              <w14:schemeClr w14:val="tx1"/>
            </w14:solidFill>
          </w14:textFill>
        </w:rPr>
        <w:t>。</w:t>
      </w:r>
    </w:p>
    <w:p>
      <w:pPr>
        <w:keepNext w:val="0"/>
        <w:keepLines w:val="0"/>
        <w:widowControl w:val="0"/>
        <w:kinsoku/>
        <w:wordWrap/>
        <w:overflowPunct/>
        <w:topLinePunct w:val="0"/>
        <w:autoSpaceDE/>
        <w:autoSpaceDN/>
        <w:bidi w:val="0"/>
        <w:adjustRightInd/>
        <w:snapToGrid w:val="0"/>
        <w:spacing w:before="78" w:beforeLines="25" w:line="360" w:lineRule="auto"/>
        <w:ind w:firstLine="210" w:firstLineChars="100"/>
        <w:textAlignment w:val="auto"/>
        <w:outlineLvl w:val="9"/>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9. 补充条款</w:t>
      </w:r>
    </w:p>
    <w:p>
      <w:pPr>
        <w:keepNext w:val="0"/>
        <w:keepLines w:val="0"/>
        <w:widowControl w:val="0"/>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color w:val="000000" w:themeColor="text1"/>
          <w:szCs w:val="24"/>
          <w:u w:val="single"/>
          <w14:textFill>
            <w14:solidFill>
              <w14:schemeClr w14:val="tx1"/>
            </w14:solidFill>
          </w14:textFill>
        </w:rPr>
      </w:pPr>
      <w:r>
        <w:rPr>
          <w:rFonts w:hint="eastAsia" w:ascii="宋体" w:hAnsi="宋体" w:cs="宋体"/>
          <w:color w:val="000000" w:themeColor="text1"/>
          <w:szCs w:val="24"/>
          <w:u w:val="single"/>
          <w14:textFill>
            <w14:solidFill>
              <w14:schemeClr w14:val="tx1"/>
            </w14:solidFill>
          </w14:textFill>
        </w:rPr>
        <w:t>（1）专用条件未尽事宜参照通用条件执行。</w:t>
      </w:r>
    </w:p>
    <w:p>
      <w:pPr>
        <w:keepNext w:val="0"/>
        <w:keepLines w:val="0"/>
        <w:widowControl w:val="0"/>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color w:val="000000" w:themeColor="text1"/>
          <w:szCs w:val="24"/>
          <w:u w:val="single"/>
          <w14:textFill>
            <w14:solidFill>
              <w14:schemeClr w14:val="tx1"/>
            </w14:solidFill>
          </w14:textFill>
        </w:rPr>
      </w:pPr>
      <w:r>
        <w:rPr>
          <w:rFonts w:hint="eastAsia" w:ascii="宋体" w:hAnsi="宋体" w:cs="宋体"/>
          <w:color w:val="000000" w:themeColor="text1"/>
          <w:szCs w:val="24"/>
          <w:u w:val="single"/>
          <w14:textFill>
            <w14:solidFill>
              <w14:schemeClr w14:val="tx1"/>
            </w14:solidFill>
          </w14:textFill>
        </w:rPr>
        <w:t>（2）监理人员应恪守理人员职业道德、确保监理工作的公平、公正。</w:t>
      </w:r>
    </w:p>
    <w:p>
      <w:pPr>
        <w:keepNext w:val="0"/>
        <w:keepLines w:val="0"/>
        <w:widowControl w:val="0"/>
        <w:kinsoku/>
        <w:wordWrap/>
        <w:overflowPunct/>
        <w:topLinePunct w:val="0"/>
        <w:autoSpaceDE/>
        <w:autoSpaceDN/>
        <w:bidi w:val="0"/>
        <w:adjustRightInd/>
        <w:snapToGrid w:val="0"/>
        <w:spacing w:line="360" w:lineRule="auto"/>
        <w:ind w:firstLine="420" w:firstLineChars="200"/>
        <w:textAlignment w:val="auto"/>
        <w:outlineLvl w:val="9"/>
        <w:rPr>
          <w:rFonts w:ascii="宋体" w:hAnsi="宋体" w:cs="宋体"/>
          <w:color w:val="000000" w:themeColor="text1"/>
          <w:szCs w:val="24"/>
          <w:u w:val="single"/>
          <w14:textFill>
            <w14:solidFill>
              <w14:schemeClr w14:val="tx1"/>
            </w14:solidFill>
          </w14:textFill>
        </w:rPr>
      </w:pPr>
      <w:r>
        <w:rPr>
          <w:rFonts w:hint="eastAsia" w:ascii="宋体" w:hAnsi="宋体" w:cs="宋体"/>
          <w:color w:val="000000" w:themeColor="text1"/>
          <w:szCs w:val="24"/>
          <w:u w:val="single"/>
          <w14:textFill>
            <w14:solidFill>
              <w14:schemeClr w14:val="tx1"/>
            </w14:solidFill>
          </w14:textFill>
        </w:rPr>
        <w:t>（3）委托人认为不称职监理人员，监理人应无条件进行调整，且保证满足监理工作需要。</w:t>
      </w:r>
    </w:p>
    <w:p>
      <w:pPr>
        <w:keepNext w:val="0"/>
        <w:keepLines w:val="0"/>
        <w:widowControl w:val="0"/>
        <w:kinsoku/>
        <w:wordWrap/>
        <w:overflowPunct/>
        <w:topLinePunct w:val="0"/>
        <w:autoSpaceDE/>
        <w:autoSpaceDN/>
        <w:bidi w:val="0"/>
        <w:adjustRightInd/>
        <w:spacing w:line="360" w:lineRule="auto"/>
        <w:ind w:firstLine="645"/>
        <w:textAlignment w:val="auto"/>
        <w:outlineLvl w:val="9"/>
        <w:rPr>
          <w:rFonts w:ascii="宋体" w:hAnsi="宋体" w:cs="宋体"/>
          <w:b/>
          <w:color w:val="000000" w:themeColor="text1"/>
          <w:szCs w:val="24"/>
          <w:u w:val="single"/>
          <w14:textFill>
            <w14:solidFill>
              <w14:schemeClr w14:val="tx1"/>
            </w14:solidFill>
          </w14:textFill>
        </w:rPr>
      </w:pPr>
    </w:p>
    <w:p>
      <w:pPr>
        <w:keepNext w:val="0"/>
        <w:keepLines w:val="0"/>
        <w:pageBreakBefore/>
        <w:widowControl w:val="0"/>
        <w:kinsoku/>
        <w:wordWrap/>
        <w:overflowPunct/>
        <w:topLinePunct w:val="0"/>
        <w:autoSpaceDE/>
        <w:autoSpaceDN/>
        <w:bidi w:val="0"/>
        <w:adjustRightInd/>
        <w:spacing w:line="360" w:lineRule="auto"/>
        <w:jc w:val="center"/>
        <w:textAlignment w:val="auto"/>
        <w:outlineLvl w:val="9"/>
        <w:rPr>
          <w:rFonts w:ascii="宋体" w:hAnsi="宋体" w:cs="宋体"/>
          <w:b/>
          <w:color w:val="000000" w:themeColor="text1"/>
          <w:sz w:val="28"/>
          <w:szCs w:val="24"/>
          <w14:textFill>
            <w14:solidFill>
              <w14:schemeClr w14:val="tx1"/>
            </w14:solidFill>
          </w14:textFill>
        </w:rPr>
      </w:pPr>
      <w:r>
        <w:rPr>
          <w:rFonts w:hint="eastAsia" w:ascii="宋体" w:hAnsi="宋体" w:cs="宋体"/>
          <w:b/>
          <w:color w:val="000000" w:themeColor="text1"/>
          <w:sz w:val="28"/>
          <w:szCs w:val="24"/>
          <w14:textFill>
            <w14:solidFill>
              <w14:schemeClr w14:val="tx1"/>
            </w14:solidFill>
          </w14:textFill>
        </w:rPr>
        <w:t>附录A  相关服务的范围和内容</w:t>
      </w:r>
    </w:p>
    <w:p>
      <w:pPr>
        <w:keepNext w:val="0"/>
        <w:keepLines w:val="0"/>
        <w:widowControl w:val="0"/>
        <w:kinsoku/>
        <w:wordWrap/>
        <w:overflowPunct/>
        <w:topLinePunct w:val="0"/>
        <w:autoSpaceDE/>
        <w:autoSpaceDN/>
        <w:bidi w:val="0"/>
        <w:adjustRightInd/>
        <w:snapToGrid w:val="0"/>
        <w:spacing w:line="360" w:lineRule="auto"/>
        <w:ind w:firstLine="480" w:firstLineChars="200"/>
        <w:textAlignment w:val="auto"/>
        <w:outlineLvl w:val="9"/>
        <w:rPr>
          <w:rFonts w:ascii="宋体" w:hAnsi="宋体" w:cs="宋体"/>
          <w:color w:val="000000" w:themeColor="text1"/>
          <w:sz w:val="24"/>
          <w:szCs w:val="24"/>
          <w14:textFill>
            <w14:solidFill>
              <w14:schemeClr w14:val="tx1"/>
            </w14:solidFill>
          </w14:textFill>
        </w:rPr>
      </w:pPr>
    </w:p>
    <w:p>
      <w:pPr>
        <w:keepNext w:val="0"/>
        <w:keepLines w:val="0"/>
        <w:widowControl w:val="0"/>
        <w:kinsoku/>
        <w:wordWrap/>
        <w:overflowPunct/>
        <w:topLinePunct w:val="0"/>
        <w:autoSpaceDE/>
        <w:autoSpaceDN/>
        <w:bidi w:val="0"/>
        <w:adjustRightInd/>
        <w:snapToGrid w:val="0"/>
        <w:spacing w:line="360" w:lineRule="auto"/>
        <w:ind w:firstLine="480" w:firstLineChars="200"/>
        <w:textAlignment w:val="auto"/>
        <w:outlineLvl w:val="9"/>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A-1 勘察阶段：</w:t>
      </w:r>
      <w:r>
        <w:rPr>
          <w:rFonts w:hint="eastAsia" w:ascii="宋体" w:hAnsi="宋体" w:cs="宋体"/>
          <w:color w:val="000000" w:themeColor="text1"/>
          <w:sz w:val="24"/>
          <w:szCs w:val="24"/>
          <w:u w:val="single"/>
          <w14:textFill>
            <w14:solidFill>
              <w14:schemeClr w14:val="tx1"/>
            </w14:solidFill>
          </w14:textFill>
        </w:rPr>
        <w:t xml:space="preserve"> </w:t>
      </w:r>
      <w:r>
        <w:rPr>
          <w:rFonts w:hint="eastAsia" w:ascii="宋体" w:hAnsi="宋体" w:cs="宋体"/>
          <w:b/>
          <w:color w:val="000000" w:themeColor="text1"/>
          <w:sz w:val="24"/>
          <w:szCs w:val="24"/>
          <w:u w:val="single"/>
          <w14:textFill>
            <w14:solidFill>
              <w14:schemeClr w14:val="tx1"/>
            </w14:solidFill>
          </w14:textFill>
        </w:rPr>
        <w:t>/</w:t>
      </w:r>
      <w:r>
        <w:rPr>
          <w:rFonts w:hint="eastAsia" w:ascii="宋体" w:hAnsi="宋体" w:cs="宋体"/>
          <w:color w:val="000000" w:themeColor="text1"/>
          <w:sz w:val="24"/>
          <w:szCs w:val="24"/>
          <w:u w:val="single"/>
          <w14:textFill>
            <w14:solidFill>
              <w14:schemeClr w14:val="tx1"/>
            </w14:solidFill>
          </w14:textFill>
        </w:rPr>
        <w:t xml:space="preserve"> </w:t>
      </w:r>
      <w:r>
        <w:rPr>
          <w:rFonts w:hint="eastAsia" w:ascii="宋体" w:hAnsi="宋体" w:cs="宋体"/>
          <w:color w:val="000000" w:themeColor="text1"/>
          <w:sz w:val="24"/>
          <w:szCs w:val="24"/>
          <w14:textFill>
            <w14:solidFill>
              <w14:schemeClr w14:val="tx1"/>
            </w14:solidFill>
          </w14:textFill>
        </w:rPr>
        <w:t>。</w:t>
      </w:r>
    </w:p>
    <w:p>
      <w:pPr>
        <w:keepNext w:val="0"/>
        <w:keepLines w:val="0"/>
        <w:widowControl w:val="0"/>
        <w:kinsoku/>
        <w:wordWrap/>
        <w:overflowPunct/>
        <w:topLinePunct w:val="0"/>
        <w:autoSpaceDE/>
        <w:autoSpaceDN/>
        <w:bidi w:val="0"/>
        <w:adjustRightInd/>
        <w:snapToGrid w:val="0"/>
        <w:spacing w:line="360" w:lineRule="auto"/>
        <w:ind w:firstLine="480" w:firstLineChars="200"/>
        <w:textAlignment w:val="auto"/>
        <w:outlineLvl w:val="9"/>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A-2 设计阶段：</w:t>
      </w:r>
      <w:r>
        <w:rPr>
          <w:rFonts w:hint="eastAsia" w:ascii="宋体" w:hAnsi="宋体" w:cs="宋体"/>
          <w:color w:val="000000" w:themeColor="text1"/>
          <w:sz w:val="24"/>
          <w:szCs w:val="24"/>
          <w:u w:val="single"/>
          <w14:textFill>
            <w14:solidFill>
              <w14:schemeClr w14:val="tx1"/>
            </w14:solidFill>
          </w14:textFill>
        </w:rPr>
        <w:t xml:space="preserve"> </w:t>
      </w:r>
      <w:r>
        <w:rPr>
          <w:rFonts w:hint="eastAsia" w:ascii="宋体" w:hAnsi="宋体" w:cs="宋体"/>
          <w:b/>
          <w:color w:val="000000" w:themeColor="text1"/>
          <w:sz w:val="24"/>
          <w:szCs w:val="24"/>
          <w:u w:val="single"/>
          <w14:textFill>
            <w14:solidFill>
              <w14:schemeClr w14:val="tx1"/>
            </w14:solidFill>
          </w14:textFill>
        </w:rPr>
        <w:t>/</w:t>
      </w:r>
      <w:r>
        <w:rPr>
          <w:rFonts w:hint="eastAsia" w:ascii="宋体" w:hAnsi="宋体" w:cs="宋体"/>
          <w:color w:val="000000" w:themeColor="text1"/>
          <w:sz w:val="24"/>
          <w:szCs w:val="24"/>
          <w14:textFill>
            <w14:solidFill>
              <w14:schemeClr w14:val="tx1"/>
            </w14:solidFill>
          </w14:textFill>
        </w:rPr>
        <w:t>。</w:t>
      </w:r>
    </w:p>
    <w:p>
      <w:pPr>
        <w:keepNext w:val="0"/>
        <w:keepLines w:val="0"/>
        <w:widowControl w:val="0"/>
        <w:kinsoku/>
        <w:wordWrap/>
        <w:overflowPunct/>
        <w:topLinePunct w:val="0"/>
        <w:autoSpaceDE/>
        <w:autoSpaceDN/>
        <w:bidi w:val="0"/>
        <w:adjustRightInd/>
        <w:snapToGrid w:val="0"/>
        <w:spacing w:line="360" w:lineRule="auto"/>
        <w:ind w:firstLine="480" w:firstLineChars="200"/>
        <w:textAlignment w:val="auto"/>
        <w:outlineLvl w:val="9"/>
        <w:rPr>
          <w:rFonts w:ascii="宋体" w:hAnsi="宋体" w:cs="宋体"/>
          <w:color w:val="000000" w:themeColor="text1"/>
          <w:sz w:val="24"/>
          <w:szCs w:val="24"/>
          <w:u w:val="single"/>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A-3 保修阶段：</w:t>
      </w:r>
      <w:r>
        <w:rPr>
          <w:rFonts w:hint="eastAsia" w:ascii="宋体" w:hAnsi="宋体" w:cs="宋体"/>
          <w:color w:val="000000" w:themeColor="text1"/>
          <w:sz w:val="24"/>
          <w:szCs w:val="24"/>
          <w:u w:val="single"/>
          <w14:textFill>
            <w14:solidFill>
              <w14:schemeClr w14:val="tx1"/>
            </w14:solidFill>
          </w14:textFill>
        </w:rPr>
        <w:t xml:space="preserve"> 竣工后24个月内对所监理工程出现质量缺陷，协调承包</w:t>
      </w:r>
    </w:p>
    <w:p>
      <w:pPr>
        <w:keepNext w:val="0"/>
        <w:keepLines w:val="0"/>
        <w:widowControl w:val="0"/>
        <w:kinsoku/>
        <w:wordWrap/>
        <w:overflowPunct/>
        <w:topLinePunct w:val="0"/>
        <w:autoSpaceDE/>
        <w:autoSpaceDN/>
        <w:bidi w:val="0"/>
        <w:adjustRightInd/>
        <w:snapToGrid w:val="0"/>
        <w:spacing w:line="360" w:lineRule="auto"/>
        <w:ind w:firstLine="480" w:firstLineChars="200"/>
        <w:textAlignment w:val="auto"/>
        <w:outlineLvl w:val="9"/>
        <w:rPr>
          <w:rFonts w:ascii="宋体" w:hAnsi="宋体" w:cs="宋体"/>
          <w:color w:val="000000" w:themeColor="text1"/>
          <w:sz w:val="24"/>
          <w:szCs w:val="24"/>
          <w:u w:val="single"/>
          <w14:textFill>
            <w14:solidFill>
              <w14:schemeClr w14:val="tx1"/>
            </w14:solidFill>
          </w14:textFill>
        </w:rPr>
      </w:pPr>
      <w:r>
        <w:rPr>
          <w:rFonts w:hint="eastAsia" w:ascii="宋体" w:hAnsi="宋体" w:cs="宋体"/>
          <w:color w:val="000000" w:themeColor="text1"/>
          <w:sz w:val="24"/>
          <w:szCs w:val="24"/>
          <w:u w:val="single"/>
          <w14:textFill>
            <w14:solidFill>
              <w14:schemeClr w14:val="tx1"/>
            </w14:solidFill>
          </w14:textFill>
        </w:rPr>
        <w:t>人维修或赔付 。</w:t>
      </w:r>
    </w:p>
    <w:p>
      <w:pPr>
        <w:keepNext w:val="0"/>
        <w:keepLines w:val="0"/>
        <w:widowControl w:val="0"/>
        <w:kinsoku/>
        <w:wordWrap/>
        <w:overflowPunct/>
        <w:topLinePunct w:val="0"/>
        <w:autoSpaceDE/>
        <w:autoSpaceDN/>
        <w:bidi w:val="0"/>
        <w:adjustRightInd/>
        <w:snapToGrid w:val="0"/>
        <w:spacing w:line="360" w:lineRule="auto"/>
        <w:ind w:firstLine="480" w:firstLineChars="200"/>
        <w:textAlignment w:val="auto"/>
        <w:outlineLvl w:val="9"/>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A-4 其他（专业技术咨询、外部协调工作等）：</w:t>
      </w:r>
      <w:r>
        <w:rPr>
          <w:rFonts w:hint="eastAsia" w:ascii="宋体" w:hAnsi="宋体" w:cs="宋体"/>
          <w:b/>
          <w:color w:val="000000" w:themeColor="text1"/>
          <w:sz w:val="24"/>
          <w:szCs w:val="24"/>
          <w:u w:val="single"/>
          <w14:textFill>
            <w14:solidFill>
              <w14:schemeClr w14:val="tx1"/>
            </w14:solidFill>
          </w14:textFill>
        </w:rPr>
        <w:t xml:space="preserve"> /</w:t>
      </w:r>
      <w:r>
        <w:rPr>
          <w:rFonts w:hint="eastAsia" w:ascii="宋体" w:hAnsi="宋体" w:cs="宋体"/>
          <w:color w:val="000000" w:themeColor="text1"/>
          <w:sz w:val="24"/>
          <w:szCs w:val="24"/>
          <w14:textFill>
            <w14:solidFill>
              <w14:schemeClr w14:val="tx1"/>
            </w14:solidFill>
          </w14:textFill>
        </w:rPr>
        <w:t>。</w:t>
      </w:r>
    </w:p>
    <w:p>
      <w:pPr>
        <w:keepNext w:val="0"/>
        <w:keepLines w:val="0"/>
        <w:widowControl w:val="0"/>
        <w:kinsoku/>
        <w:wordWrap/>
        <w:overflowPunct/>
        <w:topLinePunct w:val="0"/>
        <w:autoSpaceDE/>
        <w:autoSpaceDN/>
        <w:bidi w:val="0"/>
        <w:adjustRightInd/>
        <w:snapToGrid w:val="0"/>
        <w:spacing w:before="156" w:beforeLines="50" w:after="156" w:afterLines="50" w:line="360" w:lineRule="auto"/>
        <w:ind w:firstLine="560" w:firstLineChars="200"/>
        <w:textAlignment w:val="auto"/>
        <w:outlineLvl w:val="9"/>
        <w:rPr>
          <w:rFonts w:ascii="宋体" w:hAnsi="宋体" w:cs="宋体"/>
          <w:color w:val="000000" w:themeColor="text1"/>
          <w:sz w:val="28"/>
          <w:szCs w:val="24"/>
          <w14:textFill>
            <w14:solidFill>
              <w14:schemeClr w14:val="tx1"/>
            </w14:solidFill>
          </w14:textFill>
        </w:rPr>
      </w:pPr>
    </w:p>
    <w:p>
      <w:pPr>
        <w:keepNext w:val="0"/>
        <w:keepLines w:val="0"/>
        <w:pageBreakBefore/>
        <w:widowControl w:val="0"/>
        <w:kinsoku/>
        <w:wordWrap/>
        <w:overflowPunct/>
        <w:topLinePunct w:val="0"/>
        <w:autoSpaceDE/>
        <w:autoSpaceDN/>
        <w:bidi w:val="0"/>
        <w:adjustRightInd/>
        <w:spacing w:line="360" w:lineRule="auto"/>
        <w:jc w:val="center"/>
        <w:textAlignment w:val="auto"/>
        <w:outlineLvl w:val="9"/>
        <w:rPr>
          <w:rFonts w:ascii="宋体" w:hAnsi="宋体" w:cs="宋体"/>
          <w:b/>
          <w:color w:val="000000" w:themeColor="text1"/>
          <w:sz w:val="28"/>
          <w:szCs w:val="24"/>
          <w14:textFill>
            <w14:solidFill>
              <w14:schemeClr w14:val="tx1"/>
            </w14:solidFill>
          </w14:textFill>
        </w:rPr>
      </w:pPr>
      <w:r>
        <w:rPr>
          <w:rFonts w:hint="eastAsia" w:ascii="宋体" w:hAnsi="宋体" w:cs="宋体"/>
          <w:b/>
          <w:color w:val="000000" w:themeColor="text1"/>
          <w:sz w:val="28"/>
          <w:szCs w:val="24"/>
          <w14:textFill>
            <w14:solidFill>
              <w14:schemeClr w14:val="tx1"/>
            </w14:solidFill>
          </w14:textFill>
        </w:rPr>
        <w:t>附录B  委托人派遣的人员和提供的房屋、资料、设备</w:t>
      </w:r>
    </w:p>
    <w:p>
      <w:pPr>
        <w:keepNext w:val="0"/>
        <w:keepLines w:val="0"/>
        <w:widowControl w:val="0"/>
        <w:kinsoku/>
        <w:wordWrap/>
        <w:overflowPunct/>
        <w:topLinePunct w:val="0"/>
        <w:autoSpaceDE/>
        <w:autoSpaceDN/>
        <w:bidi w:val="0"/>
        <w:adjustRightInd/>
        <w:spacing w:before="156" w:beforeLines="50" w:line="360" w:lineRule="auto"/>
        <w:textAlignment w:val="auto"/>
        <w:outlineLvl w:val="9"/>
        <w:rPr>
          <w:rFonts w:ascii="宋体" w:hAnsi="宋体" w:cs="宋体"/>
          <w:b/>
          <w:color w:val="000000" w:themeColor="text1"/>
          <w:sz w:val="28"/>
          <w:szCs w:val="24"/>
          <w14:textFill>
            <w14:solidFill>
              <w14:schemeClr w14:val="tx1"/>
            </w14:solidFill>
          </w14:textFill>
        </w:rPr>
      </w:pPr>
      <w:r>
        <w:rPr>
          <w:rFonts w:hint="eastAsia" w:ascii="宋体" w:hAnsi="宋体" w:cs="宋体"/>
          <w:b/>
          <w:color w:val="000000" w:themeColor="text1"/>
          <w:sz w:val="28"/>
          <w:szCs w:val="24"/>
          <w14:textFill>
            <w14:solidFill>
              <w14:schemeClr w14:val="tx1"/>
            </w14:solidFill>
          </w14:textFill>
        </w:rPr>
        <w:t>B-1  委托人派遣的人员</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08"/>
        <w:gridCol w:w="1770"/>
        <w:gridCol w:w="2130"/>
        <w:gridCol w:w="1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08" w:type="dxa"/>
            <w:tcBorders>
              <w:top w:val="single" w:color="auto" w:sz="4" w:space="0"/>
              <w:left w:val="single" w:color="auto" w:sz="4" w:space="0"/>
              <w:bottom w:val="single" w:color="auto" w:sz="4" w:space="0"/>
              <w:right w:val="single" w:color="auto" w:sz="4" w:space="0"/>
              <w:tl2br w:val="nil"/>
              <w:tr2bl w:val="nil"/>
            </w:tcBorders>
          </w:tcPr>
          <w:p>
            <w:pPr>
              <w:keepNext w:val="0"/>
              <w:keepLines w:val="0"/>
              <w:widowControl w:val="0"/>
              <w:kinsoku/>
              <w:wordWrap/>
              <w:overflowPunct/>
              <w:topLinePunct w:val="0"/>
              <w:autoSpaceDE/>
              <w:autoSpaceDN/>
              <w:bidi w:val="0"/>
              <w:adjustRightInd/>
              <w:spacing w:line="360" w:lineRule="auto"/>
              <w:jc w:val="center"/>
              <w:textAlignment w:val="auto"/>
              <w:outlineLvl w:val="9"/>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名称</w:t>
            </w:r>
          </w:p>
        </w:tc>
        <w:tc>
          <w:tcPr>
            <w:tcW w:w="1770" w:type="dxa"/>
            <w:tcBorders>
              <w:top w:val="single" w:color="auto" w:sz="4" w:space="0"/>
              <w:left w:val="single" w:color="auto" w:sz="4" w:space="0"/>
              <w:bottom w:val="single" w:color="auto" w:sz="4" w:space="0"/>
              <w:right w:val="single" w:color="auto" w:sz="4" w:space="0"/>
              <w:tl2br w:val="nil"/>
              <w:tr2bl w:val="nil"/>
            </w:tcBorders>
          </w:tcPr>
          <w:p>
            <w:pPr>
              <w:keepNext w:val="0"/>
              <w:keepLines w:val="0"/>
              <w:widowControl w:val="0"/>
              <w:kinsoku/>
              <w:wordWrap/>
              <w:overflowPunct/>
              <w:topLinePunct w:val="0"/>
              <w:autoSpaceDE/>
              <w:autoSpaceDN/>
              <w:bidi w:val="0"/>
              <w:adjustRightInd/>
              <w:spacing w:line="360" w:lineRule="auto"/>
              <w:jc w:val="center"/>
              <w:textAlignment w:val="auto"/>
              <w:outlineLvl w:val="9"/>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数量</w:t>
            </w:r>
          </w:p>
        </w:tc>
        <w:tc>
          <w:tcPr>
            <w:tcW w:w="2130" w:type="dxa"/>
            <w:tcBorders>
              <w:top w:val="single" w:color="auto" w:sz="4" w:space="0"/>
              <w:left w:val="single" w:color="auto" w:sz="4" w:space="0"/>
              <w:bottom w:val="single" w:color="auto" w:sz="4" w:space="0"/>
              <w:right w:val="single" w:color="auto" w:sz="4" w:space="0"/>
              <w:tl2br w:val="nil"/>
              <w:tr2bl w:val="nil"/>
            </w:tcBorders>
          </w:tcPr>
          <w:p>
            <w:pPr>
              <w:keepNext w:val="0"/>
              <w:keepLines w:val="0"/>
              <w:widowControl w:val="0"/>
              <w:kinsoku/>
              <w:wordWrap/>
              <w:overflowPunct/>
              <w:topLinePunct w:val="0"/>
              <w:autoSpaceDE/>
              <w:autoSpaceDN/>
              <w:bidi w:val="0"/>
              <w:adjustRightInd/>
              <w:spacing w:line="360" w:lineRule="auto"/>
              <w:jc w:val="center"/>
              <w:textAlignment w:val="auto"/>
              <w:outlineLvl w:val="9"/>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工作要求</w:t>
            </w:r>
          </w:p>
        </w:tc>
        <w:tc>
          <w:tcPr>
            <w:tcW w:w="1860" w:type="dxa"/>
            <w:tcBorders>
              <w:top w:val="single" w:color="auto" w:sz="4" w:space="0"/>
              <w:left w:val="single" w:color="auto" w:sz="4" w:space="0"/>
              <w:bottom w:val="single" w:color="auto" w:sz="4" w:space="0"/>
              <w:right w:val="single" w:color="auto" w:sz="4" w:space="0"/>
              <w:tl2br w:val="nil"/>
              <w:tr2bl w:val="nil"/>
            </w:tcBorders>
          </w:tcPr>
          <w:p>
            <w:pPr>
              <w:keepNext w:val="0"/>
              <w:keepLines w:val="0"/>
              <w:widowControl w:val="0"/>
              <w:kinsoku/>
              <w:wordWrap/>
              <w:overflowPunct/>
              <w:topLinePunct w:val="0"/>
              <w:autoSpaceDE/>
              <w:autoSpaceDN/>
              <w:bidi w:val="0"/>
              <w:adjustRightInd/>
              <w:spacing w:line="360" w:lineRule="auto"/>
              <w:jc w:val="center"/>
              <w:textAlignment w:val="auto"/>
              <w:outlineLvl w:val="9"/>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提供时间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08" w:type="dxa"/>
            <w:tcBorders>
              <w:top w:val="single" w:color="auto" w:sz="4" w:space="0"/>
              <w:left w:val="single" w:color="auto" w:sz="4" w:space="0"/>
              <w:bottom w:val="single" w:color="auto" w:sz="4" w:space="0"/>
              <w:right w:val="single" w:color="auto" w:sz="4" w:space="0"/>
              <w:tl2br w:val="nil"/>
              <w:tr2bl w:val="nil"/>
            </w:tcBorders>
          </w:tcPr>
          <w:p>
            <w:pPr>
              <w:keepNext w:val="0"/>
              <w:keepLines w:val="0"/>
              <w:widowControl w:val="0"/>
              <w:kinsoku/>
              <w:wordWrap/>
              <w:overflowPunct/>
              <w:topLinePunct w:val="0"/>
              <w:autoSpaceDE/>
              <w:autoSpaceDN/>
              <w:bidi w:val="0"/>
              <w:adjustRightInd/>
              <w:spacing w:line="360" w:lineRule="auto"/>
              <w:textAlignment w:val="auto"/>
              <w:outlineLvl w:val="9"/>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 xml:space="preserve">1. 工程技术人员 </w:t>
            </w:r>
          </w:p>
        </w:tc>
        <w:tc>
          <w:tcPr>
            <w:tcW w:w="1770" w:type="dxa"/>
            <w:tcBorders>
              <w:top w:val="single" w:color="auto" w:sz="4" w:space="0"/>
              <w:left w:val="single" w:color="auto" w:sz="4" w:space="0"/>
              <w:bottom w:val="single" w:color="auto" w:sz="4" w:space="0"/>
              <w:right w:val="single" w:color="auto" w:sz="4" w:space="0"/>
              <w:tl2br w:val="nil"/>
              <w:tr2bl w:val="nil"/>
            </w:tcBorders>
          </w:tcPr>
          <w:p>
            <w:pPr>
              <w:keepNext w:val="0"/>
              <w:keepLines w:val="0"/>
              <w:widowControl w:val="0"/>
              <w:kinsoku/>
              <w:wordWrap/>
              <w:overflowPunct/>
              <w:topLinePunct w:val="0"/>
              <w:autoSpaceDE/>
              <w:autoSpaceDN/>
              <w:bidi w:val="0"/>
              <w:adjustRightInd/>
              <w:spacing w:line="360" w:lineRule="auto"/>
              <w:jc w:val="center"/>
              <w:textAlignment w:val="auto"/>
              <w:outlineLvl w:val="9"/>
              <w:rPr>
                <w:rFonts w:ascii="宋体" w:hAnsi="宋体" w:cs="宋体"/>
                <w:color w:val="000000" w:themeColor="text1"/>
                <w:sz w:val="24"/>
                <w:szCs w:val="24"/>
                <w14:textFill>
                  <w14:solidFill>
                    <w14:schemeClr w14:val="tx1"/>
                  </w14:solidFill>
                </w14:textFill>
              </w:rPr>
            </w:pPr>
          </w:p>
        </w:tc>
        <w:tc>
          <w:tcPr>
            <w:tcW w:w="2130" w:type="dxa"/>
            <w:tcBorders>
              <w:top w:val="single" w:color="auto" w:sz="4" w:space="0"/>
              <w:left w:val="single" w:color="auto" w:sz="4" w:space="0"/>
              <w:bottom w:val="single" w:color="auto" w:sz="4" w:space="0"/>
              <w:right w:val="single" w:color="auto" w:sz="4" w:space="0"/>
              <w:tl2br w:val="nil"/>
              <w:tr2bl w:val="nil"/>
            </w:tcBorders>
          </w:tcPr>
          <w:p>
            <w:pPr>
              <w:keepNext w:val="0"/>
              <w:keepLines w:val="0"/>
              <w:widowControl w:val="0"/>
              <w:kinsoku/>
              <w:wordWrap/>
              <w:overflowPunct/>
              <w:topLinePunct w:val="0"/>
              <w:autoSpaceDE/>
              <w:autoSpaceDN/>
              <w:bidi w:val="0"/>
              <w:adjustRightInd/>
              <w:spacing w:line="360" w:lineRule="auto"/>
              <w:textAlignment w:val="auto"/>
              <w:outlineLvl w:val="9"/>
              <w:rPr>
                <w:rFonts w:ascii="宋体" w:hAnsi="宋体" w:cs="宋体"/>
                <w:color w:val="000000" w:themeColor="text1"/>
                <w:sz w:val="24"/>
                <w:szCs w:val="24"/>
                <w14:textFill>
                  <w14:solidFill>
                    <w14:schemeClr w14:val="tx1"/>
                  </w14:solidFill>
                </w14:textFill>
              </w:rPr>
            </w:pPr>
          </w:p>
        </w:tc>
        <w:tc>
          <w:tcPr>
            <w:tcW w:w="1860" w:type="dxa"/>
            <w:tcBorders>
              <w:top w:val="single" w:color="auto" w:sz="4" w:space="0"/>
              <w:left w:val="single" w:color="auto" w:sz="4" w:space="0"/>
              <w:bottom w:val="single" w:color="auto" w:sz="4" w:space="0"/>
              <w:right w:val="single" w:color="auto" w:sz="4" w:space="0"/>
              <w:tl2br w:val="nil"/>
              <w:tr2bl w:val="nil"/>
            </w:tcBorders>
          </w:tcPr>
          <w:p>
            <w:pPr>
              <w:keepNext w:val="0"/>
              <w:keepLines w:val="0"/>
              <w:widowControl w:val="0"/>
              <w:kinsoku/>
              <w:wordWrap/>
              <w:overflowPunct/>
              <w:topLinePunct w:val="0"/>
              <w:autoSpaceDE/>
              <w:autoSpaceDN/>
              <w:bidi w:val="0"/>
              <w:adjustRightInd/>
              <w:spacing w:line="360" w:lineRule="auto"/>
              <w:textAlignment w:val="auto"/>
              <w:outlineLvl w:val="9"/>
              <w:rPr>
                <w:rFonts w:ascii="宋体" w:hAnsi="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08" w:type="dxa"/>
            <w:tcBorders>
              <w:top w:val="single" w:color="auto" w:sz="4" w:space="0"/>
              <w:left w:val="single" w:color="auto" w:sz="4" w:space="0"/>
              <w:bottom w:val="single" w:color="auto" w:sz="4" w:space="0"/>
              <w:right w:val="single" w:color="auto" w:sz="4" w:space="0"/>
              <w:tl2br w:val="nil"/>
              <w:tr2bl w:val="nil"/>
            </w:tcBorders>
          </w:tcPr>
          <w:p>
            <w:pPr>
              <w:keepNext w:val="0"/>
              <w:keepLines w:val="0"/>
              <w:widowControl w:val="0"/>
              <w:kinsoku/>
              <w:wordWrap/>
              <w:overflowPunct/>
              <w:topLinePunct w:val="0"/>
              <w:autoSpaceDE/>
              <w:autoSpaceDN/>
              <w:bidi w:val="0"/>
              <w:adjustRightInd/>
              <w:spacing w:line="360" w:lineRule="auto"/>
              <w:textAlignment w:val="auto"/>
              <w:outlineLvl w:val="9"/>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2. 辅助工作人员</w:t>
            </w:r>
          </w:p>
        </w:tc>
        <w:tc>
          <w:tcPr>
            <w:tcW w:w="1770" w:type="dxa"/>
            <w:tcBorders>
              <w:top w:val="single" w:color="auto" w:sz="4" w:space="0"/>
              <w:left w:val="single" w:color="auto" w:sz="4" w:space="0"/>
              <w:bottom w:val="single" w:color="auto" w:sz="4" w:space="0"/>
              <w:right w:val="single" w:color="auto" w:sz="4" w:space="0"/>
              <w:tl2br w:val="nil"/>
              <w:tr2bl w:val="nil"/>
            </w:tcBorders>
          </w:tcPr>
          <w:p>
            <w:pPr>
              <w:keepNext w:val="0"/>
              <w:keepLines w:val="0"/>
              <w:widowControl w:val="0"/>
              <w:kinsoku/>
              <w:wordWrap/>
              <w:overflowPunct/>
              <w:topLinePunct w:val="0"/>
              <w:autoSpaceDE/>
              <w:autoSpaceDN/>
              <w:bidi w:val="0"/>
              <w:adjustRightInd/>
              <w:spacing w:line="360" w:lineRule="auto"/>
              <w:jc w:val="center"/>
              <w:textAlignment w:val="auto"/>
              <w:outlineLvl w:val="9"/>
              <w:rPr>
                <w:rFonts w:ascii="宋体" w:hAnsi="宋体" w:cs="宋体"/>
                <w:color w:val="000000" w:themeColor="text1"/>
                <w:sz w:val="24"/>
                <w:szCs w:val="24"/>
                <w14:textFill>
                  <w14:solidFill>
                    <w14:schemeClr w14:val="tx1"/>
                  </w14:solidFill>
                </w14:textFill>
              </w:rPr>
            </w:pPr>
          </w:p>
        </w:tc>
        <w:tc>
          <w:tcPr>
            <w:tcW w:w="2130" w:type="dxa"/>
            <w:tcBorders>
              <w:top w:val="single" w:color="auto" w:sz="4" w:space="0"/>
              <w:left w:val="single" w:color="auto" w:sz="4" w:space="0"/>
              <w:bottom w:val="single" w:color="auto" w:sz="4" w:space="0"/>
              <w:right w:val="single" w:color="auto" w:sz="4" w:space="0"/>
              <w:tl2br w:val="nil"/>
              <w:tr2bl w:val="nil"/>
            </w:tcBorders>
          </w:tcPr>
          <w:p>
            <w:pPr>
              <w:keepNext w:val="0"/>
              <w:keepLines w:val="0"/>
              <w:widowControl w:val="0"/>
              <w:kinsoku/>
              <w:wordWrap/>
              <w:overflowPunct/>
              <w:topLinePunct w:val="0"/>
              <w:autoSpaceDE/>
              <w:autoSpaceDN/>
              <w:bidi w:val="0"/>
              <w:adjustRightInd/>
              <w:spacing w:line="360" w:lineRule="auto"/>
              <w:textAlignment w:val="auto"/>
              <w:outlineLvl w:val="9"/>
              <w:rPr>
                <w:rFonts w:ascii="宋体" w:hAnsi="宋体" w:cs="宋体"/>
                <w:color w:val="000000" w:themeColor="text1"/>
                <w:sz w:val="24"/>
                <w:szCs w:val="24"/>
                <w14:textFill>
                  <w14:solidFill>
                    <w14:schemeClr w14:val="tx1"/>
                  </w14:solidFill>
                </w14:textFill>
              </w:rPr>
            </w:pPr>
          </w:p>
        </w:tc>
        <w:tc>
          <w:tcPr>
            <w:tcW w:w="1860" w:type="dxa"/>
            <w:tcBorders>
              <w:top w:val="single" w:color="auto" w:sz="4" w:space="0"/>
              <w:left w:val="single" w:color="auto" w:sz="4" w:space="0"/>
              <w:bottom w:val="single" w:color="auto" w:sz="4" w:space="0"/>
              <w:right w:val="single" w:color="auto" w:sz="4" w:space="0"/>
              <w:tl2br w:val="nil"/>
              <w:tr2bl w:val="nil"/>
            </w:tcBorders>
          </w:tcPr>
          <w:p>
            <w:pPr>
              <w:keepNext w:val="0"/>
              <w:keepLines w:val="0"/>
              <w:widowControl w:val="0"/>
              <w:kinsoku/>
              <w:wordWrap/>
              <w:overflowPunct/>
              <w:topLinePunct w:val="0"/>
              <w:autoSpaceDE/>
              <w:autoSpaceDN/>
              <w:bidi w:val="0"/>
              <w:adjustRightInd/>
              <w:spacing w:line="360" w:lineRule="auto"/>
              <w:textAlignment w:val="auto"/>
              <w:outlineLvl w:val="9"/>
              <w:rPr>
                <w:rFonts w:ascii="宋体" w:hAnsi="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2808" w:type="dxa"/>
            <w:tcBorders>
              <w:top w:val="single" w:color="auto" w:sz="4" w:space="0"/>
              <w:left w:val="single" w:color="auto" w:sz="4" w:space="0"/>
              <w:bottom w:val="single" w:color="auto" w:sz="4" w:space="0"/>
              <w:right w:val="single" w:color="auto" w:sz="4" w:space="0"/>
              <w:tl2br w:val="nil"/>
              <w:tr2bl w:val="nil"/>
            </w:tcBorders>
          </w:tcPr>
          <w:p>
            <w:pPr>
              <w:keepNext w:val="0"/>
              <w:keepLines w:val="0"/>
              <w:widowControl w:val="0"/>
              <w:kinsoku/>
              <w:wordWrap/>
              <w:overflowPunct/>
              <w:topLinePunct w:val="0"/>
              <w:autoSpaceDE/>
              <w:autoSpaceDN/>
              <w:bidi w:val="0"/>
              <w:adjustRightInd/>
              <w:spacing w:line="360" w:lineRule="auto"/>
              <w:textAlignment w:val="auto"/>
              <w:outlineLvl w:val="9"/>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3. 其他人员</w:t>
            </w:r>
          </w:p>
        </w:tc>
        <w:tc>
          <w:tcPr>
            <w:tcW w:w="1770" w:type="dxa"/>
            <w:tcBorders>
              <w:top w:val="single" w:color="auto" w:sz="4" w:space="0"/>
              <w:left w:val="single" w:color="auto" w:sz="4" w:space="0"/>
              <w:bottom w:val="single" w:color="auto" w:sz="4" w:space="0"/>
              <w:right w:val="single" w:color="auto" w:sz="4" w:space="0"/>
              <w:tl2br w:val="nil"/>
              <w:tr2bl w:val="nil"/>
            </w:tcBorders>
          </w:tcPr>
          <w:p>
            <w:pPr>
              <w:keepNext w:val="0"/>
              <w:keepLines w:val="0"/>
              <w:widowControl w:val="0"/>
              <w:kinsoku/>
              <w:wordWrap/>
              <w:overflowPunct/>
              <w:topLinePunct w:val="0"/>
              <w:autoSpaceDE/>
              <w:autoSpaceDN/>
              <w:bidi w:val="0"/>
              <w:adjustRightInd/>
              <w:spacing w:line="360" w:lineRule="auto"/>
              <w:jc w:val="center"/>
              <w:textAlignment w:val="auto"/>
              <w:outlineLvl w:val="9"/>
              <w:rPr>
                <w:rFonts w:ascii="宋体" w:hAnsi="宋体" w:cs="宋体"/>
                <w:color w:val="000000" w:themeColor="text1"/>
                <w:sz w:val="24"/>
                <w:szCs w:val="24"/>
                <w14:textFill>
                  <w14:solidFill>
                    <w14:schemeClr w14:val="tx1"/>
                  </w14:solidFill>
                </w14:textFill>
              </w:rPr>
            </w:pPr>
          </w:p>
        </w:tc>
        <w:tc>
          <w:tcPr>
            <w:tcW w:w="2130" w:type="dxa"/>
            <w:tcBorders>
              <w:top w:val="single" w:color="auto" w:sz="4" w:space="0"/>
              <w:left w:val="single" w:color="auto" w:sz="4" w:space="0"/>
              <w:bottom w:val="single" w:color="auto" w:sz="4" w:space="0"/>
              <w:right w:val="single" w:color="auto" w:sz="4" w:space="0"/>
              <w:tl2br w:val="nil"/>
              <w:tr2bl w:val="nil"/>
            </w:tcBorders>
          </w:tcPr>
          <w:p>
            <w:pPr>
              <w:keepNext w:val="0"/>
              <w:keepLines w:val="0"/>
              <w:widowControl w:val="0"/>
              <w:kinsoku/>
              <w:wordWrap/>
              <w:overflowPunct/>
              <w:topLinePunct w:val="0"/>
              <w:autoSpaceDE/>
              <w:autoSpaceDN/>
              <w:bidi w:val="0"/>
              <w:adjustRightInd/>
              <w:spacing w:line="360" w:lineRule="auto"/>
              <w:textAlignment w:val="auto"/>
              <w:outlineLvl w:val="9"/>
              <w:rPr>
                <w:rFonts w:ascii="宋体" w:hAnsi="宋体" w:cs="宋体"/>
                <w:color w:val="000000" w:themeColor="text1"/>
                <w:sz w:val="24"/>
                <w:szCs w:val="24"/>
                <w14:textFill>
                  <w14:solidFill>
                    <w14:schemeClr w14:val="tx1"/>
                  </w14:solidFill>
                </w14:textFill>
              </w:rPr>
            </w:pPr>
          </w:p>
        </w:tc>
        <w:tc>
          <w:tcPr>
            <w:tcW w:w="1860" w:type="dxa"/>
            <w:tcBorders>
              <w:top w:val="single" w:color="auto" w:sz="4" w:space="0"/>
              <w:left w:val="single" w:color="auto" w:sz="4" w:space="0"/>
              <w:bottom w:val="single" w:color="auto" w:sz="4" w:space="0"/>
              <w:right w:val="single" w:color="auto" w:sz="4" w:space="0"/>
              <w:tl2br w:val="nil"/>
              <w:tr2bl w:val="nil"/>
            </w:tcBorders>
          </w:tcPr>
          <w:p>
            <w:pPr>
              <w:keepNext w:val="0"/>
              <w:keepLines w:val="0"/>
              <w:widowControl w:val="0"/>
              <w:kinsoku/>
              <w:wordWrap/>
              <w:overflowPunct/>
              <w:topLinePunct w:val="0"/>
              <w:autoSpaceDE/>
              <w:autoSpaceDN/>
              <w:bidi w:val="0"/>
              <w:adjustRightInd/>
              <w:spacing w:line="360" w:lineRule="auto"/>
              <w:textAlignment w:val="auto"/>
              <w:outlineLvl w:val="9"/>
              <w:rPr>
                <w:rFonts w:ascii="宋体" w:hAnsi="宋体" w:cs="宋体"/>
                <w:color w:val="000000" w:themeColor="text1"/>
                <w:sz w:val="24"/>
                <w:szCs w:val="24"/>
                <w14:textFill>
                  <w14:solidFill>
                    <w14:schemeClr w14:val="tx1"/>
                  </w14:solidFill>
                </w14:textFill>
              </w:rPr>
            </w:pPr>
          </w:p>
        </w:tc>
      </w:tr>
    </w:tbl>
    <w:p>
      <w:pPr>
        <w:keepNext w:val="0"/>
        <w:keepLines w:val="0"/>
        <w:widowControl w:val="0"/>
        <w:kinsoku/>
        <w:wordWrap/>
        <w:overflowPunct/>
        <w:topLinePunct w:val="0"/>
        <w:autoSpaceDE/>
        <w:autoSpaceDN/>
        <w:bidi w:val="0"/>
        <w:adjustRightInd/>
        <w:spacing w:before="156" w:beforeLines="50" w:line="360" w:lineRule="auto"/>
        <w:textAlignment w:val="auto"/>
        <w:outlineLvl w:val="9"/>
        <w:rPr>
          <w:rFonts w:ascii="宋体" w:hAnsi="宋体" w:cs="宋体"/>
          <w:b/>
          <w:color w:val="000000" w:themeColor="text1"/>
          <w:sz w:val="28"/>
          <w:szCs w:val="24"/>
          <w14:textFill>
            <w14:solidFill>
              <w14:schemeClr w14:val="tx1"/>
            </w14:solidFill>
          </w14:textFill>
        </w:rPr>
      </w:pPr>
      <w:bookmarkStart w:id="726" w:name="_Toc22602"/>
      <w:bookmarkStart w:id="727" w:name="_Toc9219"/>
      <w:bookmarkStart w:id="728" w:name="_Toc24222"/>
      <w:bookmarkStart w:id="729" w:name="_Toc32763"/>
      <w:r>
        <w:rPr>
          <w:rFonts w:hint="eastAsia" w:ascii="宋体" w:hAnsi="宋体" w:cs="宋体"/>
          <w:b/>
          <w:color w:val="000000" w:themeColor="text1"/>
          <w:sz w:val="28"/>
          <w:szCs w:val="24"/>
          <w14:textFill>
            <w14:solidFill>
              <w14:schemeClr w14:val="tx1"/>
            </w14:solidFill>
          </w14:textFill>
        </w:rPr>
        <w:t>B-2  委托人提供的房屋</w:t>
      </w:r>
      <w:bookmarkEnd w:id="726"/>
      <w:bookmarkEnd w:id="727"/>
      <w:bookmarkEnd w:id="728"/>
      <w:bookmarkEnd w:id="729"/>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86"/>
        <w:gridCol w:w="1592"/>
        <w:gridCol w:w="2130"/>
        <w:gridCol w:w="1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86" w:type="dxa"/>
            <w:tcBorders>
              <w:top w:val="single" w:color="auto" w:sz="4" w:space="0"/>
              <w:left w:val="single" w:color="auto" w:sz="4" w:space="0"/>
              <w:bottom w:val="single" w:color="auto" w:sz="4" w:space="0"/>
              <w:right w:val="single" w:color="auto" w:sz="4" w:space="0"/>
              <w:tl2br w:val="nil"/>
              <w:tr2bl w:val="nil"/>
            </w:tcBorders>
          </w:tcPr>
          <w:p>
            <w:pPr>
              <w:keepNext w:val="0"/>
              <w:keepLines w:val="0"/>
              <w:widowControl w:val="0"/>
              <w:kinsoku/>
              <w:wordWrap/>
              <w:overflowPunct/>
              <w:topLinePunct w:val="0"/>
              <w:autoSpaceDE/>
              <w:autoSpaceDN/>
              <w:bidi w:val="0"/>
              <w:adjustRightInd/>
              <w:spacing w:line="360" w:lineRule="auto"/>
              <w:jc w:val="center"/>
              <w:textAlignment w:val="auto"/>
              <w:outlineLvl w:val="9"/>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名称</w:t>
            </w:r>
          </w:p>
        </w:tc>
        <w:tc>
          <w:tcPr>
            <w:tcW w:w="1592" w:type="dxa"/>
            <w:tcBorders>
              <w:top w:val="single" w:color="auto" w:sz="4" w:space="0"/>
              <w:left w:val="single" w:color="auto" w:sz="4" w:space="0"/>
              <w:bottom w:val="single" w:color="auto" w:sz="4" w:space="0"/>
              <w:right w:val="single" w:color="auto" w:sz="4" w:space="0"/>
              <w:tl2br w:val="nil"/>
              <w:tr2bl w:val="nil"/>
            </w:tcBorders>
          </w:tcPr>
          <w:p>
            <w:pPr>
              <w:keepNext w:val="0"/>
              <w:keepLines w:val="0"/>
              <w:widowControl w:val="0"/>
              <w:kinsoku/>
              <w:wordWrap/>
              <w:overflowPunct/>
              <w:topLinePunct w:val="0"/>
              <w:autoSpaceDE/>
              <w:autoSpaceDN/>
              <w:bidi w:val="0"/>
              <w:adjustRightInd/>
              <w:spacing w:line="360" w:lineRule="auto"/>
              <w:jc w:val="center"/>
              <w:textAlignment w:val="auto"/>
              <w:outlineLvl w:val="9"/>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数量</w:t>
            </w:r>
          </w:p>
        </w:tc>
        <w:tc>
          <w:tcPr>
            <w:tcW w:w="2130" w:type="dxa"/>
            <w:tcBorders>
              <w:top w:val="single" w:color="auto" w:sz="4" w:space="0"/>
              <w:left w:val="single" w:color="auto" w:sz="4" w:space="0"/>
              <w:bottom w:val="single" w:color="auto" w:sz="4" w:space="0"/>
              <w:right w:val="single" w:color="auto" w:sz="4" w:space="0"/>
              <w:tl2br w:val="nil"/>
              <w:tr2bl w:val="nil"/>
            </w:tcBorders>
          </w:tcPr>
          <w:p>
            <w:pPr>
              <w:keepNext w:val="0"/>
              <w:keepLines w:val="0"/>
              <w:widowControl w:val="0"/>
              <w:kinsoku/>
              <w:wordWrap/>
              <w:overflowPunct/>
              <w:topLinePunct w:val="0"/>
              <w:autoSpaceDE/>
              <w:autoSpaceDN/>
              <w:bidi w:val="0"/>
              <w:adjustRightInd/>
              <w:spacing w:line="360" w:lineRule="auto"/>
              <w:jc w:val="center"/>
              <w:textAlignment w:val="auto"/>
              <w:outlineLvl w:val="9"/>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面积</w:t>
            </w:r>
          </w:p>
        </w:tc>
        <w:tc>
          <w:tcPr>
            <w:tcW w:w="1860" w:type="dxa"/>
            <w:tcBorders>
              <w:top w:val="single" w:color="auto" w:sz="4" w:space="0"/>
              <w:left w:val="single" w:color="auto" w:sz="4" w:space="0"/>
              <w:bottom w:val="single" w:color="auto" w:sz="4" w:space="0"/>
              <w:right w:val="single" w:color="auto" w:sz="4" w:space="0"/>
              <w:tl2br w:val="nil"/>
              <w:tr2bl w:val="nil"/>
            </w:tcBorders>
          </w:tcPr>
          <w:p>
            <w:pPr>
              <w:keepNext w:val="0"/>
              <w:keepLines w:val="0"/>
              <w:widowControl w:val="0"/>
              <w:kinsoku/>
              <w:wordWrap/>
              <w:overflowPunct/>
              <w:topLinePunct w:val="0"/>
              <w:autoSpaceDE/>
              <w:autoSpaceDN/>
              <w:bidi w:val="0"/>
              <w:adjustRightInd/>
              <w:spacing w:line="360" w:lineRule="auto"/>
              <w:jc w:val="center"/>
              <w:textAlignment w:val="auto"/>
              <w:outlineLvl w:val="9"/>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提供时间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86" w:type="dxa"/>
            <w:tcBorders>
              <w:top w:val="single" w:color="auto" w:sz="4" w:space="0"/>
              <w:left w:val="single" w:color="auto" w:sz="4" w:space="0"/>
              <w:bottom w:val="single" w:color="auto" w:sz="4" w:space="0"/>
              <w:right w:val="single" w:color="auto" w:sz="4" w:space="0"/>
              <w:tl2br w:val="nil"/>
              <w:tr2bl w:val="nil"/>
            </w:tcBorders>
          </w:tcPr>
          <w:p>
            <w:pPr>
              <w:keepNext w:val="0"/>
              <w:keepLines w:val="0"/>
              <w:widowControl w:val="0"/>
              <w:kinsoku/>
              <w:wordWrap/>
              <w:overflowPunct/>
              <w:topLinePunct w:val="0"/>
              <w:autoSpaceDE/>
              <w:autoSpaceDN/>
              <w:bidi w:val="0"/>
              <w:adjustRightInd/>
              <w:spacing w:line="360" w:lineRule="auto"/>
              <w:textAlignment w:val="auto"/>
              <w:outlineLvl w:val="9"/>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1. 办公用房</w:t>
            </w:r>
          </w:p>
        </w:tc>
        <w:tc>
          <w:tcPr>
            <w:tcW w:w="1592" w:type="dxa"/>
            <w:tcBorders>
              <w:top w:val="single" w:color="auto" w:sz="4" w:space="0"/>
              <w:left w:val="single" w:color="auto" w:sz="4" w:space="0"/>
              <w:bottom w:val="single" w:color="auto" w:sz="4" w:space="0"/>
              <w:right w:val="single" w:color="auto" w:sz="4" w:space="0"/>
              <w:tl2br w:val="nil"/>
              <w:tr2bl w:val="nil"/>
            </w:tcBorders>
          </w:tcPr>
          <w:p>
            <w:pPr>
              <w:keepNext w:val="0"/>
              <w:keepLines w:val="0"/>
              <w:widowControl w:val="0"/>
              <w:kinsoku/>
              <w:wordWrap/>
              <w:overflowPunct/>
              <w:topLinePunct w:val="0"/>
              <w:autoSpaceDE/>
              <w:autoSpaceDN/>
              <w:bidi w:val="0"/>
              <w:adjustRightInd/>
              <w:spacing w:line="360" w:lineRule="auto"/>
              <w:ind w:firstLine="240" w:firstLineChars="100"/>
              <w:jc w:val="center"/>
              <w:textAlignment w:val="auto"/>
              <w:outlineLvl w:val="9"/>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1间</w:t>
            </w:r>
          </w:p>
        </w:tc>
        <w:tc>
          <w:tcPr>
            <w:tcW w:w="2130" w:type="dxa"/>
            <w:tcBorders>
              <w:top w:val="single" w:color="auto" w:sz="4" w:space="0"/>
              <w:left w:val="single" w:color="auto" w:sz="4" w:space="0"/>
              <w:bottom w:val="single" w:color="auto" w:sz="4" w:space="0"/>
              <w:right w:val="single" w:color="auto" w:sz="4" w:space="0"/>
              <w:tl2br w:val="nil"/>
              <w:tr2bl w:val="nil"/>
            </w:tcBorders>
          </w:tcPr>
          <w:p>
            <w:pPr>
              <w:keepNext w:val="0"/>
              <w:keepLines w:val="0"/>
              <w:widowControl w:val="0"/>
              <w:kinsoku/>
              <w:wordWrap/>
              <w:overflowPunct/>
              <w:topLinePunct w:val="0"/>
              <w:autoSpaceDE/>
              <w:autoSpaceDN/>
              <w:bidi w:val="0"/>
              <w:adjustRightInd/>
              <w:spacing w:line="360" w:lineRule="auto"/>
              <w:ind w:firstLine="240" w:firstLineChars="100"/>
              <w:jc w:val="center"/>
              <w:textAlignment w:val="auto"/>
              <w:outlineLvl w:val="9"/>
              <w:rPr>
                <w:rFonts w:ascii="宋体" w:hAnsi="宋体" w:cs="宋体"/>
                <w:color w:val="000000" w:themeColor="text1"/>
                <w:sz w:val="24"/>
                <w:szCs w:val="24"/>
                <w14:textFill>
                  <w14:solidFill>
                    <w14:schemeClr w14:val="tx1"/>
                  </w14:solidFill>
                </w14:textFill>
              </w:rPr>
            </w:pPr>
          </w:p>
        </w:tc>
        <w:tc>
          <w:tcPr>
            <w:tcW w:w="1860" w:type="dxa"/>
            <w:tcBorders>
              <w:top w:val="single" w:color="auto" w:sz="4" w:space="0"/>
              <w:left w:val="single" w:color="auto" w:sz="4" w:space="0"/>
              <w:bottom w:val="single" w:color="auto" w:sz="4" w:space="0"/>
              <w:right w:val="single" w:color="auto" w:sz="4" w:space="0"/>
              <w:tl2br w:val="nil"/>
              <w:tr2bl w:val="nil"/>
            </w:tcBorders>
          </w:tcPr>
          <w:p>
            <w:pPr>
              <w:keepNext w:val="0"/>
              <w:keepLines w:val="0"/>
              <w:widowControl w:val="0"/>
              <w:kinsoku/>
              <w:wordWrap/>
              <w:overflowPunct/>
              <w:topLinePunct w:val="0"/>
              <w:autoSpaceDE/>
              <w:autoSpaceDN/>
              <w:bidi w:val="0"/>
              <w:adjustRightInd/>
              <w:spacing w:line="360" w:lineRule="auto"/>
              <w:ind w:firstLine="240" w:firstLineChars="100"/>
              <w:jc w:val="center"/>
              <w:textAlignment w:val="auto"/>
              <w:outlineLvl w:val="9"/>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开工前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86" w:type="dxa"/>
            <w:tcBorders>
              <w:top w:val="single" w:color="auto" w:sz="4" w:space="0"/>
              <w:left w:val="single" w:color="auto" w:sz="4" w:space="0"/>
              <w:bottom w:val="single" w:color="auto" w:sz="4" w:space="0"/>
              <w:right w:val="single" w:color="auto" w:sz="4" w:space="0"/>
              <w:tl2br w:val="nil"/>
              <w:tr2bl w:val="nil"/>
            </w:tcBorders>
          </w:tcPr>
          <w:p>
            <w:pPr>
              <w:keepNext w:val="0"/>
              <w:keepLines w:val="0"/>
              <w:widowControl w:val="0"/>
              <w:kinsoku/>
              <w:wordWrap/>
              <w:overflowPunct/>
              <w:topLinePunct w:val="0"/>
              <w:autoSpaceDE/>
              <w:autoSpaceDN/>
              <w:bidi w:val="0"/>
              <w:adjustRightInd/>
              <w:spacing w:line="360" w:lineRule="auto"/>
              <w:textAlignment w:val="auto"/>
              <w:outlineLvl w:val="9"/>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2. 生活用房</w:t>
            </w:r>
          </w:p>
        </w:tc>
        <w:tc>
          <w:tcPr>
            <w:tcW w:w="1592" w:type="dxa"/>
            <w:tcBorders>
              <w:top w:val="single" w:color="auto" w:sz="4" w:space="0"/>
              <w:left w:val="single" w:color="auto" w:sz="4" w:space="0"/>
              <w:bottom w:val="single" w:color="auto" w:sz="4" w:space="0"/>
              <w:right w:val="single" w:color="auto" w:sz="4" w:space="0"/>
              <w:tl2br w:val="nil"/>
              <w:tr2bl w:val="nil"/>
            </w:tcBorders>
          </w:tcPr>
          <w:p>
            <w:pPr>
              <w:keepNext w:val="0"/>
              <w:keepLines w:val="0"/>
              <w:widowControl w:val="0"/>
              <w:kinsoku/>
              <w:wordWrap/>
              <w:overflowPunct/>
              <w:topLinePunct w:val="0"/>
              <w:autoSpaceDE/>
              <w:autoSpaceDN/>
              <w:bidi w:val="0"/>
              <w:adjustRightInd/>
              <w:spacing w:line="360" w:lineRule="auto"/>
              <w:ind w:firstLine="240" w:firstLineChars="100"/>
              <w:jc w:val="center"/>
              <w:textAlignment w:val="auto"/>
              <w:outlineLvl w:val="9"/>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w:t>
            </w:r>
          </w:p>
        </w:tc>
        <w:tc>
          <w:tcPr>
            <w:tcW w:w="2130" w:type="dxa"/>
            <w:tcBorders>
              <w:top w:val="single" w:color="auto" w:sz="4" w:space="0"/>
              <w:left w:val="single" w:color="auto" w:sz="4" w:space="0"/>
              <w:bottom w:val="single" w:color="auto" w:sz="4" w:space="0"/>
              <w:right w:val="single" w:color="auto" w:sz="4" w:space="0"/>
              <w:tl2br w:val="nil"/>
              <w:tr2bl w:val="nil"/>
            </w:tcBorders>
          </w:tcPr>
          <w:p>
            <w:pPr>
              <w:keepNext w:val="0"/>
              <w:keepLines w:val="0"/>
              <w:widowControl w:val="0"/>
              <w:kinsoku/>
              <w:wordWrap/>
              <w:overflowPunct/>
              <w:topLinePunct w:val="0"/>
              <w:autoSpaceDE/>
              <w:autoSpaceDN/>
              <w:bidi w:val="0"/>
              <w:adjustRightInd/>
              <w:spacing w:line="360" w:lineRule="auto"/>
              <w:ind w:firstLine="240" w:firstLineChars="100"/>
              <w:jc w:val="center"/>
              <w:textAlignment w:val="auto"/>
              <w:outlineLvl w:val="9"/>
              <w:rPr>
                <w:rFonts w:ascii="宋体" w:hAnsi="宋体" w:cs="宋体"/>
                <w:color w:val="000000" w:themeColor="text1"/>
                <w:sz w:val="24"/>
                <w:szCs w:val="24"/>
                <w14:textFill>
                  <w14:solidFill>
                    <w14:schemeClr w14:val="tx1"/>
                  </w14:solidFill>
                </w14:textFill>
              </w:rPr>
            </w:pPr>
          </w:p>
        </w:tc>
        <w:tc>
          <w:tcPr>
            <w:tcW w:w="1860" w:type="dxa"/>
            <w:tcBorders>
              <w:top w:val="single" w:color="auto" w:sz="4" w:space="0"/>
              <w:left w:val="single" w:color="auto" w:sz="4" w:space="0"/>
              <w:bottom w:val="single" w:color="auto" w:sz="4" w:space="0"/>
              <w:right w:val="single" w:color="auto" w:sz="4" w:space="0"/>
              <w:tl2br w:val="nil"/>
              <w:tr2bl w:val="nil"/>
            </w:tcBorders>
          </w:tcPr>
          <w:p>
            <w:pPr>
              <w:keepNext w:val="0"/>
              <w:keepLines w:val="0"/>
              <w:widowControl w:val="0"/>
              <w:kinsoku/>
              <w:wordWrap/>
              <w:overflowPunct/>
              <w:topLinePunct w:val="0"/>
              <w:autoSpaceDE/>
              <w:autoSpaceDN/>
              <w:bidi w:val="0"/>
              <w:adjustRightInd/>
              <w:spacing w:line="360" w:lineRule="auto"/>
              <w:ind w:firstLine="240" w:firstLineChars="100"/>
              <w:jc w:val="center"/>
              <w:textAlignment w:val="auto"/>
              <w:outlineLvl w:val="9"/>
              <w:rPr>
                <w:rFonts w:ascii="宋体" w:hAnsi="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86" w:type="dxa"/>
            <w:tcBorders>
              <w:top w:val="single" w:color="auto" w:sz="4" w:space="0"/>
              <w:left w:val="single" w:color="auto" w:sz="4" w:space="0"/>
              <w:bottom w:val="single" w:color="auto" w:sz="4" w:space="0"/>
              <w:right w:val="single" w:color="auto" w:sz="4" w:space="0"/>
              <w:tl2br w:val="nil"/>
              <w:tr2bl w:val="nil"/>
            </w:tcBorders>
          </w:tcPr>
          <w:p>
            <w:pPr>
              <w:keepNext w:val="0"/>
              <w:keepLines w:val="0"/>
              <w:widowControl w:val="0"/>
              <w:kinsoku/>
              <w:wordWrap/>
              <w:overflowPunct/>
              <w:topLinePunct w:val="0"/>
              <w:autoSpaceDE/>
              <w:autoSpaceDN/>
              <w:bidi w:val="0"/>
              <w:adjustRightInd/>
              <w:spacing w:line="360" w:lineRule="auto"/>
              <w:textAlignment w:val="auto"/>
              <w:outlineLvl w:val="9"/>
              <w:rPr>
                <w:rFonts w:ascii="宋体" w:hAnsi="宋体" w:cs="宋体"/>
                <w:dstrike/>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3. 试验用房</w:t>
            </w:r>
          </w:p>
        </w:tc>
        <w:tc>
          <w:tcPr>
            <w:tcW w:w="1592" w:type="dxa"/>
            <w:tcBorders>
              <w:top w:val="single" w:color="auto" w:sz="4" w:space="0"/>
              <w:left w:val="single" w:color="auto" w:sz="4" w:space="0"/>
              <w:bottom w:val="single" w:color="auto" w:sz="4" w:space="0"/>
              <w:right w:val="single" w:color="auto" w:sz="4" w:space="0"/>
              <w:tl2br w:val="nil"/>
              <w:tr2bl w:val="nil"/>
            </w:tcBorders>
          </w:tcPr>
          <w:p>
            <w:pPr>
              <w:keepNext w:val="0"/>
              <w:keepLines w:val="0"/>
              <w:widowControl w:val="0"/>
              <w:kinsoku/>
              <w:wordWrap/>
              <w:overflowPunct/>
              <w:topLinePunct w:val="0"/>
              <w:autoSpaceDE/>
              <w:autoSpaceDN/>
              <w:bidi w:val="0"/>
              <w:adjustRightInd/>
              <w:spacing w:line="360" w:lineRule="auto"/>
              <w:ind w:firstLine="240" w:firstLineChars="100"/>
              <w:jc w:val="center"/>
              <w:textAlignment w:val="auto"/>
              <w:outlineLvl w:val="9"/>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w:t>
            </w:r>
          </w:p>
        </w:tc>
        <w:tc>
          <w:tcPr>
            <w:tcW w:w="2130" w:type="dxa"/>
            <w:tcBorders>
              <w:top w:val="single" w:color="auto" w:sz="4" w:space="0"/>
              <w:left w:val="single" w:color="auto" w:sz="4" w:space="0"/>
              <w:bottom w:val="single" w:color="auto" w:sz="4" w:space="0"/>
              <w:right w:val="single" w:color="auto" w:sz="4" w:space="0"/>
              <w:tl2br w:val="nil"/>
              <w:tr2bl w:val="nil"/>
            </w:tcBorders>
          </w:tcPr>
          <w:p>
            <w:pPr>
              <w:keepNext w:val="0"/>
              <w:keepLines w:val="0"/>
              <w:widowControl w:val="0"/>
              <w:kinsoku/>
              <w:wordWrap/>
              <w:overflowPunct/>
              <w:topLinePunct w:val="0"/>
              <w:autoSpaceDE/>
              <w:autoSpaceDN/>
              <w:bidi w:val="0"/>
              <w:adjustRightInd/>
              <w:spacing w:line="360" w:lineRule="auto"/>
              <w:ind w:firstLine="240" w:firstLineChars="100"/>
              <w:jc w:val="center"/>
              <w:textAlignment w:val="auto"/>
              <w:outlineLvl w:val="9"/>
              <w:rPr>
                <w:rFonts w:ascii="宋体" w:hAnsi="宋体" w:cs="宋体"/>
                <w:color w:val="000000" w:themeColor="text1"/>
                <w:sz w:val="24"/>
                <w:szCs w:val="24"/>
                <w14:textFill>
                  <w14:solidFill>
                    <w14:schemeClr w14:val="tx1"/>
                  </w14:solidFill>
                </w14:textFill>
              </w:rPr>
            </w:pPr>
          </w:p>
        </w:tc>
        <w:tc>
          <w:tcPr>
            <w:tcW w:w="1860" w:type="dxa"/>
            <w:tcBorders>
              <w:top w:val="single" w:color="auto" w:sz="4" w:space="0"/>
              <w:left w:val="single" w:color="auto" w:sz="4" w:space="0"/>
              <w:bottom w:val="single" w:color="auto" w:sz="4" w:space="0"/>
              <w:right w:val="single" w:color="auto" w:sz="4" w:space="0"/>
              <w:tl2br w:val="nil"/>
              <w:tr2bl w:val="nil"/>
            </w:tcBorders>
          </w:tcPr>
          <w:p>
            <w:pPr>
              <w:keepNext w:val="0"/>
              <w:keepLines w:val="0"/>
              <w:widowControl w:val="0"/>
              <w:kinsoku/>
              <w:wordWrap/>
              <w:overflowPunct/>
              <w:topLinePunct w:val="0"/>
              <w:autoSpaceDE/>
              <w:autoSpaceDN/>
              <w:bidi w:val="0"/>
              <w:adjustRightInd/>
              <w:spacing w:line="360" w:lineRule="auto"/>
              <w:ind w:firstLine="240" w:firstLineChars="100"/>
              <w:jc w:val="center"/>
              <w:textAlignment w:val="auto"/>
              <w:outlineLvl w:val="9"/>
              <w:rPr>
                <w:rFonts w:ascii="宋体" w:hAnsi="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86" w:type="dxa"/>
            <w:tcBorders>
              <w:top w:val="single" w:color="auto" w:sz="4" w:space="0"/>
              <w:left w:val="single" w:color="auto" w:sz="4" w:space="0"/>
              <w:bottom w:val="single" w:color="auto" w:sz="4" w:space="0"/>
              <w:right w:val="single" w:color="auto" w:sz="4" w:space="0"/>
              <w:tl2br w:val="nil"/>
              <w:tr2bl w:val="nil"/>
            </w:tcBorders>
          </w:tcPr>
          <w:p>
            <w:pPr>
              <w:keepNext w:val="0"/>
              <w:keepLines w:val="0"/>
              <w:widowControl w:val="0"/>
              <w:kinsoku/>
              <w:wordWrap/>
              <w:overflowPunct/>
              <w:topLinePunct w:val="0"/>
              <w:autoSpaceDE/>
              <w:autoSpaceDN/>
              <w:bidi w:val="0"/>
              <w:adjustRightInd/>
              <w:spacing w:line="360" w:lineRule="auto"/>
              <w:textAlignment w:val="auto"/>
              <w:outlineLvl w:val="9"/>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4. 样品用房</w:t>
            </w:r>
          </w:p>
        </w:tc>
        <w:tc>
          <w:tcPr>
            <w:tcW w:w="1592" w:type="dxa"/>
            <w:tcBorders>
              <w:top w:val="single" w:color="auto" w:sz="4" w:space="0"/>
              <w:left w:val="single" w:color="auto" w:sz="4" w:space="0"/>
              <w:bottom w:val="single" w:color="auto" w:sz="4" w:space="0"/>
              <w:right w:val="single" w:color="auto" w:sz="4" w:space="0"/>
              <w:tl2br w:val="nil"/>
              <w:tr2bl w:val="nil"/>
            </w:tcBorders>
          </w:tcPr>
          <w:p>
            <w:pPr>
              <w:keepNext w:val="0"/>
              <w:keepLines w:val="0"/>
              <w:widowControl w:val="0"/>
              <w:kinsoku/>
              <w:wordWrap/>
              <w:overflowPunct/>
              <w:topLinePunct w:val="0"/>
              <w:autoSpaceDE/>
              <w:autoSpaceDN/>
              <w:bidi w:val="0"/>
              <w:adjustRightInd/>
              <w:spacing w:line="360" w:lineRule="auto"/>
              <w:ind w:firstLine="240" w:firstLineChars="100"/>
              <w:jc w:val="center"/>
              <w:textAlignment w:val="auto"/>
              <w:outlineLvl w:val="9"/>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w:t>
            </w:r>
          </w:p>
        </w:tc>
        <w:tc>
          <w:tcPr>
            <w:tcW w:w="2130" w:type="dxa"/>
            <w:tcBorders>
              <w:top w:val="single" w:color="auto" w:sz="4" w:space="0"/>
              <w:left w:val="single" w:color="auto" w:sz="4" w:space="0"/>
              <w:bottom w:val="single" w:color="auto" w:sz="4" w:space="0"/>
              <w:right w:val="single" w:color="auto" w:sz="4" w:space="0"/>
              <w:tl2br w:val="nil"/>
              <w:tr2bl w:val="nil"/>
            </w:tcBorders>
          </w:tcPr>
          <w:p>
            <w:pPr>
              <w:keepNext w:val="0"/>
              <w:keepLines w:val="0"/>
              <w:widowControl w:val="0"/>
              <w:kinsoku/>
              <w:wordWrap/>
              <w:overflowPunct/>
              <w:topLinePunct w:val="0"/>
              <w:autoSpaceDE/>
              <w:autoSpaceDN/>
              <w:bidi w:val="0"/>
              <w:adjustRightInd/>
              <w:spacing w:line="360" w:lineRule="auto"/>
              <w:ind w:firstLine="240" w:firstLineChars="100"/>
              <w:jc w:val="center"/>
              <w:textAlignment w:val="auto"/>
              <w:outlineLvl w:val="9"/>
              <w:rPr>
                <w:rFonts w:ascii="宋体" w:hAnsi="宋体" w:cs="宋体"/>
                <w:color w:val="000000" w:themeColor="text1"/>
                <w:sz w:val="24"/>
                <w:szCs w:val="24"/>
                <w14:textFill>
                  <w14:solidFill>
                    <w14:schemeClr w14:val="tx1"/>
                  </w14:solidFill>
                </w14:textFill>
              </w:rPr>
            </w:pPr>
          </w:p>
        </w:tc>
        <w:tc>
          <w:tcPr>
            <w:tcW w:w="1860" w:type="dxa"/>
            <w:tcBorders>
              <w:top w:val="single" w:color="auto" w:sz="4" w:space="0"/>
              <w:left w:val="single" w:color="auto" w:sz="4" w:space="0"/>
              <w:bottom w:val="single" w:color="auto" w:sz="4" w:space="0"/>
              <w:right w:val="single" w:color="auto" w:sz="4" w:space="0"/>
              <w:tl2br w:val="nil"/>
              <w:tr2bl w:val="nil"/>
            </w:tcBorders>
          </w:tcPr>
          <w:p>
            <w:pPr>
              <w:keepNext w:val="0"/>
              <w:keepLines w:val="0"/>
              <w:widowControl w:val="0"/>
              <w:kinsoku/>
              <w:wordWrap/>
              <w:overflowPunct/>
              <w:topLinePunct w:val="0"/>
              <w:autoSpaceDE/>
              <w:autoSpaceDN/>
              <w:bidi w:val="0"/>
              <w:adjustRightInd/>
              <w:spacing w:line="360" w:lineRule="auto"/>
              <w:ind w:firstLine="240" w:firstLineChars="100"/>
              <w:jc w:val="center"/>
              <w:textAlignment w:val="auto"/>
              <w:outlineLvl w:val="9"/>
              <w:rPr>
                <w:rFonts w:ascii="宋体" w:hAnsi="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86" w:type="dxa"/>
            <w:tcBorders>
              <w:top w:val="single" w:color="auto" w:sz="4" w:space="0"/>
              <w:left w:val="single" w:color="auto" w:sz="4" w:space="0"/>
              <w:bottom w:val="single" w:color="auto" w:sz="4" w:space="0"/>
              <w:right w:val="single" w:color="auto" w:sz="4" w:space="0"/>
              <w:tl2br w:val="nil"/>
              <w:tr2bl w:val="nil"/>
            </w:tcBorders>
          </w:tcPr>
          <w:p>
            <w:pPr>
              <w:keepNext w:val="0"/>
              <w:keepLines w:val="0"/>
              <w:widowControl w:val="0"/>
              <w:kinsoku/>
              <w:wordWrap/>
              <w:overflowPunct/>
              <w:topLinePunct w:val="0"/>
              <w:autoSpaceDE/>
              <w:autoSpaceDN/>
              <w:bidi w:val="0"/>
              <w:adjustRightInd/>
              <w:spacing w:line="360" w:lineRule="auto"/>
              <w:textAlignment w:val="auto"/>
              <w:outlineLvl w:val="9"/>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用餐及其他生活条件</w:t>
            </w:r>
          </w:p>
        </w:tc>
        <w:tc>
          <w:tcPr>
            <w:tcW w:w="5582" w:type="dxa"/>
            <w:gridSpan w:val="3"/>
            <w:tcBorders>
              <w:top w:val="single" w:color="auto" w:sz="4" w:space="0"/>
              <w:left w:val="single" w:color="auto" w:sz="4" w:space="0"/>
              <w:bottom w:val="single" w:color="auto" w:sz="4" w:space="0"/>
              <w:right w:val="single" w:color="auto" w:sz="4" w:space="0"/>
              <w:tl2br w:val="nil"/>
              <w:tr2bl w:val="nil"/>
            </w:tcBorders>
          </w:tcPr>
          <w:p>
            <w:pPr>
              <w:keepNext w:val="0"/>
              <w:keepLines w:val="0"/>
              <w:widowControl w:val="0"/>
              <w:kinsoku/>
              <w:wordWrap/>
              <w:overflowPunct/>
              <w:topLinePunct w:val="0"/>
              <w:autoSpaceDE/>
              <w:autoSpaceDN/>
              <w:bidi w:val="0"/>
              <w:adjustRightInd/>
              <w:spacing w:line="360" w:lineRule="auto"/>
              <w:ind w:firstLine="240" w:firstLineChars="100"/>
              <w:jc w:val="center"/>
              <w:textAlignment w:val="auto"/>
              <w:outlineLvl w:val="9"/>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w:t>
            </w:r>
          </w:p>
        </w:tc>
      </w:tr>
    </w:tbl>
    <w:p>
      <w:pPr>
        <w:keepNext w:val="0"/>
        <w:keepLines w:val="0"/>
        <w:widowControl w:val="0"/>
        <w:kinsoku/>
        <w:wordWrap/>
        <w:overflowPunct/>
        <w:topLinePunct w:val="0"/>
        <w:autoSpaceDE/>
        <w:autoSpaceDN/>
        <w:bidi w:val="0"/>
        <w:adjustRightInd/>
        <w:spacing w:before="156" w:beforeLines="50" w:line="360" w:lineRule="auto"/>
        <w:textAlignment w:val="auto"/>
        <w:outlineLvl w:val="9"/>
        <w:rPr>
          <w:rFonts w:ascii="宋体" w:hAnsi="宋体" w:cs="宋体"/>
          <w:b/>
          <w:color w:val="000000" w:themeColor="text1"/>
          <w:sz w:val="28"/>
          <w:szCs w:val="24"/>
          <w14:textFill>
            <w14:solidFill>
              <w14:schemeClr w14:val="tx1"/>
            </w14:solidFill>
          </w14:textFill>
        </w:rPr>
      </w:pPr>
      <w:bookmarkStart w:id="730" w:name="_Toc19678"/>
      <w:bookmarkStart w:id="731" w:name="_Toc4237"/>
      <w:bookmarkStart w:id="732" w:name="_Toc31215"/>
      <w:bookmarkStart w:id="733" w:name="_Toc21550"/>
      <w:r>
        <w:rPr>
          <w:rFonts w:hint="eastAsia" w:ascii="宋体" w:hAnsi="宋体" w:cs="宋体"/>
          <w:b/>
          <w:color w:val="000000" w:themeColor="text1"/>
          <w:sz w:val="28"/>
          <w:szCs w:val="24"/>
          <w14:textFill>
            <w14:solidFill>
              <w14:schemeClr w14:val="tx1"/>
            </w14:solidFill>
          </w14:textFill>
        </w:rPr>
        <w:t>B-3  委托人提供的资料</w:t>
      </w:r>
      <w:bookmarkEnd w:id="730"/>
      <w:bookmarkEnd w:id="731"/>
      <w:bookmarkEnd w:id="732"/>
      <w:bookmarkEnd w:id="733"/>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02"/>
        <w:gridCol w:w="1058"/>
        <w:gridCol w:w="3255"/>
        <w:gridCol w:w="14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802" w:type="dxa"/>
            <w:tcBorders>
              <w:top w:val="single" w:color="auto" w:sz="4" w:space="0"/>
              <w:left w:val="single" w:color="auto" w:sz="4" w:space="0"/>
              <w:bottom w:val="single" w:color="auto" w:sz="4" w:space="0"/>
              <w:right w:val="single" w:color="auto" w:sz="4" w:space="0"/>
              <w:tl2br w:val="nil"/>
              <w:tr2bl w:val="nil"/>
            </w:tcBorders>
          </w:tcPr>
          <w:p>
            <w:pPr>
              <w:keepNext w:val="0"/>
              <w:keepLines w:val="0"/>
              <w:widowControl w:val="0"/>
              <w:kinsoku/>
              <w:wordWrap/>
              <w:overflowPunct/>
              <w:topLinePunct w:val="0"/>
              <w:autoSpaceDE/>
              <w:autoSpaceDN/>
              <w:bidi w:val="0"/>
              <w:adjustRightInd/>
              <w:spacing w:line="360" w:lineRule="auto"/>
              <w:jc w:val="center"/>
              <w:textAlignment w:val="auto"/>
              <w:outlineLvl w:val="9"/>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名称</w:t>
            </w:r>
          </w:p>
        </w:tc>
        <w:tc>
          <w:tcPr>
            <w:tcW w:w="1058" w:type="dxa"/>
            <w:tcBorders>
              <w:top w:val="single" w:color="auto" w:sz="4" w:space="0"/>
              <w:left w:val="single" w:color="auto" w:sz="4" w:space="0"/>
              <w:bottom w:val="single" w:color="auto" w:sz="4" w:space="0"/>
              <w:right w:val="single" w:color="auto" w:sz="4" w:space="0"/>
              <w:tl2br w:val="nil"/>
              <w:tr2bl w:val="nil"/>
            </w:tcBorders>
          </w:tcPr>
          <w:p>
            <w:pPr>
              <w:keepNext w:val="0"/>
              <w:keepLines w:val="0"/>
              <w:widowControl w:val="0"/>
              <w:kinsoku/>
              <w:wordWrap/>
              <w:overflowPunct/>
              <w:topLinePunct w:val="0"/>
              <w:autoSpaceDE/>
              <w:autoSpaceDN/>
              <w:bidi w:val="0"/>
              <w:adjustRightInd/>
              <w:spacing w:line="360" w:lineRule="auto"/>
              <w:jc w:val="center"/>
              <w:textAlignment w:val="auto"/>
              <w:outlineLvl w:val="9"/>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份数</w:t>
            </w:r>
          </w:p>
        </w:tc>
        <w:tc>
          <w:tcPr>
            <w:tcW w:w="3255" w:type="dxa"/>
            <w:tcBorders>
              <w:top w:val="single" w:color="auto" w:sz="4" w:space="0"/>
              <w:left w:val="single" w:color="auto" w:sz="4" w:space="0"/>
              <w:bottom w:val="single" w:color="auto" w:sz="4" w:space="0"/>
              <w:right w:val="single" w:color="auto" w:sz="4" w:space="0"/>
              <w:tl2br w:val="nil"/>
              <w:tr2bl w:val="nil"/>
            </w:tcBorders>
          </w:tcPr>
          <w:p>
            <w:pPr>
              <w:keepNext w:val="0"/>
              <w:keepLines w:val="0"/>
              <w:widowControl w:val="0"/>
              <w:kinsoku/>
              <w:wordWrap/>
              <w:overflowPunct/>
              <w:topLinePunct w:val="0"/>
              <w:autoSpaceDE/>
              <w:autoSpaceDN/>
              <w:bidi w:val="0"/>
              <w:adjustRightInd/>
              <w:spacing w:line="360" w:lineRule="auto"/>
              <w:jc w:val="center"/>
              <w:textAlignment w:val="auto"/>
              <w:outlineLvl w:val="9"/>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提供时间</w:t>
            </w:r>
          </w:p>
        </w:tc>
        <w:tc>
          <w:tcPr>
            <w:tcW w:w="1407" w:type="dxa"/>
            <w:tcBorders>
              <w:top w:val="single" w:color="auto" w:sz="4" w:space="0"/>
              <w:left w:val="single" w:color="auto" w:sz="4" w:space="0"/>
              <w:bottom w:val="single" w:color="auto" w:sz="4" w:space="0"/>
              <w:right w:val="single" w:color="auto" w:sz="4" w:space="0"/>
              <w:tl2br w:val="nil"/>
              <w:tr2bl w:val="nil"/>
            </w:tcBorders>
          </w:tcPr>
          <w:p>
            <w:pPr>
              <w:keepNext w:val="0"/>
              <w:keepLines w:val="0"/>
              <w:widowControl w:val="0"/>
              <w:kinsoku/>
              <w:wordWrap/>
              <w:overflowPunct/>
              <w:topLinePunct w:val="0"/>
              <w:autoSpaceDE/>
              <w:autoSpaceDN/>
              <w:bidi w:val="0"/>
              <w:adjustRightInd/>
              <w:spacing w:line="360" w:lineRule="auto"/>
              <w:jc w:val="center"/>
              <w:textAlignment w:val="auto"/>
              <w:outlineLvl w:val="9"/>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02" w:type="dxa"/>
            <w:tcBorders>
              <w:top w:val="single" w:color="auto" w:sz="4" w:space="0"/>
              <w:left w:val="single" w:color="auto" w:sz="4" w:space="0"/>
              <w:bottom w:val="single" w:color="auto" w:sz="4" w:space="0"/>
              <w:right w:val="single" w:color="auto" w:sz="4" w:space="0"/>
              <w:tl2br w:val="nil"/>
              <w:tr2bl w:val="nil"/>
            </w:tcBorders>
          </w:tcPr>
          <w:p>
            <w:pPr>
              <w:keepNext w:val="0"/>
              <w:keepLines w:val="0"/>
              <w:widowControl w:val="0"/>
              <w:kinsoku/>
              <w:wordWrap/>
              <w:overflowPunct/>
              <w:topLinePunct w:val="0"/>
              <w:autoSpaceDE/>
              <w:autoSpaceDN/>
              <w:bidi w:val="0"/>
              <w:adjustRightInd/>
              <w:spacing w:line="360" w:lineRule="auto"/>
              <w:textAlignment w:val="auto"/>
              <w:outlineLvl w:val="9"/>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1. 工程立项文件</w:t>
            </w:r>
          </w:p>
        </w:tc>
        <w:tc>
          <w:tcPr>
            <w:tcW w:w="1058" w:type="dxa"/>
            <w:tcBorders>
              <w:top w:val="single" w:color="auto" w:sz="4" w:space="0"/>
              <w:left w:val="single" w:color="auto" w:sz="4" w:space="0"/>
              <w:bottom w:val="single" w:color="auto" w:sz="4" w:space="0"/>
              <w:right w:val="single" w:color="auto" w:sz="4" w:space="0"/>
              <w:tl2br w:val="nil"/>
              <w:tr2bl w:val="nil"/>
            </w:tcBorders>
          </w:tcPr>
          <w:p>
            <w:pPr>
              <w:keepNext w:val="0"/>
              <w:keepLines w:val="0"/>
              <w:widowControl w:val="0"/>
              <w:kinsoku/>
              <w:wordWrap/>
              <w:overflowPunct/>
              <w:topLinePunct w:val="0"/>
              <w:autoSpaceDE/>
              <w:autoSpaceDN/>
              <w:bidi w:val="0"/>
              <w:adjustRightInd/>
              <w:spacing w:line="360" w:lineRule="auto"/>
              <w:jc w:val="center"/>
              <w:textAlignment w:val="auto"/>
              <w:outlineLvl w:val="9"/>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w:t>
            </w:r>
          </w:p>
        </w:tc>
        <w:tc>
          <w:tcPr>
            <w:tcW w:w="3255" w:type="dxa"/>
            <w:tcBorders>
              <w:top w:val="single" w:color="auto" w:sz="4" w:space="0"/>
              <w:left w:val="single" w:color="auto" w:sz="4" w:space="0"/>
              <w:bottom w:val="single" w:color="auto" w:sz="4" w:space="0"/>
              <w:right w:val="single" w:color="auto" w:sz="4" w:space="0"/>
              <w:tl2br w:val="nil"/>
              <w:tr2bl w:val="nil"/>
            </w:tcBorders>
          </w:tcPr>
          <w:p>
            <w:pPr>
              <w:keepNext w:val="0"/>
              <w:keepLines w:val="0"/>
              <w:widowControl w:val="0"/>
              <w:kinsoku/>
              <w:wordWrap/>
              <w:overflowPunct/>
              <w:topLinePunct w:val="0"/>
              <w:autoSpaceDE/>
              <w:autoSpaceDN/>
              <w:bidi w:val="0"/>
              <w:adjustRightInd/>
              <w:spacing w:line="360" w:lineRule="auto"/>
              <w:jc w:val="center"/>
              <w:textAlignment w:val="auto"/>
              <w:outlineLvl w:val="9"/>
              <w:rPr>
                <w:rFonts w:ascii="宋体" w:hAnsi="宋体" w:cs="宋体"/>
                <w:color w:val="000000" w:themeColor="text1"/>
                <w:sz w:val="24"/>
                <w:szCs w:val="24"/>
                <w14:textFill>
                  <w14:solidFill>
                    <w14:schemeClr w14:val="tx1"/>
                  </w14:solidFill>
                </w14:textFill>
              </w:rPr>
            </w:pPr>
          </w:p>
        </w:tc>
        <w:tc>
          <w:tcPr>
            <w:tcW w:w="1407" w:type="dxa"/>
            <w:tcBorders>
              <w:top w:val="single" w:color="auto" w:sz="4" w:space="0"/>
              <w:left w:val="single" w:color="auto" w:sz="4" w:space="0"/>
              <w:bottom w:val="single" w:color="auto" w:sz="4" w:space="0"/>
              <w:right w:val="single" w:color="auto" w:sz="4" w:space="0"/>
              <w:tl2br w:val="nil"/>
              <w:tr2bl w:val="nil"/>
            </w:tcBorders>
          </w:tcPr>
          <w:p>
            <w:pPr>
              <w:keepNext w:val="0"/>
              <w:keepLines w:val="0"/>
              <w:widowControl w:val="0"/>
              <w:kinsoku/>
              <w:wordWrap/>
              <w:overflowPunct/>
              <w:topLinePunct w:val="0"/>
              <w:autoSpaceDE/>
              <w:autoSpaceDN/>
              <w:bidi w:val="0"/>
              <w:adjustRightInd/>
              <w:spacing w:line="360" w:lineRule="auto"/>
              <w:textAlignment w:val="auto"/>
              <w:outlineLvl w:val="9"/>
              <w:rPr>
                <w:rFonts w:ascii="宋体" w:hAnsi="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02" w:type="dxa"/>
            <w:tcBorders>
              <w:top w:val="single" w:color="auto" w:sz="4" w:space="0"/>
              <w:left w:val="single" w:color="auto" w:sz="4" w:space="0"/>
              <w:bottom w:val="single" w:color="auto" w:sz="4" w:space="0"/>
              <w:right w:val="single" w:color="auto" w:sz="4" w:space="0"/>
              <w:tl2br w:val="nil"/>
              <w:tr2bl w:val="nil"/>
            </w:tcBorders>
          </w:tcPr>
          <w:p>
            <w:pPr>
              <w:keepNext w:val="0"/>
              <w:keepLines w:val="0"/>
              <w:widowControl w:val="0"/>
              <w:kinsoku/>
              <w:wordWrap/>
              <w:overflowPunct/>
              <w:topLinePunct w:val="0"/>
              <w:autoSpaceDE/>
              <w:autoSpaceDN/>
              <w:bidi w:val="0"/>
              <w:adjustRightInd/>
              <w:spacing w:line="360" w:lineRule="auto"/>
              <w:textAlignment w:val="auto"/>
              <w:outlineLvl w:val="9"/>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2. 工程勘察文件</w:t>
            </w:r>
          </w:p>
        </w:tc>
        <w:tc>
          <w:tcPr>
            <w:tcW w:w="1058" w:type="dxa"/>
            <w:tcBorders>
              <w:top w:val="single" w:color="auto" w:sz="4" w:space="0"/>
              <w:left w:val="single" w:color="auto" w:sz="4" w:space="0"/>
              <w:bottom w:val="single" w:color="auto" w:sz="4" w:space="0"/>
              <w:right w:val="single" w:color="auto" w:sz="4" w:space="0"/>
              <w:tl2br w:val="nil"/>
              <w:tr2bl w:val="nil"/>
            </w:tcBorders>
          </w:tcPr>
          <w:p>
            <w:pPr>
              <w:keepNext w:val="0"/>
              <w:keepLines w:val="0"/>
              <w:widowControl w:val="0"/>
              <w:kinsoku/>
              <w:wordWrap/>
              <w:overflowPunct/>
              <w:topLinePunct w:val="0"/>
              <w:autoSpaceDE/>
              <w:autoSpaceDN/>
              <w:bidi w:val="0"/>
              <w:adjustRightInd/>
              <w:spacing w:line="360" w:lineRule="auto"/>
              <w:jc w:val="center"/>
              <w:textAlignment w:val="auto"/>
              <w:outlineLvl w:val="9"/>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w:t>
            </w:r>
          </w:p>
        </w:tc>
        <w:tc>
          <w:tcPr>
            <w:tcW w:w="3255" w:type="dxa"/>
            <w:tcBorders>
              <w:top w:val="single" w:color="auto" w:sz="4" w:space="0"/>
              <w:left w:val="single" w:color="auto" w:sz="4" w:space="0"/>
              <w:bottom w:val="single" w:color="auto" w:sz="4" w:space="0"/>
              <w:right w:val="single" w:color="auto" w:sz="4" w:space="0"/>
              <w:tl2br w:val="nil"/>
              <w:tr2bl w:val="nil"/>
            </w:tcBorders>
          </w:tcPr>
          <w:p>
            <w:pPr>
              <w:keepNext w:val="0"/>
              <w:keepLines w:val="0"/>
              <w:widowControl w:val="0"/>
              <w:kinsoku/>
              <w:wordWrap/>
              <w:overflowPunct/>
              <w:topLinePunct w:val="0"/>
              <w:autoSpaceDE/>
              <w:autoSpaceDN/>
              <w:bidi w:val="0"/>
              <w:adjustRightInd/>
              <w:spacing w:line="360" w:lineRule="auto"/>
              <w:jc w:val="center"/>
              <w:textAlignment w:val="auto"/>
              <w:outlineLvl w:val="9"/>
              <w:rPr>
                <w:rFonts w:ascii="宋体" w:hAnsi="宋体" w:cs="宋体"/>
                <w:color w:val="000000" w:themeColor="text1"/>
                <w:sz w:val="24"/>
                <w:szCs w:val="24"/>
                <w14:textFill>
                  <w14:solidFill>
                    <w14:schemeClr w14:val="tx1"/>
                  </w14:solidFill>
                </w14:textFill>
              </w:rPr>
            </w:pPr>
          </w:p>
        </w:tc>
        <w:tc>
          <w:tcPr>
            <w:tcW w:w="1407" w:type="dxa"/>
            <w:tcBorders>
              <w:top w:val="single" w:color="auto" w:sz="4" w:space="0"/>
              <w:left w:val="single" w:color="auto" w:sz="4" w:space="0"/>
              <w:bottom w:val="single" w:color="auto" w:sz="4" w:space="0"/>
              <w:right w:val="single" w:color="auto" w:sz="4" w:space="0"/>
              <w:tl2br w:val="nil"/>
              <w:tr2bl w:val="nil"/>
            </w:tcBorders>
          </w:tcPr>
          <w:p>
            <w:pPr>
              <w:keepNext w:val="0"/>
              <w:keepLines w:val="0"/>
              <w:widowControl w:val="0"/>
              <w:kinsoku/>
              <w:wordWrap/>
              <w:overflowPunct/>
              <w:topLinePunct w:val="0"/>
              <w:autoSpaceDE/>
              <w:autoSpaceDN/>
              <w:bidi w:val="0"/>
              <w:adjustRightInd/>
              <w:spacing w:line="360" w:lineRule="auto"/>
              <w:textAlignment w:val="auto"/>
              <w:outlineLvl w:val="9"/>
              <w:rPr>
                <w:rFonts w:ascii="宋体" w:hAnsi="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02" w:type="dxa"/>
            <w:tcBorders>
              <w:top w:val="single" w:color="auto" w:sz="4" w:space="0"/>
              <w:left w:val="single" w:color="auto" w:sz="4" w:space="0"/>
              <w:bottom w:val="single" w:color="auto" w:sz="4" w:space="0"/>
              <w:right w:val="single" w:color="auto" w:sz="4" w:space="0"/>
              <w:tl2br w:val="nil"/>
              <w:tr2bl w:val="nil"/>
            </w:tcBorders>
          </w:tcPr>
          <w:p>
            <w:pPr>
              <w:keepNext w:val="0"/>
              <w:keepLines w:val="0"/>
              <w:widowControl w:val="0"/>
              <w:kinsoku/>
              <w:wordWrap/>
              <w:overflowPunct/>
              <w:topLinePunct w:val="0"/>
              <w:autoSpaceDE/>
              <w:autoSpaceDN/>
              <w:bidi w:val="0"/>
              <w:adjustRightInd/>
              <w:spacing w:line="360" w:lineRule="auto"/>
              <w:textAlignment w:val="auto"/>
              <w:outlineLvl w:val="9"/>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3. 工程设计及施工图纸</w:t>
            </w:r>
          </w:p>
        </w:tc>
        <w:tc>
          <w:tcPr>
            <w:tcW w:w="1058"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val="0"/>
              <w:kinsoku/>
              <w:wordWrap/>
              <w:overflowPunct/>
              <w:topLinePunct w:val="0"/>
              <w:autoSpaceDE/>
              <w:autoSpaceDN/>
              <w:bidi w:val="0"/>
              <w:adjustRightInd/>
              <w:spacing w:line="360" w:lineRule="auto"/>
              <w:jc w:val="center"/>
              <w:textAlignment w:val="auto"/>
              <w:outlineLvl w:val="9"/>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1</w:t>
            </w:r>
          </w:p>
        </w:tc>
        <w:tc>
          <w:tcPr>
            <w:tcW w:w="325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val="0"/>
              <w:kinsoku/>
              <w:wordWrap/>
              <w:overflowPunct/>
              <w:topLinePunct w:val="0"/>
              <w:autoSpaceDE/>
              <w:autoSpaceDN/>
              <w:bidi w:val="0"/>
              <w:adjustRightInd/>
              <w:spacing w:line="360" w:lineRule="auto"/>
              <w:jc w:val="center"/>
              <w:textAlignment w:val="auto"/>
              <w:outlineLvl w:val="9"/>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合同签订后及时提供</w:t>
            </w:r>
          </w:p>
        </w:tc>
        <w:tc>
          <w:tcPr>
            <w:tcW w:w="1407" w:type="dxa"/>
            <w:tcBorders>
              <w:top w:val="single" w:color="auto" w:sz="4" w:space="0"/>
              <w:left w:val="single" w:color="auto" w:sz="4" w:space="0"/>
              <w:bottom w:val="single" w:color="auto" w:sz="4" w:space="0"/>
              <w:right w:val="single" w:color="auto" w:sz="4" w:space="0"/>
              <w:tl2br w:val="nil"/>
              <w:tr2bl w:val="nil"/>
            </w:tcBorders>
          </w:tcPr>
          <w:p>
            <w:pPr>
              <w:keepNext w:val="0"/>
              <w:keepLines w:val="0"/>
              <w:widowControl w:val="0"/>
              <w:kinsoku/>
              <w:wordWrap/>
              <w:overflowPunct/>
              <w:topLinePunct w:val="0"/>
              <w:autoSpaceDE/>
              <w:autoSpaceDN/>
              <w:bidi w:val="0"/>
              <w:adjustRightInd/>
              <w:spacing w:line="360" w:lineRule="auto"/>
              <w:textAlignment w:val="auto"/>
              <w:outlineLvl w:val="9"/>
              <w:rPr>
                <w:rFonts w:ascii="宋体" w:hAnsi="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02" w:type="dxa"/>
            <w:tcBorders>
              <w:top w:val="single" w:color="auto" w:sz="4" w:space="0"/>
              <w:left w:val="single" w:color="auto" w:sz="4" w:space="0"/>
              <w:bottom w:val="single" w:color="auto" w:sz="4" w:space="0"/>
              <w:right w:val="single" w:color="auto" w:sz="4" w:space="0"/>
              <w:tl2br w:val="nil"/>
              <w:tr2bl w:val="nil"/>
            </w:tcBorders>
          </w:tcPr>
          <w:p>
            <w:pPr>
              <w:keepNext w:val="0"/>
              <w:keepLines w:val="0"/>
              <w:widowControl w:val="0"/>
              <w:kinsoku/>
              <w:wordWrap/>
              <w:overflowPunct/>
              <w:topLinePunct w:val="0"/>
              <w:autoSpaceDE/>
              <w:autoSpaceDN/>
              <w:bidi w:val="0"/>
              <w:adjustRightInd/>
              <w:spacing w:line="360" w:lineRule="auto"/>
              <w:textAlignment w:val="auto"/>
              <w:outlineLvl w:val="9"/>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4. 工程承包合同及其他相关合同</w:t>
            </w:r>
          </w:p>
        </w:tc>
        <w:tc>
          <w:tcPr>
            <w:tcW w:w="1058"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val="0"/>
              <w:kinsoku/>
              <w:wordWrap/>
              <w:overflowPunct/>
              <w:topLinePunct w:val="0"/>
              <w:autoSpaceDE/>
              <w:autoSpaceDN/>
              <w:bidi w:val="0"/>
              <w:adjustRightInd/>
              <w:spacing w:line="360" w:lineRule="auto"/>
              <w:jc w:val="center"/>
              <w:textAlignment w:val="auto"/>
              <w:outlineLvl w:val="9"/>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1</w:t>
            </w:r>
          </w:p>
        </w:tc>
        <w:tc>
          <w:tcPr>
            <w:tcW w:w="325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val="0"/>
              <w:kinsoku/>
              <w:wordWrap/>
              <w:overflowPunct/>
              <w:topLinePunct w:val="0"/>
              <w:autoSpaceDE/>
              <w:autoSpaceDN/>
              <w:bidi w:val="0"/>
              <w:adjustRightInd/>
              <w:spacing w:line="360" w:lineRule="auto"/>
              <w:jc w:val="center"/>
              <w:textAlignment w:val="auto"/>
              <w:outlineLvl w:val="9"/>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合同签订后及时提供</w:t>
            </w:r>
          </w:p>
        </w:tc>
        <w:tc>
          <w:tcPr>
            <w:tcW w:w="1407" w:type="dxa"/>
            <w:tcBorders>
              <w:top w:val="single" w:color="auto" w:sz="4" w:space="0"/>
              <w:left w:val="single" w:color="auto" w:sz="4" w:space="0"/>
              <w:bottom w:val="single" w:color="auto" w:sz="4" w:space="0"/>
              <w:right w:val="single" w:color="auto" w:sz="4" w:space="0"/>
              <w:tl2br w:val="nil"/>
              <w:tr2bl w:val="nil"/>
            </w:tcBorders>
          </w:tcPr>
          <w:p>
            <w:pPr>
              <w:keepNext w:val="0"/>
              <w:keepLines w:val="0"/>
              <w:widowControl w:val="0"/>
              <w:kinsoku/>
              <w:wordWrap/>
              <w:overflowPunct/>
              <w:topLinePunct w:val="0"/>
              <w:autoSpaceDE/>
              <w:autoSpaceDN/>
              <w:bidi w:val="0"/>
              <w:adjustRightInd/>
              <w:spacing w:line="360" w:lineRule="auto"/>
              <w:textAlignment w:val="auto"/>
              <w:outlineLvl w:val="9"/>
              <w:rPr>
                <w:rFonts w:ascii="宋体" w:hAnsi="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02" w:type="dxa"/>
            <w:tcBorders>
              <w:top w:val="single" w:color="auto" w:sz="4" w:space="0"/>
              <w:left w:val="single" w:color="auto" w:sz="4" w:space="0"/>
              <w:bottom w:val="single" w:color="auto" w:sz="4" w:space="0"/>
              <w:right w:val="single" w:color="auto" w:sz="4" w:space="0"/>
              <w:tl2br w:val="nil"/>
              <w:tr2bl w:val="nil"/>
            </w:tcBorders>
          </w:tcPr>
          <w:p>
            <w:pPr>
              <w:keepNext w:val="0"/>
              <w:keepLines w:val="0"/>
              <w:widowControl w:val="0"/>
              <w:kinsoku/>
              <w:wordWrap/>
              <w:overflowPunct/>
              <w:topLinePunct w:val="0"/>
              <w:autoSpaceDE/>
              <w:autoSpaceDN/>
              <w:bidi w:val="0"/>
              <w:adjustRightInd/>
              <w:spacing w:line="360" w:lineRule="auto"/>
              <w:textAlignment w:val="auto"/>
              <w:outlineLvl w:val="9"/>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5. 施工许可文件</w:t>
            </w:r>
          </w:p>
        </w:tc>
        <w:tc>
          <w:tcPr>
            <w:tcW w:w="1058" w:type="dxa"/>
            <w:tcBorders>
              <w:top w:val="single" w:color="auto" w:sz="4" w:space="0"/>
              <w:left w:val="single" w:color="auto" w:sz="4" w:space="0"/>
              <w:bottom w:val="single" w:color="auto" w:sz="4" w:space="0"/>
              <w:right w:val="single" w:color="auto" w:sz="4" w:space="0"/>
              <w:tl2br w:val="nil"/>
              <w:tr2bl w:val="nil"/>
            </w:tcBorders>
          </w:tcPr>
          <w:p>
            <w:pPr>
              <w:keepNext w:val="0"/>
              <w:keepLines w:val="0"/>
              <w:widowControl w:val="0"/>
              <w:kinsoku/>
              <w:wordWrap/>
              <w:overflowPunct/>
              <w:topLinePunct w:val="0"/>
              <w:autoSpaceDE/>
              <w:autoSpaceDN/>
              <w:bidi w:val="0"/>
              <w:adjustRightInd/>
              <w:spacing w:line="360" w:lineRule="auto"/>
              <w:jc w:val="center"/>
              <w:textAlignment w:val="auto"/>
              <w:outlineLvl w:val="9"/>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1</w:t>
            </w:r>
          </w:p>
        </w:tc>
        <w:tc>
          <w:tcPr>
            <w:tcW w:w="3255" w:type="dxa"/>
            <w:tcBorders>
              <w:top w:val="single" w:color="auto" w:sz="4" w:space="0"/>
              <w:left w:val="single" w:color="auto" w:sz="4" w:space="0"/>
              <w:bottom w:val="single" w:color="auto" w:sz="4" w:space="0"/>
              <w:right w:val="single" w:color="auto" w:sz="4" w:space="0"/>
              <w:tl2br w:val="nil"/>
              <w:tr2bl w:val="nil"/>
            </w:tcBorders>
          </w:tcPr>
          <w:p>
            <w:pPr>
              <w:keepNext w:val="0"/>
              <w:keepLines w:val="0"/>
              <w:widowControl w:val="0"/>
              <w:kinsoku/>
              <w:wordWrap/>
              <w:overflowPunct/>
              <w:topLinePunct w:val="0"/>
              <w:autoSpaceDE/>
              <w:autoSpaceDN/>
              <w:bidi w:val="0"/>
              <w:adjustRightInd/>
              <w:spacing w:line="360" w:lineRule="auto"/>
              <w:jc w:val="center"/>
              <w:textAlignment w:val="auto"/>
              <w:outlineLvl w:val="9"/>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合同签订后及时提供</w:t>
            </w:r>
          </w:p>
        </w:tc>
        <w:tc>
          <w:tcPr>
            <w:tcW w:w="1407" w:type="dxa"/>
            <w:tcBorders>
              <w:top w:val="single" w:color="auto" w:sz="4" w:space="0"/>
              <w:left w:val="single" w:color="auto" w:sz="4" w:space="0"/>
              <w:bottom w:val="single" w:color="auto" w:sz="4" w:space="0"/>
              <w:right w:val="single" w:color="auto" w:sz="4" w:space="0"/>
              <w:tl2br w:val="nil"/>
              <w:tr2bl w:val="nil"/>
            </w:tcBorders>
          </w:tcPr>
          <w:p>
            <w:pPr>
              <w:keepNext w:val="0"/>
              <w:keepLines w:val="0"/>
              <w:widowControl w:val="0"/>
              <w:kinsoku/>
              <w:wordWrap/>
              <w:overflowPunct/>
              <w:topLinePunct w:val="0"/>
              <w:autoSpaceDE/>
              <w:autoSpaceDN/>
              <w:bidi w:val="0"/>
              <w:adjustRightInd/>
              <w:spacing w:line="360" w:lineRule="auto"/>
              <w:textAlignment w:val="auto"/>
              <w:outlineLvl w:val="9"/>
              <w:rPr>
                <w:rFonts w:ascii="宋体" w:hAnsi="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02" w:type="dxa"/>
            <w:tcBorders>
              <w:top w:val="single" w:color="auto" w:sz="4" w:space="0"/>
              <w:left w:val="single" w:color="auto" w:sz="4" w:space="0"/>
              <w:bottom w:val="single" w:color="auto" w:sz="4" w:space="0"/>
              <w:right w:val="single" w:color="auto" w:sz="4" w:space="0"/>
              <w:tl2br w:val="nil"/>
              <w:tr2bl w:val="nil"/>
            </w:tcBorders>
          </w:tcPr>
          <w:p>
            <w:pPr>
              <w:keepNext w:val="0"/>
              <w:keepLines w:val="0"/>
              <w:widowControl w:val="0"/>
              <w:kinsoku/>
              <w:wordWrap/>
              <w:overflowPunct/>
              <w:topLinePunct w:val="0"/>
              <w:autoSpaceDE/>
              <w:autoSpaceDN/>
              <w:bidi w:val="0"/>
              <w:adjustRightInd/>
              <w:spacing w:line="360" w:lineRule="auto"/>
              <w:textAlignment w:val="auto"/>
              <w:outlineLvl w:val="9"/>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6. 其他文件</w:t>
            </w:r>
          </w:p>
        </w:tc>
        <w:tc>
          <w:tcPr>
            <w:tcW w:w="1058" w:type="dxa"/>
            <w:tcBorders>
              <w:top w:val="single" w:color="auto" w:sz="4" w:space="0"/>
              <w:left w:val="single" w:color="auto" w:sz="4" w:space="0"/>
              <w:bottom w:val="single" w:color="auto" w:sz="4" w:space="0"/>
              <w:right w:val="single" w:color="auto" w:sz="4" w:space="0"/>
              <w:tl2br w:val="nil"/>
              <w:tr2bl w:val="nil"/>
            </w:tcBorders>
          </w:tcPr>
          <w:p>
            <w:pPr>
              <w:keepNext w:val="0"/>
              <w:keepLines w:val="0"/>
              <w:widowControl w:val="0"/>
              <w:kinsoku/>
              <w:wordWrap/>
              <w:overflowPunct/>
              <w:topLinePunct w:val="0"/>
              <w:autoSpaceDE/>
              <w:autoSpaceDN/>
              <w:bidi w:val="0"/>
              <w:adjustRightInd/>
              <w:spacing w:line="360" w:lineRule="auto"/>
              <w:jc w:val="center"/>
              <w:textAlignment w:val="auto"/>
              <w:outlineLvl w:val="9"/>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1</w:t>
            </w:r>
          </w:p>
        </w:tc>
        <w:tc>
          <w:tcPr>
            <w:tcW w:w="3255" w:type="dxa"/>
            <w:tcBorders>
              <w:top w:val="single" w:color="auto" w:sz="4" w:space="0"/>
              <w:left w:val="single" w:color="auto" w:sz="4" w:space="0"/>
              <w:bottom w:val="single" w:color="auto" w:sz="4" w:space="0"/>
              <w:right w:val="single" w:color="auto" w:sz="4" w:space="0"/>
              <w:tl2br w:val="nil"/>
              <w:tr2bl w:val="nil"/>
            </w:tcBorders>
          </w:tcPr>
          <w:p>
            <w:pPr>
              <w:keepNext w:val="0"/>
              <w:keepLines w:val="0"/>
              <w:widowControl w:val="0"/>
              <w:kinsoku/>
              <w:wordWrap/>
              <w:overflowPunct/>
              <w:topLinePunct w:val="0"/>
              <w:autoSpaceDE/>
              <w:autoSpaceDN/>
              <w:bidi w:val="0"/>
              <w:adjustRightInd/>
              <w:spacing w:line="360" w:lineRule="auto"/>
              <w:jc w:val="center"/>
              <w:textAlignment w:val="auto"/>
              <w:outlineLvl w:val="9"/>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及时</w:t>
            </w:r>
          </w:p>
        </w:tc>
        <w:tc>
          <w:tcPr>
            <w:tcW w:w="1407" w:type="dxa"/>
            <w:tcBorders>
              <w:top w:val="single" w:color="auto" w:sz="4" w:space="0"/>
              <w:left w:val="single" w:color="auto" w:sz="4" w:space="0"/>
              <w:bottom w:val="single" w:color="auto" w:sz="4" w:space="0"/>
              <w:right w:val="single" w:color="auto" w:sz="4" w:space="0"/>
              <w:tl2br w:val="nil"/>
              <w:tr2bl w:val="nil"/>
            </w:tcBorders>
          </w:tcPr>
          <w:p>
            <w:pPr>
              <w:keepNext w:val="0"/>
              <w:keepLines w:val="0"/>
              <w:widowControl w:val="0"/>
              <w:kinsoku/>
              <w:wordWrap/>
              <w:overflowPunct/>
              <w:topLinePunct w:val="0"/>
              <w:autoSpaceDE/>
              <w:autoSpaceDN/>
              <w:bidi w:val="0"/>
              <w:adjustRightInd/>
              <w:spacing w:line="360" w:lineRule="auto"/>
              <w:textAlignment w:val="auto"/>
              <w:outlineLvl w:val="9"/>
              <w:rPr>
                <w:rFonts w:ascii="宋体" w:hAnsi="宋体" w:cs="宋体"/>
                <w:color w:val="000000" w:themeColor="text1"/>
                <w:sz w:val="24"/>
                <w:szCs w:val="24"/>
                <w14:textFill>
                  <w14:solidFill>
                    <w14:schemeClr w14:val="tx1"/>
                  </w14:solidFill>
                </w14:textFill>
              </w:rPr>
            </w:pPr>
          </w:p>
        </w:tc>
      </w:tr>
    </w:tbl>
    <w:p>
      <w:pPr>
        <w:keepNext w:val="0"/>
        <w:keepLines w:val="0"/>
        <w:widowControl w:val="0"/>
        <w:kinsoku/>
        <w:wordWrap/>
        <w:overflowPunct/>
        <w:topLinePunct w:val="0"/>
        <w:autoSpaceDE/>
        <w:autoSpaceDN/>
        <w:bidi w:val="0"/>
        <w:adjustRightInd/>
        <w:spacing w:before="156" w:beforeLines="50" w:line="360" w:lineRule="auto"/>
        <w:textAlignment w:val="auto"/>
        <w:outlineLvl w:val="9"/>
        <w:rPr>
          <w:rFonts w:ascii="宋体" w:hAnsi="宋体" w:cs="宋体"/>
          <w:b/>
          <w:color w:val="000000" w:themeColor="text1"/>
          <w:sz w:val="28"/>
          <w:szCs w:val="24"/>
          <w14:textFill>
            <w14:solidFill>
              <w14:schemeClr w14:val="tx1"/>
            </w14:solidFill>
          </w14:textFill>
        </w:rPr>
      </w:pPr>
      <w:r>
        <w:rPr>
          <w:rFonts w:hint="eastAsia" w:ascii="宋体" w:hAnsi="宋体" w:cs="宋体"/>
          <w:b/>
          <w:color w:val="000000" w:themeColor="text1"/>
          <w:sz w:val="28"/>
          <w:szCs w:val="24"/>
          <w14:textFill>
            <w14:solidFill>
              <w14:schemeClr w14:val="tx1"/>
            </w14:solidFill>
          </w14:textFill>
        </w:rPr>
        <w:t>B-4 委托人提供的设备</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88"/>
        <w:gridCol w:w="1590"/>
        <w:gridCol w:w="2130"/>
        <w:gridCol w:w="1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8" w:type="dxa"/>
            <w:tcBorders>
              <w:top w:val="single" w:color="auto" w:sz="4" w:space="0"/>
              <w:left w:val="single" w:color="auto" w:sz="4" w:space="0"/>
              <w:bottom w:val="single" w:color="auto" w:sz="4" w:space="0"/>
              <w:right w:val="single" w:color="auto" w:sz="4" w:space="0"/>
              <w:tl2br w:val="nil"/>
              <w:tr2bl w:val="nil"/>
            </w:tcBorders>
          </w:tcPr>
          <w:p>
            <w:pPr>
              <w:keepNext w:val="0"/>
              <w:keepLines w:val="0"/>
              <w:widowControl w:val="0"/>
              <w:kinsoku/>
              <w:wordWrap/>
              <w:overflowPunct/>
              <w:topLinePunct w:val="0"/>
              <w:autoSpaceDE/>
              <w:autoSpaceDN/>
              <w:bidi w:val="0"/>
              <w:adjustRightInd/>
              <w:spacing w:line="360" w:lineRule="auto"/>
              <w:jc w:val="center"/>
              <w:textAlignment w:val="auto"/>
              <w:outlineLvl w:val="9"/>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名称</w:t>
            </w:r>
          </w:p>
        </w:tc>
        <w:tc>
          <w:tcPr>
            <w:tcW w:w="1590" w:type="dxa"/>
            <w:tcBorders>
              <w:top w:val="single" w:color="auto" w:sz="4" w:space="0"/>
              <w:left w:val="single" w:color="auto" w:sz="4" w:space="0"/>
              <w:bottom w:val="single" w:color="auto" w:sz="4" w:space="0"/>
              <w:right w:val="single" w:color="auto" w:sz="4" w:space="0"/>
              <w:tl2br w:val="nil"/>
              <w:tr2bl w:val="nil"/>
            </w:tcBorders>
          </w:tcPr>
          <w:p>
            <w:pPr>
              <w:keepNext w:val="0"/>
              <w:keepLines w:val="0"/>
              <w:widowControl w:val="0"/>
              <w:kinsoku/>
              <w:wordWrap/>
              <w:overflowPunct/>
              <w:topLinePunct w:val="0"/>
              <w:autoSpaceDE/>
              <w:autoSpaceDN/>
              <w:bidi w:val="0"/>
              <w:adjustRightInd/>
              <w:spacing w:line="360" w:lineRule="auto"/>
              <w:jc w:val="center"/>
              <w:textAlignment w:val="auto"/>
              <w:outlineLvl w:val="9"/>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数量</w:t>
            </w:r>
          </w:p>
        </w:tc>
        <w:tc>
          <w:tcPr>
            <w:tcW w:w="2130" w:type="dxa"/>
            <w:tcBorders>
              <w:top w:val="single" w:color="auto" w:sz="4" w:space="0"/>
              <w:left w:val="single" w:color="auto" w:sz="4" w:space="0"/>
              <w:bottom w:val="single" w:color="auto" w:sz="4" w:space="0"/>
              <w:right w:val="single" w:color="auto" w:sz="4" w:space="0"/>
              <w:tl2br w:val="nil"/>
              <w:tr2bl w:val="nil"/>
            </w:tcBorders>
          </w:tcPr>
          <w:p>
            <w:pPr>
              <w:keepNext w:val="0"/>
              <w:keepLines w:val="0"/>
              <w:widowControl w:val="0"/>
              <w:kinsoku/>
              <w:wordWrap/>
              <w:overflowPunct/>
              <w:topLinePunct w:val="0"/>
              <w:autoSpaceDE/>
              <w:autoSpaceDN/>
              <w:bidi w:val="0"/>
              <w:adjustRightInd/>
              <w:spacing w:line="360" w:lineRule="auto"/>
              <w:jc w:val="center"/>
              <w:textAlignment w:val="auto"/>
              <w:outlineLvl w:val="9"/>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型号与规格</w:t>
            </w:r>
          </w:p>
        </w:tc>
        <w:tc>
          <w:tcPr>
            <w:tcW w:w="1860" w:type="dxa"/>
            <w:tcBorders>
              <w:top w:val="single" w:color="auto" w:sz="4" w:space="0"/>
              <w:left w:val="single" w:color="auto" w:sz="4" w:space="0"/>
              <w:bottom w:val="single" w:color="auto" w:sz="4" w:space="0"/>
              <w:right w:val="single" w:color="auto" w:sz="4" w:space="0"/>
              <w:tl2br w:val="nil"/>
              <w:tr2bl w:val="nil"/>
            </w:tcBorders>
          </w:tcPr>
          <w:p>
            <w:pPr>
              <w:keepNext w:val="0"/>
              <w:keepLines w:val="0"/>
              <w:widowControl w:val="0"/>
              <w:kinsoku/>
              <w:wordWrap/>
              <w:overflowPunct/>
              <w:topLinePunct w:val="0"/>
              <w:autoSpaceDE/>
              <w:autoSpaceDN/>
              <w:bidi w:val="0"/>
              <w:adjustRightInd/>
              <w:spacing w:line="360" w:lineRule="auto"/>
              <w:jc w:val="center"/>
              <w:textAlignment w:val="auto"/>
              <w:outlineLvl w:val="9"/>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提供时间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8" w:type="dxa"/>
            <w:tcBorders>
              <w:top w:val="single" w:color="auto" w:sz="4" w:space="0"/>
              <w:left w:val="single" w:color="auto" w:sz="4" w:space="0"/>
              <w:bottom w:val="single" w:color="auto" w:sz="4" w:space="0"/>
              <w:right w:val="single" w:color="auto" w:sz="4" w:space="0"/>
              <w:tl2br w:val="nil"/>
              <w:tr2bl w:val="nil"/>
            </w:tcBorders>
          </w:tcPr>
          <w:p>
            <w:pPr>
              <w:keepNext w:val="0"/>
              <w:keepLines w:val="0"/>
              <w:widowControl w:val="0"/>
              <w:kinsoku/>
              <w:wordWrap/>
              <w:overflowPunct/>
              <w:topLinePunct w:val="0"/>
              <w:autoSpaceDE/>
              <w:autoSpaceDN/>
              <w:bidi w:val="0"/>
              <w:adjustRightInd/>
              <w:spacing w:line="360" w:lineRule="auto"/>
              <w:textAlignment w:val="auto"/>
              <w:outlineLvl w:val="9"/>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1. 通讯设备</w:t>
            </w:r>
          </w:p>
        </w:tc>
        <w:tc>
          <w:tcPr>
            <w:tcW w:w="1590" w:type="dxa"/>
            <w:tcBorders>
              <w:top w:val="single" w:color="auto" w:sz="4" w:space="0"/>
              <w:left w:val="single" w:color="auto" w:sz="4" w:space="0"/>
              <w:bottom w:val="single" w:color="auto" w:sz="4" w:space="0"/>
              <w:right w:val="single" w:color="auto" w:sz="4" w:space="0"/>
              <w:tl2br w:val="nil"/>
              <w:tr2bl w:val="nil"/>
            </w:tcBorders>
          </w:tcPr>
          <w:p>
            <w:pPr>
              <w:keepNext w:val="0"/>
              <w:keepLines w:val="0"/>
              <w:widowControl w:val="0"/>
              <w:kinsoku/>
              <w:wordWrap/>
              <w:overflowPunct/>
              <w:topLinePunct w:val="0"/>
              <w:autoSpaceDE/>
              <w:autoSpaceDN/>
              <w:bidi w:val="0"/>
              <w:adjustRightInd/>
              <w:spacing w:line="360" w:lineRule="auto"/>
              <w:jc w:val="center"/>
              <w:textAlignment w:val="auto"/>
              <w:outlineLvl w:val="9"/>
              <w:rPr>
                <w:rFonts w:ascii="宋体" w:hAnsi="宋体" w:cs="宋体"/>
                <w:color w:val="000000" w:themeColor="text1"/>
                <w:sz w:val="24"/>
                <w:szCs w:val="24"/>
                <w14:textFill>
                  <w14:solidFill>
                    <w14:schemeClr w14:val="tx1"/>
                  </w14:solidFill>
                </w14:textFill>
              </w:rPr>
            </w:pPr>
          </w:p>
        </w:tc>
        <w:tc>
          <w:tcPr>
            <w:tcW w:w="2130" w:type="dxa"/>
            <w:tcBorders>
              <w:top w:val="single" w:color="auto" w:sz="4" w:space="0"/>
              <w:left w:val="single" w:color="auto" w:sz="4" w:space="0"/>
              <w:bottom w:val="single" w:color="auto" w:sz="4" w:space="0"/>
              <w:right w:val="single" w:color="auto" w:sz="4" w:space="0"/>
              <w:tl2br w:val="nil"/>
              <w:tr2bl w:val="nil"/>
            </w:tcBorders>
          </w:tcPr>
          <w:p>
            <w:pPr>
              <w:keepNext w:val="0"/>
              <w:keepLines w:val="0"/>
              <w:widowControl w:val="0"/>
              <w:kinsoku/>
              <w:wordWrap/>
              <w:overflowPunct/>
              <w:topLinePunct w:val="0"/>
              <w:autoSpaceDE/>
              <w:autoSpaceDN/>
              <w:bidi w:val="0"/>
              <w:adjustRightInd/>
              <w:spacing w:line="360" w:lineRule="auto"/>
              <w:jc w:val="center"/>
              <w:textAlignment w:val="auto"/>
              <w:outlineLvl w:val="9"/>
              <w:rPr>
                <w:rFonts w:ascii="宋体" w:hAnsi="宋体" w:cs="宋体"/>
                <w:color w:val="000000" w:themeColor="text1"/>
                <w:sz w:val="24"/>
                <w:szCs w:val="24"/>
                <w14:textFill>
                  <w14:solidFill>
                    <w14:schemeClr w14:val="tx1"/>
                  </w14:solidFill>
                </w14:textFill>
              </w:rPr>
            </w:pPr>
          </w:p>
        </w:tc>
        <w:tc>
          <w:tcPr>
            <w:tcW w:w="1860" w:type="dxa"/>
            <w:tcBorders>
              <w:top w:val="single" w:color="auto" w:sz="4" w:space="0"/>
              <w:left w:val="single" w:color="auto" w:sz="4" w:space="0"/>
              <w:bottom w:val="single" w:color="auto" w:sz="4" w:space="0"/>
              <w:right w:val="single" w:color="auto" w:sz="4" w:space="0"/>
              <w:tl2br w:val="nil"/>
              <w:tr2bl w:val="nil"/>
            </w:tcBorders>
          </w:tcPr>
          <w:p>
            <w:pPr>
              <w:keepNext w:val="0"/>
              <w:keepLines w:val="0"/>
              <w:widowControl w:val="0"/>
              <w:kinsoku/>
              <w:wordWrap/>
              <w:overflowPunct/>
              <w:topLinePunct w:val="0"/>
              <w:autoSpaceDE/>
              <w:autoSpaceDN/>
              <w:bidi w:val="0"/>
              <w:adjustRightInd/>
              <w:spacing w:line="360" w:lineRule="auto"/>
              <w:jc w:val="center"/>
              <w:textAlignment w:val="auto"/>
              <w:outlineLvl w:val="9"/>
              <w:rPr>
                <w:rFonts w:ascii="宋体" w:hAnsi="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8" w:type="dxa"/>
            <w:tcBorders>
              <w:top w:val="single" w:color="auto" w:sz="4" w:space="0"/>
              <w:left w:val="single" w:color="auto" w:sz="4" w:space="0"/>
              <w:bottom w:val="single" w:color="auto" w:sz="4" w:space="0"/>
              <w:right w:val="single" w:color="auto" w:sz="4" w:space="0"/>
              <w:tl2br w:val="nil"/>
              <w:tr2bl w:val="nil"/>
            </w:tcBorders>
          </w:tcPr>
          <w:p>
            <w:pPr>
              <w:keepNext w:val="0"/>
              <w:keepLines w:val="0"/>
              <w:widowControl w:val="0"/>
              <w:kinsoku/>
              <w:wordWrap/>
              <w:overflowPunct/>
              <w:topLinePunct w:val="0"/>
              <w:autoSpaceDE/>
              <w:autoSpaceDN/>
              <w:bidi w:val="0"/>
              <w:adjustRightInd/>
              <w:spacing w:line="360" w:lineRule="auto"/>
              <w:textAlignment w:val="auto"/>
              <w:outlineLvl w:val="9"/>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2. 办公设备</w:t>
            </w:r>
          </w:p>
        </w:tc>
        <w:tc>
          <w:tcPr>
            <w:tcW w:w="1590" w:type="dxa"/>
            <w:tcBorders>
              <w:top w:val="single" w:color="auto" w:sz="4" w:space="0"/>
              <w:left w:val="single" w:color="auto" w:sz="4" w:space="0"/>
              <w:bottom w:val="single" w:color="auto" w:sz="4" w:space="0"/>
              <w:right w:val="single" w:color="auto" w:sz="4" w:space="0"/>
              <w:tl2br w:val="nil"/>
              <w:tr2bl w:val="nil"/>
            </w:tcBorders>
          </w:tcPr>
          <w:p>
            <w:pPr>
              <w:keepNext w:val="0"/>
              <w:keepLines w:val="0"/>
              <w:widowControl w:val="0"/>
              <w:kinsoku/>
              <w:wordWrap/>
              <w:overflowPunct/>
              <w:topLinePunct w:val="0"/>
              <w:autoSpaceDE/>
              <w:autoSpaceDN/>
              <w:bidi w:val="0"/>
              <w:adjustRightInd/>
              <w:spacing w:line="360" w:lineRule="auto"/>
              <w:jc w:val="center"/>
              <w:textAlignment w:val="auto"/>
              <w:outlineLvl w:val="9"/>
              <w:rPr>
                <w:rFonts w:ascii="宋体" w:hAnsi="宋体" w:cs="宋体"/>
                <w:color w:val="000000" w:themeColor="text1"/>
                <w:sz w:val="24"/>
                <w:szCs w:val="24"/>
                <w14:textFill>
                  <w14:solidFill>
                    <w14:schemeClr w14:val="tx1"/>
                  </w14:solidFill>
                </w14:textFill>
              </w:rPr>
            </w:pPr>
          </w:p>
        </w:tc>
        <w:tc>
          <w:tcPr>
            <w:tcW w:w="2130" w:type="dxa"/>
            <w:tcBorders>
              <w:top w:val="single" w:color="auto" w:sz="4" w:space="0"/>
              <w:left w:val="single" w:color="auto" w:sz="4" w:space="0"/>
              <w:bottom w:val="single" w:color="auto" w:sz="4" w:space="0"/>
              <w:right w:val="single" w:color="auto" w:sz="4" w:space="0"/>
              <w:tl2br w:val="nil"/>
              <w:tr2bl w:val="nil"/>
            </w:tcBorders>
          </w:tcPr>
          <w:p>
            <w:pPr>
              <w:keepNext w:val="0"/>
              <w:keepLines w:val="0"/>
              <w:widowControl w:val="0"/>
              <w:kinsoku/>
              <w:wordWrap/>
              <w:overflowPunct/>
              <w:topLinePunct w:val="0"/>
              <w:autoSpaceDE/>
              <w:autoSpaceDN/>
              <w:bidi w:val="0"/>
              <w:adjustRightInd/>
              <w:spacing w:line="360" w:lineRule="auto"/>
              <w:jc w:val="center"/>
              <w:textAlignment w:val="auto"/>
              <w:outlineLvl w:val="9"/>
              <w:rPr>
                <w:rFonts w:ascii="宋体" w:hAnsi="宋体" w:cs="宋体"/>
                <w:color w:val="000000" w:themeColor="text1"/>
                <w:sz w:val="24"/>
                <w:szCs w:val="24"/>
                <w14:textFill>
                  <w14:solidFill>
                    <w14:schemeClr w14:val="tx1"/>
                  </w14:solidFill>
                </w14:textFill>
              </w:rPr>
            </w:pPr>
          </w:p>
        </w:tc>
        <w:tc>
          <w:tcPr>
            <w:tcW w:w="1860" w:type="dxa"/>
            <w:tcBorders>
              <w:top w:val="single" w:color="auto" w:sz="4" w:space="0"/>
              <w:left w:val="single" w:color="auto" w:sz="4" w:space="0"/>
              <w:bottom w:val="single" w:color="auto" w:sz="4" w:space="0"/>
              <w:right w:val="single" w:color="auto" w:sz="4" w:space="0"/>
              <w:tl2br w:val="nil"/>
              <w:tr2bl w:val="nil"/>
            </w:tcBorders>
          </w:tcPr>
          <w:p>
            <w:pPr>
              <w:keepNext w:val="0"/>
              <w:keepLines w:val="0"/>
              <w:widowControl w:val="0"/>
              <w:kinsoku/>
              <w:wordWrap/>
              <w:overflowPunct/>
              <w:topLinePunct w:val="0"/>
              <w:autoSpaceDE/>
              <w:autoSpaceDN/>
              <w:bidi w:val="0"/>
              <w:adjustRightInd/>
              <w:spacing w:line="360" w:lineRule="auto"/>
              <w:jc w:val="center"/>
              <w:textAlignment w:val="auto"/>
              <w:outlineLvl w:val="9"/>
              <w:rPr>
                <w:rFonts w:ascii="宋体" w:hAnsi="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8" w:type="dxa"/>
            <w:tcBorders>
              <w:top w:val="single" w:color="auto" w:sz="4" w:space="0"/>
              <w:left w:val="single" w:color="auto" w:sz="4" w:space="0"/>
              <w:bottom w:val="single" w:color="auto" w:sz="4" w:space="0"/>
              <w:right w:val="single" w:color="auto" w:sz="4" w:space="0"/>
              <w:tl2br w:val="nil"/>
              <w:tr2bl w:val="nil"/>
            </w:tcBorders>
          </w:tcPr>
          <w:p>
            <w:pPr>
              <w:keepNext w:val="0"/>
              <w:keepLines w:val="0"/>
              <w:widowControl w:val="0"/>
              <w:kinsoku/>
              <w:wordWrap/>
              <w:overflowPunct/>
              <w:topLinePunct w:val="0"/>
              <w:autoSpaceDE/>
              <w:autoSpaceDN/>
              <w:bidi w:val="0"/>
              <w:adjustRightInd/>
              <w:spacing w:line="360" w:lineRule="auto"/>
              <w:textAlignment w:val="auto"/>
              <w:outlineLvl w:val="9"/>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3. 交通工具</w:t>
            </w:r>
          </w:p>
        </w:tc>
        <w:tc>
          <w:tcPr>
            <w:tcW w:w="1590" w:type="dxa"/>
            <w:tcBorders>
              <w:top w:val="single" w:color="auto" w:sz="4" w:space="0"/>
              <w:left w:val="single" w:color="auto" w:sz="4" w:space="0"/>
              <w:bottom w:val="single" w:color="auto" w:sz="4" w:space="0"/>
              <w:right w:val="single" w:color="auto" w:sz="4" w:space="0"/>
              <w:tl2br w:val="nil"/>
              <w:tr2bl w:val="nil"/>
            </w:tcBorders>
          </w:tcPr>
          <w:p>
            <w:pPr>
              <w:keepNext w:val="0"/>
              <w:keepLines w:val="0"/>
              <w:widowControl w:val="0"/>
              <w:kinsoku/>
              <w:wordWrap/>
              <w:overflowPunct/>
              <w:topLinePunct w:val="0"/>
              <w:autoSpaceDE/>
              <w:autoSpaceDN/>
              <w:bidi w:val="0"/>
              <w:adjustRightInd/>
              <w:spacing w:line="360" w:lineRule="auto"/>
              <w:jc w:val="center"/>
              <w:textAlignment w:val="auto"/>
              <w:outlineLvl w:val="9"/>
              <w:rPr>
                <w:rFonts w:ascii="宋体" w:hAnsi="宋体" w:cs="宋体"/>
                <w:color w:val="000000" w:themeColor="text1"/>
                <w:sz w:val="24"/>
                <w:szCs w:val="24"/>
                <w14:textFill>
                  <w14:solidFill>
                    <w14:schemeClr w14:val="tx1"/>
                  </w14:solidFill>
                </w14:textFill>
              </w:rPr>
            </w:pPr>
          </w:p>
        </w:tc>
        <w:tc>
          <w:tcPr>
            <w:tcW w:w="2130" w:type="dxa"/>
            <w:tcBorders>
              <w:top w:val="single" w:color="auto" w:sz="4" w:space="0"/>
              <w:left w:val="single" w:color="auto" w:sz="4" w:space="0"/>
              <w:bottom w:val="single" w:color="auto" w:sz="4" w:space="0"/>
              <w:right w:val="single" w:color="auto" w:sz="4" w:space="0"/>
              <w:tl2br w:val="nil"/>
              <w:tr2bl w:val="nil"/>
            </w:tcBorders>
          </w:tcPr>
          <w:p>
            <w:pPr>
              <w:keepNext w:val="0"/>
              <w:keepLines w:val="0"/>
              <w:widowControl w:val="0"/>
              <w:kinsoku/>
              <w:wordWrap/>
              <w:overflowPunct/>
              <w:topLinePunct w:val="0"/>
              <w:autoSpaceDE/>
              <w:autoSpaceDN/>
              <w:bidi w:val="0"/>
              <w:adjustRightInd/>
              <w:spacing w:line="360" w:lineRule="auto"/>
              <w:jc w:val="center"/>
              <w:textAlignment w:val="auto"/>
              <w:outlineLvl w:val="9"/>
              <w:rPr>
                <w:rFonts w:ascii="宋体" w:hAnsi="宋体" w:cs="宋体"/>
                <w:color w:val="000000" w:themeColor="text1"/>
                <w:sz w:val="24"/>
                <w:szCs w:val="24"/>
                <w14:textFill>
                  <w14:solidFill>
                    <w14:schemeClr w14:val="tx1"/>
                  </w14:solidFill>
                </w14:textFill>
              </w:rPr>
            </w:pPr>
          </w:p>
        </w:tc>
        <w:tc>
          <w:tcPr>
            <w:tcW w:w="1860" w:type="dxa"/>
            <w:tcBorders>
              <w:top w:val="single" w:color="auto" w:sz="4" w:space="0"/>
              <w:left w:val="single" w:color="auto" w:sz="4" w:space="0"/>
              <w:bottom w:val="single" w:color="auto" w:sz="4" w:space="0"/>
              <w:right w:val="single" w:color="auto" w:sz="4" w:space="0"/>
              <w:tl2br w:val="nil"/>
              <w:tr2bl w:val="nil"/>
            </w:tcBorders>
          </w:tcPr>
          <w:p>
            <w:pPr>
              <w:keepNext w:val="0"/>
              <w:keepLines w:val="0"/>
              <w:widowControl w:val="0"/>
              <w:kinsoku/>
              <w:wordWrap/>
              <w:overflowPunct/>
              <w:topLinePunct w:val="0"/>
              <w:autoSpaceDE/>
              <w:autoSpaceDN/>
              <w:bidi w:val="0"/>
              <w:adjustRightInd/>
              <w:spacing w:line="360" w:lineRule="auto"/>
              <w:jc w:val="center"/>
              <w:textAlignment w:val="auto"/>
              <w:outlineLvl w:val="9"/>
              <w:rPr>
                <w:rFonts w:ascii="宋体" w:hAnsi="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8" w:type="dxa"/>
            <w:tcBorders>
              <w:top w:val="single" w:color="auto" w:sz="4" w:space="0"/>
              <w:left w:val="single" w:color="auto" w:sz="4" w:space="0"/>
              <w:bottom w:val="single" w:color="auto" w:sz="4" w:space="0"/>
              <w:right w:val="single" w:color="auto" w:sz="4" w:space="0"/>
              <w:tl2br w:val="nil"/>
              <w:tr2bl w:val="nil"/>
            </w:tcBorders>
          </w:tcPr>
          <w:p>
            <w:pPr>
              <w:keepNext w:val="0"/>
              <w:keepLines w:val="0"/>
              <w:widowControl w:val="0"/>
              <w:kinsoku/>
              <w:wordWrap/>
              <w:overflowPunct/>
              <w:topLinePunct w:val="0"/>
              <w:autoSpaceDE/>
              <w:autoSpaceDN/>
              <w:bidi w:val="0"/>
              <w:adjustRightInd/>
              <w:spacing w:line="360" w:lineRule="auto"/>
              <w:textAlignment w:val="auto"/>
              <w:outlineLvl w:val="9"/>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4. 检测和试验设备</w:t>
            </w:r>
          </w:p>
        </w:tc>
        <w:tc>
          <w:tcPr>
            <w:tcW w:w="1590" w:type="dxa"/>
            <w:tcBorders>
              <w:top w:val="single" w:color="auto" w:sz="4" w:space="0"/>
              <w:left w:val="single" w:color="auto" w:sz="4" w:space="0"/>
              <w:bottom w:val="single" w:color="auto" w:sz="4" w:space="0"/>
              <w:right w:val="single" w:color="auto" w:sz="4" w:space="0"/>
              <w:tl2br w:val="nil"/>
              <w:tr2bl w:val="nil"/>
            </w:tcBorders>
          </w:tcPr>
          <w:p>
            <w:pPr>
              <w:keepNext w:val="0"/>
              <w:keepLines w:val="0"/>
              <w:widowControl w:val="0"/>
              <w:kinsoku/>
              <w:wordWrap/>
              <w:overflowPunct/>
              <w:topLinePunct w:val="0"/>
              <w:autoSpaceDE/>
              <w:autoSpaceDN/>
              <w:bidi w:val="0"/>
              <w:adjustRightInd/>
              <w:spacing w:line="360" w:lineRule="auto"/>
              <w:jc w:val="center"/>
              <w:textAlignment w:val="auto"/>
              <w:outlineLvl w:val="9"/>
              <w:rPr>
                <w:rFonts w:ascii="宋体" w:hAnsi="宋体" w:cs="宋体"/>
                <w:color w:val="000000" w:themeColor="text1"/>
                <w:sz w:val="24"/>
                <w:szCs w:val="24"/>
                <w14:textFill>
                  <w14:solidFill>
                    <w14:schemeClr w14:val="tx1"/>
                  </w14:solidFill>
                </w14:textFill>
              </w:rPr>
            </w:pPr>
          </w:p>
        </w:tc>
        <w:tc>
          <w:tcPr>
            <w:tcW w:w="2130" w:type="dxa"/>
            <w:tcBorders>
              <w:top w:val="single" w:color="auto" w:sz="4" w:space="0"/>
              <w:left w:val="single" w:color="auto" w:sz="4" w:space="0"/>
              <w:bottom w:val="single" w:color="auto" w:sz="4" w:space="0"/>
              <w:right w:val="single" w:color="auto" w:sz="4" w:space="0"/>
              <w:tl2br w:val="nil"/>
              <w:tr2bl w:val="nil"/>
            </w:tcBorders>
          </w:tcPr>
          <w:p>
            <w:pPr>
              <w:keepNext w:val="0"/>
              <w:keepLines w:val="0"/>
              <w:widowControl w:val="0"/>
              <w:kinsoku/>
              <w:wordWrap/>
              <w:overflowPunct/>
              <w:topLinePunct w:val="0"/>
              <w:autoSpaceDE/>
              <w:autoSpaceDN/>
              <w:bidi w:val="0"/>
              <w:adjustRightInd/>
              <w:spacing w:line="360" w:lineRule="auto"/>
              <w:jc w:val="center"/>
              <w:textAlignment w:val="auto"/>
              <w:outlineLvl w:val="9"/>
              <w:rPr>
                <w:rFonts w:ascii="宋体" w:hAnsi="宋体" w:cs="宋体"/>
                <w:color w:val="000000" w:themeColor="text1"/>
                <w:sz w:val="24"/>
                <w:szCs w:val="24"/>
                <w14:textFill>
                  <w14:solidFill>
                    <w14:schemeClr w14:val="tx1"/>
                  </w14:solidFill>
                </w14:textFill>
              </w:rPr>
            </w:pPr>
          </w:p>
        </w:tc>
        <w:tc>
          <w:tcPr>
            <w:tcW w:w="1860" w:type="dxa"/>
            <w:tcBorders>
              <w:top w:val="single" w:color="auto" w:sz="4" w:space="0"/>
              <w:left w:val="single" w:color="auto" w:sz="4" w:space="0"/>
              <w:bottom w:val="single" w:color="auto" w:sz="4" w:space="0"/>
              <w:right w:val="single" w:color="auto" w:sz="4" w:space="0"/>
              <w:tl2br w:val="nil"/>
              <w:tr2bl w:val="nil"/>
            </w:tcBorders>
          </w:tcPr>
          <w:p>
            <w:pPr>
              <w:keepNext w:val="0"/>
              <w:keepLines w:val="0"/>
              <w:widowControl w:val="0"/>
              <w:kinsoku/>
              <w:wordWrap/>
              <w:overflowPunct/>
              <w:topLinePunct w:val="0"/>
              <w:autoSpaceDE/>
              <w:autoSpaceDN/>
              <w:bidi w:val="0"/>
              <w:adjustRightInd/>
              <w:spacing w:line="360" w:lineRule="auto"/>
              <w:jc w:val="center"/>
              <w:textAlignment w:val="auto"/>
              <w:outlineLvl w:val="9"/>
              <w:rPr>
                <w:rFonts w:ascii="宋体" w:hAnsi="宋体" w:cs="宋体"/>
                <w:color w:val="000000" w:themeColor="text1"/>
                <w:sz w:val="24"/>
                <w:szCs w:val="24"/>
                <w14:textFill>
                  <w14:solidFill>
                    <w14:schemeClr w14:val="tx1"/>
                  </w14:solidFill>
                </w14:textFill>
              </w:rPr>
            </w:pPr>
          </w:p>
        </w:tc>
      </w:tr>
    </w:tbl>
    <w:p>
      <w:pPr>
        <w:keepNext w:val="0"/>
        <w:keepLines w:val="0"/>
        <w:widowControl w:val="0"/>
        <w:kinsoku/>
        <w:wordWrap/>
        <w:overflowPunct/>
        <w:topLinePunct w:val="0"/>
        <w:autoSpaceDE/>
        <w:autoSpaceDN/>
        <w:bidi w:val="0"/>
        <w:adjustRightInd/>
        <w:textAlignment w:val="auto"/>
        <w:outlineLvl w:val="9"/>
        <w:rPr>
          <w:rFonts w:ascii="宋体" w:hAnsi="宋体" w:cs="宋体"/>
          <w:color w:val="000000" w:themeColor="text1"/>
          <w:sz w:val="24"/>
          <w:szCs w:val="24"/>
          <w14:textFill>
            <w14:solidFill>
              <w14:schemeClr w14:val="tx1"/>
            </w14:solidFill>
          </w14:textFill>
        </w:rPr>
      </w:pPr>
    </w:p>
    <w:p>
      <w:pPr>
        <w:pStyle w:val="4"/>
        <w:pageBreakBefore/>
        <w:spacing w:before="340" w:after="330" w:line="576" w:lineRule="auto"/>
        <w:jc w:val="center"/>
        <w:rPr>
          <w:rFonts w:ascii="宋体" w:hAnsi="宋体" w:cs="宋体"/>
          <w:color w:val="000000" w:themeColor="text1"/>
          <w14:textFill>
            <w14:solidFill>
              <w14:schemeClr w14:val="tx1"/>
            </w14:solidFill>
          </w14:textFill>
        </w:rPr>
      </w:pPr>
      <w:bookmarkStart w:id="734" w:name="_Toc5946"/>
      <w:bookmarkStart w:id="735" w:name="_Toc9382"/>
      <w:bookmarkStart w:id="736" w:name="_Toc27786"/>
      <w:bookmarkStart w:id="737" w:name="_Toc5289"/>
      <w:bookmarkStart w:id="738" w:name="_Toc14947"/>
      <w:r>
        <w:rPr>
          <w:rFonts w:ascii="宋体" w:hAnsi="宋体"/>
          <w:color w:val="000000" w:themeColor="text1"/>
          <w14:textFill>
            <w14:solidFill>
              <w14:schemeClr w14:val="tx1"/>
            </w14:solidFill>
          </w14:textFill>
        </w:rPr>
        <w:t>第</w:t>
      </w:r>
      <w:r>
        <w:rPr>
          <w:rFonts w:hint="eastAsia" w:ascii="宋体" w:hAnsi="宋体"/>
          <w:color w:val="000000" w:themeColor="text1"/>
          <w14:textFill>
            <w14:solidFill>
              <w14:schemeClr w14:val="tx1"/>
            </w14:solidFill>
          </w14:textFill>
        </w:rPr>
        <w:t>六</w:t>
      </w:r>
      <w:r>
        <w:rPr>
          <w:rFonts w:ascii="宋体" w:hAnsi="宋体"/>
          <w:color w:val="000000" w:themeColor="text1"/>
          <w14:textFill>
            <w14:solidFill>
              <w14:schemeClr w14:val="tx1"/>
            </w14:solidFill>
          </w14:textFill>
        </w:rPr>
        <w:t>章</w:t>
      </w:r>
      <w:r>
        <w:rPr>
          <w:rFonts w:hint="eastAsia" w:ascii="宋体" w:hAnsi="宋体"/>
          <w:color w:val="000000" w:themeColor="text1"/>
          <w14:textFill>
            <w14:solidFill>
              <w14:schemeClr w14:val="tx1"/>
            </w14:solidFill>
          </w14:textFill>
        </w:rPr>
        <w:t xml:space="preserve"> </w:t>
      </w:r>
      <w:r>
        <w:rPr>
          <w:rFonts w:hint="eastAsia" w:ascii="宋体" w:hAnsi="宋体" w:cs="宋体"/>
          <w:color w:val="000000" w:themeColor="text1"/>
          <w14:textFill>
            <w14:solidFill>
              <w14:schemeClr w14:val="tx1"/>
            </w14:solidFill>
          </w14:textFill>
        </w:rPr>
        <w:t>投标文件格式</w:t>
      </w:r>
      <w:bookmarkEnd w:id="681"/>
      <w:bookmarkEnd w:id="682"/>
      <w:bookmarkEnd w:id="683"/>
      <w:bookmarkEnd w:id="684"/>
      <w:bookmarkEnd w:id="685"/>
      <w:bookmarkEnd w:id="734"/>
      <w:bookmarkEnd w:id="735"/>
      <w:bookmarkEnd w:id="736"/>
      <w:bookmarkEnd w:id="737"/>
      <w:bookmarkEnd w:id="738"/>
    </w:p>
    <w:p>
      <w:pPr>
        <w:spacing w:line="440" w:lineRule="exact"/>
        <w:jc w:val="center"/>
        <w:rPr>
          <w:rFonts w:ascii="宋体" w:hAnsi="宋体" w:cs="宋体"/>
          <w:color w:val="000000" w:themeColor="text1"/>
          <w:sz w:val="24"/>
          <w14:textFill>
            <w14:solidFill>
              <w14:schemeClr w14:val="tx1"/>
            </w14:solidFill>
          </w14:textFill>
        </w:rPr>
      </w:pPr>
      <w:r>
        <w:rPr>
          <w:rFonts w:hint="eastAsia" w:ascii="宋体" w:hAnsi="宋体" w:cs="宋体"/>
          <w:b/>
          <w:color w:val="000000" w:themeColor="text1"/>
          <w:sz w:val="32"/>
          <w14:textFill>
            <w14:solidFill>
              <w14:schemeClr w14:val="tx1"/>
            </w14:solidFill>
          </w14:textFill>
        </w:rPr>
        <w:t xml:space="preserve">  </w:t>
      </w:r>
    </w:p>
    <w:p>
      <w:pPr>
        <w:rPr>
          <w:rFonts w:ascii="宋体" w:hAnsi="宋体" w:cs="宋体"/>
          <w:color w:val="000000" w:themeColor="text1"/>
          <w14:textFill>
            <w14:solidFill>
              <w14:schemeClr w14:val="tx1"/>
            </w14:solidFill>
          </w14:textFill>
        </w:rPr>
      </w:pPr>
    </w:p>
    <w:p>
      <w:pPr>
        <w:ind w:firstLine="560"/>
        <w:rPr>
          <w:rFonts w:ascii="宋体" w:hAnsi="宋体" w:cs="宋体"/>
          <w:b/>
          <w:color w:val="000000" w:themeColor="text1"/>
          <w:sz w:val="36"/>
          <w14:textFill>
            <w14:solidFill>
              <w14:schemeClr w14:val="tx1"/>
            </w14:solidFill>
          </w14:textFill>
        </w:rPr>
      </w:pPr>
      <w:r>
        <w:rPr>
          <w:rFonts w:hint="eastAsia" w:ascii="宋体" w:hAnsi="宋体" w:cs="宋体"/>
          <w:b/>
          <w:color w:val="000000" w:themeColor="text1"/>
          <w:sz w:val="36"/>
          <w14:textFill>
            <w14:solidFill>
              <w14:schemeClr w14:val="tx1"/>
            </w14:solidFill>
          </w14:textFill>
        </w:rPr>
        <w:t xml:space="preserve">       </w:t>
      </w:r>
    </w:p>
    <w:p>
      <w:pPr>
        <w:ind w:firstLine="560"/>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u w:val="single"/>
          <w14:textFill>
            <w14:solidFill>
              <w14:schemeClr w14:val="tx1"/>
            </w14:solidFill>
          </w14:textFill>
        </w:rPr>
        <w:t xml:space="preserve">                                  </w:t>
      </w:r>
      <w:r>
        <w:rPr>
          <w:rFonts w:hint="eastAsia" w:ascii="宋体" w:hAnsi="宋体" w:cs="宋体"/>
          <w:color w:val="000000" w:themeColor="text1"/>
          <w:sz w:val="28"/>
          <w:szCs w:val="28"/>
          <w14:textFill>
            <w14:solidFill>
              <w14:schemeClr w14:val="tx1"/>
            </w14:solidFill>
          </w14:textFill>
        </w:rPr>
        <w:t>（项目名称）</w:t>
      </w:r>
    </w:p>
    <w:p>
      <w:pPr>
        <w:spacing w:line="400" w:lineRule="exact"/>
        <w:rPr>
          <w:rFonts w:ascii="宋体" w:hAnsi="宋体" w:cs="宋体"/>
          <w:b/>
          <w:color w:val="000000" w:themeColor="text1"/>
          <w:sz w:val="36"/>
          <w14:textFill>
            <w14:solidFill>
              <w14:schemeClr w14:val="tx1"/>
            </w14:solidFill>
          </w14:textFill>
        </w:rPr>
      </w:pPr>
    </w:p>
    <w:p>
      <w:pPr>
        <w:rPr>
          <w:rFonts w:ascii="宋体" w:hAnsi="宋体" w:cs="宋体"/>
          <w:color w:val="000000" w:themeColor="text1"/>
          <w:sz w:val="20"/>
          <w14:textFill>
            <w14:solidFill>
              <w14:schemeClr w14:val="tx1"/>
            </w14:solidFill>
          </w14:textFill>
        </w:rPr>
      </w:pPr>
    </w:p>
    <w:p>
      <w:pPr>
        <w:rPr>
          <w:rFonts w:ascii="宋体" w:hAnsi="宋体" w:cs="宋体"/>
          <w:b/>
          <w:color w:val="000000" w:themeColor="text1"/>
          <w:sz w:val="72"/>
          <w14:textFill>
            <w14:solidFill>
              <w14:schemeClr w14:val="tx1"/>
            </w14:solidFill>
          </w14:textFill>
        </w:rPr>
      </w:pPr>
    </w:p>
    <w:p>
      <w:pPr>
        <w:jc w:val="center"/>
        <w:rPr>
          <w:rFonts w:ascii="宋体" w:hAnsi="宋体" w:cs="宋体"/>
          <w:b/>
          <w:color w:val="000000" w:themeColor="text1"/>
          <w:sz w:val="72"/>
          <w14:textFill>
            <w14:solidFill>
              <w14:schemeClr w14:val="tx1"/>
            </w14:solidFill>
          </w14:textFill>
        </w:rPr>
      </w:pPr>
      <w:r>
        <w:rPr>
          <w:rFonts w:hint="eastAsia" w:ascii="宋体" w:hAnsi="宋体" w:cs="宋体"/>
          <w:b/>
          <w:color w:val="000000" w:themeColor="text1"/>
          <w:sz w:val="70"/>
          <w14:textFill>
            <w14:solidFill>
              <w14:schemeClr w14:val="tx1"/>
            </w14:solidFill>
          </w14:textFill>
        </w:rPr>
        <w:t>投 标 文 件</w:t>
      </w:r>
    </w:p>
    <w:p>
      <w:pPr>
        <w:jc w:val="center"/>
        <w:rPr>
          <w:rFonts w:ascii="宋体" w:hAnsi="宋体" w:cs="宋体"/>
          <w:color w:val="000000" w:themeColor="text1"/>
          <w:sz w:val="32"/>
          <w14:textFill>
            <w14:solidFill>
              <w14:schemeClr w14:val="tx1"/>
            </w14:solidFill>
          </w14:textFill>
        </w:rPr>
      </w:pPr>
    </w:p>
    <w:p>
      <w:pPr>
        <w:pStyle w:val="44"/>
        <w:jc w:val="center"/>
        <w:rPr>
          <w:rFonts w:hAnsi="宋体" w:cs="宋体"/>
          <w:b/>
          <w:color w:val="000000" w:themeColor="text1"/>
          <w:kern w:val="2"/>
          <w:sz w:val="28"/>
          <w:szCs w:val="28"/>
          <w14:textFill>
            <w14:solidFill>
              <w14:schemeClr w14:val="tx1"/>
            </w14:solidFill>
          </w14:textFill>
        </w:rPr>
      </w:pPr>
      <w:r>
        <w:rPr>
          <w:rFonts w:hint="eastAsia" w:hAnsi="宋体" w:cs="宋体"/>
          <w:b/>
          <w:color w:val="000000" w:themeColor="text1"/>
          <w:sz w:val="28"/>
          <w:szCs w:val="28"/>
          <w14:textFill>
            <w14:solidFill>
              <w14:schemeClr w14:val="tx1"/>
            </w14:solidFill>
          </w14:textFill>
        </w:rPr>
        <w:t>招标编号：</w:t>
      </w:r>
      <w:r>
        <w:rPr>
          <w:rFonts w:hint="eastAsia" w:hAnsi="宋体" w:cs="宋体"/>
          <w:b/>
          <w:color w:val="000000" w:themeColor="text1"/>
          <w:kern w:val="2"/>
          <w:sz w:val="28"/>
          <w:szCs w:val="28"/>
          <w14:textFill>
            <w14:solidFill>
              <w14:schemeClr w14:val="tx1"/>
            </w14:solidFill>
          </w14:textFill>
        </w:rPr>
        <w:t xml:space="preserve">  </w:t>
      </w:r>
    </w:p>
    <w:p>
      <w:pPr>
        <w:pStyle w:val="44"/>
        <w:jc w:val="center"/>
        <w:rPr>
          <w:rFonts w:hAnsi="宋体" w:cs="宋体"/>
          <w:b/>
          <w:color w:val="000000" w:themeColor="text1"/>
          <w:sz w:val="28"/>
          <w:szCs w:val="28"/>
          <w14:textFill>
            <w14:solidFill>
              <w14:schemeClr w14:val="tx1"/>
            </w14:solidFill>
          </w14:textFill>
        </w:rPr>
      </w:pPr>
      <w:r>
        <w:rPr>
          <w:rFonts w:hint="eastAsia" w:hAnsi="宋体" w:cs="宋体"/>
          <w:b/>
          <w:color w:val="000000" w:themeColor="text1"/>
          <w:sz w:val="28"/>
          <w:szCs w:val="28"/>
          <w14:textFill>
            <w14:solidFill>
              <w14:schemeClr w14:val="tx1"/>
            </w14:solidFill>
          </w14:textFill>
        </w:rPr>
        <w:t>项目编号：</w:t>
      </w:r>
    </w:p>
    <w:p>
      <w:pPr>
        <w:jc w:val="left"/>
        <w:rPr>
          <w:rFonts w:ascii="宋体" w:hAnsi="宋体" w:cs="宋体"/>
          <w:color w:val="000000" w:themeColor="text1"/>
          <w:sz w:val="32"/>
          <w14:textFill>
            <w14:solidFill>
              <w14:schemeClr w14:val="tx1"/>
            </w14:solidFill>
          </w14:textFill>
        </w:rPr>
      </w:pPr>
    </w:p>
    <w:p>
      <w:pPr>
        <w:jc w:val="left"/>
        <w:rPr>
          <w:rFonts w:ascii="宋体" w:hAnsi="宋体" w:cs="宋体"/>
          <w:color w:val="000000" w:themeColor="text1"/>
          <w:sz w:val="32"/>
          <w14:textFill>
            <w14:solidFill>
              <w14:schemeClr w14:val="tx1"/>
            </w14:solidFill>
          </w14:textFill>
        </w:rPr>
      </w:pPr>
    </w:p>
    <w:p>
      <w:pPr>
        <w:jc w:val="left"/>
        <w:rPr>
          <w:rFonts w:ascii="宋体" w:hAnsi="宋体" w:cs="宋体"/>
          <w:color w:val="000000" w:themeColor="text1"/>
          <w:sz w:val="32"/>
          <w14:textFill>
            <w14:solidFill>
              <w14:schemeClr w14:val="tx1"/>
            </w14:solidFill>
          </w14:textFill>
        </w:rPr>
      </w:pPr>
    </w:p>
    <w:p>
      <w:pPr>
        <w:jc w:val="left"/>
        <w:rPr>
          <w:rFonts w:ascii="宋体" w:hAnsi="宋体" w:cs="宋体"/>
          <w:color w:val="000000" w:themeColor="text1"/>
          <w:sz w:val="32"/>
          <w14:textFill>
            <w14:solidFill>
              <w14:schemeClr w14:val="tx1"/>
            </w14:solidFill>
          </w14:textFill>
        </w:rPr>
      </w:pPr>
    </w:p>
    <w:p>
      <w:pPr>
        <w:rPr>
          <w:rFonts w:ascii="宋体" w:hAnsi="宋体" w:cs="宋体"/>
          <w:color w:val="000000" w:themeColor="text1"/>
          <w:sz w:val="28"/>
          <w14:textFill>
            <w14:solidFill>
              <w14:schemeClr w14:val="tx1"/>
            </w14:solidFill>
          </w14:textFill>
        </w:rPr>
      </w:pPr>
    </w:p>
    <w:p>
      <w:pPr>
        <w:spacing w:line="360" w:lineRule="auto"/>
        <w:jc w:val="center"/>
        <w:rPr>
          <w:rFonts w:ascii="宋体" w:hAnsi="宋体" w:cs="宋体"/>
          <w:color w:val="000000" w:themeColor="text1"/>
          <w:sz w:val="28"/>
          <w:u w:val="single"/>
          <w14:textFill>
            <w14:solidFill>
              <w14:schemeClr w14:val="tx1"/>
            </w14:solidFill>
          </w14:textFill>
        </w:rPr>
      </w:pPr>
      <w:r>
        <w:rPr>
          <w:rFonts w:hint="eastAsia" w:ascii="宋体" w:hAnsi="宋体" w:cs="宋体"/>
          <w:color w:val="000000" w:themeColor="text1"/>
          <w:sz w:val="28"/>
          <w14:textFill>
            <w14:solidFill>
              <w14:schemeClr w14:val="tx1"/>
            </w14:solidFill>
          </w14:textFill>
        </w:rPr>
        <w:t>投标人：</w:t>
      </w:r>
      <w:r>
        <w:rPr>
          <w:rFonts w:hint="eastAsia" w:ascii="宋体" w:hAnsi="宋体" w:cs="宋体"/>
          <w:color w:val="000000" w:themeColor="text1"/>
          <w:sz w:val="28"/>
          <w:u w:val="single"/>
          <w14:textFill>
            <w14:solidFill>
              <w14:schemeClr w14:val="tx1"/>
            </w14:solidFill>
          </w14:textFill>
        </w:rPr>
        <w:t xml:space="preserve">                              </w:t>
      </w:r>
      <w:r>
        <w:rPr>
          <w:rFonts w:hint="eastAsia" w:ascii="宋体" w:hAnsi="宋体" w:cs="宋体"/>
          <w:color w:val="000000" w:themeColor="text1"/>
          <w:sz w:val="28"/>
          <w14:textFill>
            <w14:solidFill>
              <w14:schemeClr w14:val="tx1"/>
            </w14:solidFill>
          </w14:textFill>
        </w:rPr>
        <w:t>（盖单位章）</w:t>
      </w:r>
    </w:p>
    <w:p>
      <w:pPr>
        <w:spacing w:line="360" w:lineRule="auto"/>
        <w:jc w:val="center"/>
        <w:rPr>
          <w:rFonts w:ascii="宋体" w:hAnsi="宋体" w:cs="宋体"/>
          <w:color w:val="000000" w:themeColor="text1"/>
          <w:sz w:val="28"/>
          <w14:textFill>
            <w14:solidFill>
              <w14:schemeClr w14:val="tx1"/>
            </w14:solidFill>
          </w14:textFill>
        </w:rPr>
      </w:pPr>
      <w:r>
        <w:rPr>
          <w:rFonts w:hint="eastAsia" w:ascii="宋体" w:hAnsi="宋体" w:cs="宋体"/>
          <w:color w:val="000000" w:themeColor="text1"/>
          <w:sz w:val="28"/>
          <w14:textFill>
            <w14:solidFill>
              <w14:schemeClr w14:val="tx1"/>
            </w14:solidFill>
          </w14:textFill>
        </w:rPr>
        <w:t>法定代表人或其委托代理人：</w:t>
      </w:r>
      <w:r>
        <w:rPr>
          <w:rFonts w:hint="eastAsia" w:ascii="宋体" w:hAnsi="宋体" w:cs="宋体"/>
          <w:color w:val="000000" w:themeColor="text1"/>
          <w:sz w:val="28"/>
          <w:u w:val="single"/>
          <w14:textFill>
            <w14:solidFill>
              <w14:schemeClr w14:val="tx1"/>
            </w14:solidFill>
          </w14:textFill>
        </w:rPr>
        <w:t xml:space="preserve">                </w:t>
      </w:r>
      <w:r>
        <w:rPr>
          <w:rFonts w:hint="eastAsia" w:ascii="宋体" w:hAnsi="宋体" w:cs="宋体"/>
          <w:color w:val="000000" w:themeColor="text1"/>
          <w:sz w:val="28"/>
          <w14:textFill>
            <w14:solidFill>
              <w14:schemeClr w14:val="tx1"/>
            </w14:solidFill>
          </w14:textFill>
        </w:rPr>
        <w:t>（签字）</w:t>
      </w:r>
    </w:p>
    <w:p>
      <w:pPr>
        <w:spacing w:line="360" w:lineRule="auto"/>
        <w:jc w:val="center"/>
        <w:rPr>
          <w:rFonts w:ascii="宋体" w:hAnsi="宋体" w:cs="宋体"/>
          <w:color w:val="000000" w:themeColor="text1"/>
          <w:sz w:val="28"/>
          <w14:textFill>
            <w14:solidFill>
              <w14:schemeClr w14:val="tx1"/>
            </w14:solidFill>
          </w14:textFill>
        </w:rPr>
      </w:pPr>
      <w:r>
        <w:rPr>
          <w:rFonts w:hint="eastAsia" w:ascii="宋体" w:hAnsi="宋体" w:cs="宋体"/>
          <w:color w:val="000000" w:themeColor="text1"/>
          <w:sz w:val="28"/>
          <w:u w:val="single"/>
          <w14:textFill>
            <w14:solidFill>
              <w14:schemeClr w14:val="tx1"/>
            </w14:solidFill>
          </w14:textFill>
        </w:rPr>
        <w:t xml:space="preserve">        </w:t>
      </w:r>
      <w:r>
        <w:rPr>
          <w:rFonts w:hint="eastAsia" w:ascii="宋体" w:hAnsi="宋体" w:cs="宋体"/>
          <w:color w:val="000000" w:themeColor="text1"/>
          <w:sz w:val="28"/>
          <w14:textFill>
            <w14:solidFill>
              <w14:schemeClr w14:val="tx1"/>
            </w14:solidFill>
          </w14:textFill>
        </w:rPr>
        <w:t>年</w:t>
      </w:r>
      <w:r>
        <w:rPr>
          <w:rFonts w:hint="eastAsia" w:ascii="宋体" w:hAnsi="宋体" w:cs="宋体"/>
          <w:color w:val="000000" w:themeColor="text1"/>
          <w:sz w:val="28"/>
          <w:u w:val="single"/>
          <w14:textFill>
            <w14:solidFill>
              <w14:schemeClr w14:val="tx1"/>
            </w14:solidFill>
          </w14:textFill>
        </w:rPr>
        <w:t xml:space="preserve">        </w:t>
      </w:r>
      <w:r>
        <w:rPr>
          <w:rFonts w:hint="eastAsia" w:ascii="宋体" w:hAnsi="宋体" w:cs="宋体"/>
          <w:color w:val="000000" w:themeColor="text1"/>
          <w:sz w:val="28"/>
          <w14:textFill>
            <w14:solidFill>
              <w14:schemeClr w14:val="tx1"/>
            </w14:solidFill>
          </w14:textFill>
        </w:rPr>
        <w:t>月</w:t>
      </w:r>
      <w:r>
        <w:rPr>
          <w:rFonts w:hint="eastAsia" w:ascii="宋体" w:hAnsi="宋体" w:cs="宋体"/>
          <w:color w:val="000000" w:themeColor="text1"/>
          <w:sz w:val="28"/>
          <w:u w:val="single"/>
          <w14:textFill>
            <w14:solidFill>
              <w14:schemeClr w14:val="tx1"/>
            </w14:solidFill>
          </w14:textFill>
        </w:rPr>
        <w:t xml:space="preserve">         </w:t>
      </w:r>
      <w:r>
        <w:rPr>
          <w:rFonts w:hint="eastAsia" w:ascii="宋体" w:hAnsi="宋体" w:cs="宋体"/>
          <w:color w:val="000000" w:themeColor="text1"/>
          <w:sz w:val="28"/>
          <w14:textFill>
            <w14:solidFill>
              <w14:schemeClr w14:val="tx1"/>
            </w14:solidFill>
          </w14:textFill>
        </w:rPr>
        <w:t>日</w:t>
      </w:r>
    </w:p>
    <w:p>
      <w:pPr>
        <w:pStyle w:val="64"/>
        <w:pageBreakBefore/>
        <w:spacing w:line="360" w:lineRule="auto"/>
        <w:jc w:val="center"/>
        <w:outlineLvl w:val="9"/>
        <w:rPr>
          <w:rFonts w:ascii="宋体" w:cs="宋体"/>
          <w:b w:val="0"/>
          <w:color w:val="000000" w:themeColor="text1"/>
          <w:sz w:val="32"/>
          <w14:textFill>
            <w14:solidFill>
              <w14:schemeClr w14:val="tx1"/>
            </w14:solidFill>
          </w14:textFill>
        </w:rPr>
      </w:pPr>
      <w:bookmarkStart w:id="739" w:name="_Toc277917699"/>
      <w:bookmarkStart w:id="740" w:name="_Toc18732"/>
      <w:bookmarkStart w:id="741" w:name="_Toc27136"/>
      <w:bookmarkStart w:id="742" w:name="_Toc276715151"/>
      <w:bookmarkStart w:id="743" w:name="_Toc485"/>
      <w:bookmarkStart w:id="744" w:name="_Toc25025"/>
      <w:bookmarkStart w:id="745" w:name="_Toc26517"/>
      <w:r>
        <w:rPr>
          <w:rFonts w:hint="eastAsia" w:ascii="宋体" w:cs="宋体"/>
          <w:b w:val="0"/>
          <w:color w:val="000000" w:themeColor="text1"/>
          <w:sz w:val="32"/>
          <w14:textFill>
            <w14:solidFill>
              <w14:schemeClr w14:val="tx1"/>
            </w14:solidFill>
          </w14:textFill>
        </w:rPr>
        <w:t>目  录</w:t>
      </w:r>
      <w:bookmarkEnd w:id="739"/>
      <w:bookmarkEnd w:id="740"/>
      <w:bookmarkEnd w:id="741"/>
      <w:bookmarkEnd w:id="742"/>
      <w:bookmarkEnd w:id="743"/>
      <w:bookmarkEnd w:id="744"/>
      <w:bookmarkEnd w:id="745"/>
    </w:p>
    <w:p>
      <w:pPr>
        <w:tabs>
          <w:tab w:val="left" w:pos="540"/>
        </w:tabs>
        <w:spacing w:line="360" w:lineRule="exact"/>
        <w:ind w:left="514" w:leftChars="245"/>
        <w:rPr>
          <w:rFonts w:ascii="宋体" w:hAnsi="宋体" w:cs="宋体"/>
          <w:color w:val="000000" w:themeColor="text1"/>
          <w14:textFill>
            <w14:solidFill>
              <w14:schemeClr w14:val="tx1"/>
            </w14:solidFill>
          </w14:textFill>
        </w:rPr>
      </w:pPr>
    </w:p>
    <w:p>
      <w:pPr>
        <w:tabs>
          <w:tab w:val="left" w:pos="540"/>
        </w:tabs>
        <w:spacing w:line="480" w:lineRule="auto"/>
        <w:ind w:left="514" w:leftChars="245"/>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一、投标函及投标函附录</w:t>
      </w:r>
    </w:p>
    <w:p>
      <w:pPr>
        <w:tabs>
          <w:tab w:val="left" w:pos="540"/>
        </w:tabs>
        <w:spacing w:line="480" w:lineRule="auto"/>
        <w:ind w:left="514" w:leftChars="245"/>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二、法定代表人身份证明</w:t>
      </w:r>
    </w:p>
    <w:p>
      <w:pPr>
        <w:tabs>
          <w:tab w:val="left" w:pos="540"/>
        </w:tabs>
        <w:spacing w:line="480" w:lineRule="auto"/>
        <w:ind w:left="514" w:leftChars="245"/>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三、授权委托书</w:t>
      </w:r>
    </w:p>
    <w:p>
      <w:pPr>
        <w:tabs>
          <w:tab w:val="left" w:pos="540"/>
        </w:tabs>
        <w:spacing w:line="480" w:lineRule="auto"/>
        <w:ind w:left="514" w:leftChars="245"/>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四、投标保证金</w:t>
      </w:r>
    </w:p>
    <w:p>
      <w:pPr>
        <w:tabs>
          <w:tab w:val="left" w:pos="540"/>
        </w:tabs>
        <w:spacing w:line="480" w:lineRule="auto"/>
        <w:ind w:left="514" w:leftChars="245"/>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五、监理大纲</w:t>
      </w:r>
    </w:p>
    <w:p>
      <w:pPr>
        <w:tabs>
          <w:tab w:val="left" w:pos="540"/>
        </w:tabs>
        <w:spacing w:line="480" w:lineRule="auto"/>
        <w:ind w:left="514" w:leftChars="245"/>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六、项目管理机构</w:t>
      </w:r>
    </w:p>
    <w:p>
      <w:pPr>
        <w:tabs>
          <w:tab w:val="left" w:pos="540"/>
        </w:tabs>
        <w:spacing w:line="480" w:lineRule="auto"/>
        <w:ind w:left="514" w:leftChars="245"/>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七、资格审查资料</w:t>
      </w:r>
    </w:p>
    <w:p>
      <w:pPr>
        <w:tabs>
          <w:tab w:val="left" w:pos="540"/>
        </w:tabs>
        <w:spacing w:line="480" w:lineRule="auto"/>
        <w:ind w:left="514" w:leftChars="245"/>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八、其他材料</w:t>
      </w:r>
    </w:p>
    <w:p>
      <w:pPr>
        <w:pStyle w:val="64"/>
        <w:pageBreakBefore/>
        <w:spacing w:line="360" w:lineRule="auto"/>
        <w:jc w:val="center"/>
        <w:rPr>
          <w:rFonts w:ascii="宋体" w:cs="宋体"/>
          <w:color w:val="000000" w:themeColor="text1"/>
          <w:sz w:val="32"/>
          <w14:textFill>
            <w14:solidFill>
              <w14:schemeClr w14:val="tx1"/>
            </w14:solidFill>
          </w14:textFill>
        </w:rPr>
      </w:pPr>
      <w:bookmarkStart w:id="746" w:name="_Toc195508878"/>
      <w:bookmarkStart w:id="747" w:name="_Toc26526"/>
      <w:bookmarkStart w:id="748" w:name="_Toc168287365"/>
      <w:bookmarkStart w:id="749" w:name="_Toc210355571"/>
      <w:bookmarkStart w:id="750" w:name="_Toc276715154"/>
      <w:bookmarkStart w:id="751" w:name="_Toc336245949"/>
      <w:bookmarkStart w:id="752" w:name="_Toc210364895"/>
      <w:bookmarkStart w:id="753" w:name="_Toc277917705"/>
      <w:bookmarkStart w:id="754" w:name="_Toc18462"/>
      <w:bookmarkStart w:id="755" w:name="_Toc22454"/>
      <w:bookmarkStart w:id="756" w:name="_Toc210327709"/>
      <w:r>
        <w:rPr>
          <w:rFonts w:hint="eastAsia" w:ascii="宋体" w:cs="宋体"/>
          <w:color w:val="000000" w:themeColor="text1"/>
          <w:sz w:val="32"/>
          <w14:textFill>
            <w14:solidFill>
              <w14:schemeClr w14:val="tx1"/>
            </w14:solidFill>
          </w14:textFill>
        </w:rPr>
        <w:t>一、投标函及投标函附录</w:t>
      </w:r>
      <w:bookmarkEnd w:id="746"/>
      <w:bookmarkEnd w:id="747"/>
      <w:bookmarkEnd w:id="748"/>
      <w:bookmarkEnd w:id="749"/>
      <w:bookmarkEnd w:id="750"/>
      <w:bookmarkEnd w:id="751"/>
      <w:bookmarkEnd w:id="752"/>
      <w:bookmarkEnd w:id="753"/>
      <w:bookmarkEnd w:id="754"/>
      <w:bookmarkEnd w:id="755"/>
      <w:bookmarkEnd w:id="756"/>
    </w:p>
    <w:p>
      <w:pPr>
        <w:pStyle w:val="60"/>
        <w:spacing w:before="0" w:beforeAutospacing="0" w:after="0" w:afterAutospacing="0" w:line="360" w:lineRule="auto"/>
        <w:rPr>
          <w:rFonts w:ascii="宋体" w:hAnsi="宋体" w:cs="宋体"/>
          <w:color w:val="000000" w:themeColor="text1"/>
          <w:sz w:val="28"/>
          <w14:textFill>
            <w14:solidFill>
              <w14:schemeClr w14:val="tx1"/>
            </w14:solidFill>
          </w14:textFill>
        </w:rPr>
      </w:pPr>
      <w:bookmarkStart w:id="757" w:name="_Toc210364896"/>
      <w:bookmarkStart w:id="758" w:name="_Toc168287366"/>
      <w:bookmarkStart w:id="759" w:name="_Toc276715155"/>
      <w:bookmarkStart w:id="760" w:name="_Toc17076"/>
      <w:bookmarkStart w:id="761" w:name="_Toc210327710"/>
      <w:bookmarkStart w:id="762" w:name="_Toc5505"/>
      <w:bookmarkStart w:id="763" w:name="_Toc25594"/>
      <w:bookmarkStart w:id="764" w:name="_Toc210355572"/>
      <w:bookmarkStart w:id="765" w:name="_Toc336245950"/>
      <w:bookmarkStart w:id="766" w:name="_Toc2074"/>
      <w:bookmarkStart w:id="767" w:name="_Toc8354"/>
      <w:bookmarkStart w:id="768" w:name="_Toc195508879"/>
      <w:r>
        <w:rPr>
          <w:rFonts w:hint="eastAsia" w:ascii="宋体" w:hAnsi="宋体" w:cs="宋体"/>
          <w:color w:val="000000" w:themeColor="text1"/>
          <w:sz w:val="28"/>
          <w14:textFill>
            <w14:solidFill>
              <w14:schemeClr w14:val="tx1"/>
            </w14:solidFill>
          </w14:textFill>
        </w:rPr>
        <w:t>（一）投标函</w:t>
      </w:r>
      <w:bookmarkEnd w:id="757"/>
      <w:bookmarkEnd w:id="758"/>
      <w:bookmarkEnd w:id="759"/>
      <w:bookmarkEnd w:id="760"/>
      <w:bookmarkEnd w:id="761"/>
      <w:bookmarkEnd w:id="762"/>
      <w:bookmarkEnd w:id="763"/>
      <w:bookmarkEnd w:id="764"/>
      <w:bookmarkEnd w:id="765"/>
      <w:bookmarkEnd w:id="766"/>
      <w:bookmarkEnd w:id="767"/>
      <w:bookmarkEnd w:id="768"/>
    </w:p>
    <w:p>
      <w:pPr>
        <w:spacing w:line="360" w:lineRule="auto"/>
        <w:rPr>
          <w:szCs w:val="21"/>
        </w:rPr>
      </w:pPr>
      <w:r>
        <w:rPr>
          <w:rFonts w:hint="eastAsia"/>
          <w:szCs w:val="21"/>
          <w:u w:val="single"/>
        </w:rPr>
        <w:t xml:space="preserve">                     </w:t>
      </w:r>
      <w:r>
        <w:rPr>
          <w:rFonts w:hint="eastAsia"/>
          <w:szCs w:val="21"/>
        </w:rPr>
        <w:t xml:space="preserve">（招标人名称）: </w:t>
      </w:r>
    </w:p>
    <w:p>
      <w:pPr>
        <w:numPr>
          <w:ilvl w:val="0"/>
          <w:numId w:val="2"/>
        </w:numPr>
        <w:spacing w:line="360" w:lineRule="auto"/>
        <w:ind w:firstLine="420" w:firstLineChars="200"/>
        <w:rPr>
          <w:szCs w:val="21"/>
        </w:rPr>
      </w:pPr>
      <w:r>
        <w:rPr>
          <w:rFonts w:hint="eastAsia"/>
          <w:szCs w:val="21"/>
        </w:rPr>
        <w:t>我方己仔细研究了</w:t>
      </w:r>
      <w:r>
        <w:rPr>
          <w:rFonts w:hint="eastAsia"/>
          <w:szCs w:val="21"/>
          <w:u w:val="single"/>
        </w:rPr>
        <w:t xml:space="preserve">        （项目名称）</w:t>
      </w:r>
      <w:r>
        <w:rPr>
          <w:rFonts w:hint="eastAsia"/>
          <w:szCs w:val="21"/>
        </w:rPr>
        <w:t>项目招标文件的全部内容，愿意以</w:t>
      </w:r>
      <w:r>
        <w:rPr>
          <w:rFonts w:hint="eastAsia"/>
          <w:color w:val="000000"/>
          <w:szCs w:val="21"/>
        </w:rPr>
        <w:t>（</w:t>
      </w:r>
      <w:r>
        <w:rPr>
          <w:color w:val="000000"/>
          <w:szCs w:val="21"/>
        </w:rPr>
        <w:t>大写</w:t>
      </w:r>
      <w:r>
        <w:rPr>
          <w:rFonts w:hint="eastAsia"/>
          <w:color w:val="000000"/>
          <w:szCs w:val="21"/>
        </w:rPr>
        <w:t>）</w:t>
      </w:r>
      <w:r>
        <w:rPr>
          <w:rFonts w:hint="eastAsia"/>
          <w:color w:val="000000"/>
          <w:szCs w:val="21"/>
          <w:u w:val="single"/>
        </w:rPr>
        <w:t xml:space="preserve">      </w:t>
      </w:r>
      <w:r>
        <w:rPr>
          <w:rFonts w:hint="eastAsia"/>
          <w:color w:val="000000"/>
          <w:szCs w:val="21"/>
        </w:rPr>
        <w:t>（</w:t>
      </w:r>
      <w:r>
        <w:rPr>
          <w:color w:val="000000"/>
          <w:szCs w:val="21"/>
        </w:rPr>
        <w:t>小写：</w:t>
      </w:r>
      <w:r>
        <w:rPr>
          <w:szCs w:val="21"/>
          <w:u w:val="single"/>
        </w:rPr>
        <w:t xml:space="preserve"> </w:t>
      </w:r>
      <w:r>
        <w:rPr>
          <w:rFonts w:hint="eastAsia"/>
          <w:szCs w:val="21"/>
          <w:u w:val="single"/>
        </w:rPr>
        <w:t xml:space="preserve">       </w:t>
      </w:r>
      <w:r>
        <w:rPr>
          <w:rFonts w:hint="eastAsia"/>
          <w:color w:val="000000"/>
          <w:szCs w:val="21"/>
        </w:rPr>
        <w:t>）</w:t>
      </w:r>
      <w:r>
        <w:rPr>
          <w:color w:val="000000"/>
          <w:szCs w:val="21"/>
        </w:rPr>
        <w:t>的投标报价</w:t>
      </w:r>
      <w:r>
        <w:rPr>
          <w:rFonts w:hint="eastAsia"/>
          <w:szCs w:val="21"/>
        </w:rPr>
        <w:t>；监理服务期限</w:t>
      </w:r>
      <w:r>
        <w:rPr>
          <w:rFonts w:hint="eastAsia"/>
          <w:szCs w:val="21"/>
          <w:u w:val="single"/>
        </w:rPr>
        <w:t xml:space="preserve">      </w:t>
      </w:r>
      <w:r>
        <w:rPr>
          <w:rFonts w:hint="eastAsia"/>
          <w:szCs w:val="21"/>
        </w:rPr>
        <w:t>，按合同约定实施和完成承包工程，修补工程中的任何缺陷，质量控制目标达到</w:t>
      </w:r>
      <w:r>
        <w:rPr>
          <w:rFonts w:hint="eastAsia"/>
          <w:szCs w:val="21"/>
          <w:u w:val="single"/>
        </w:rPr>
        <w:t xml:space="preserve">          </w:t>
      </w:r>
      <w:r>
        <w:rPr>
          <w:rFonts w:hint="eastAsia"/>
          <w:szCs w:val="21"/>
        </w:rPr>
        <w:t>。</w:t>
      </w:r>
    </w:p>
    <w:p>
      <w:pPr>
        <w:spacing w:line="360" w:lineRule="auto"/>
        <w:ind w:firstLine="420" w:firstLineChars="200"/>
        <w:rPr>
          <w:szCs w:val="21"/>
        </w:rPr>
      </w:pPr>
      <w:r>
        <w:rPr>
          <w:rFonts w:hint="eastAsia"/>
          <w:szCs w:val="21"/>
        </w:rPr>
        <w:t>2．我方承诺在投标有效期内不修改、撤销投标文件。</w:t>
      </w:r>
    </w:p>
    <w:p>
      <w:pPr>
        <w:spacing w:line="360" w:lineRule="auto"/>
        <w:ind w:firstLine="420" w:firstLineChars="200"/>
        <w:rPr>
          <w:szCs w:val="21"/>
        </w:rPr>
      </w:pPr>
      <w:r>
        <w:rPr>
          <w:rFonts w:hint="eastAsia"/>
          <w:szCs w:val="21"/>
        </w:rPr>
        <w:t>3．随同本投标函提交投标保证金一份，金额为人民币（大写）</w:t>
      </w:r>
      <w:r>
        <w:rPr>
          <w:rFonts w:hint="eastAsia"/>
          <w:szCs w:val="21"/>
          <w:u w:val="single"/>
        </w:rPr>
        <w:t xml:space="preserve">          </w:t>
      </w:r>
      <w:r>
        <w:rPr>
          <w:rFonts w:hint="eastAsia"/>
          <w:szCs w:val="21"/>
        </w:rPr>
        <w:t>（</w:t>
      </w:r>
      <w:r>
        <w:rPr>
          <w:rFonts w:hint="eastAsia"/>
          <w:szCs w:val="21"/>
          <w:u w:val="single"/>
        </w:rPr>
        <w:t xml:space="preserve">¥         </w:t>
      </w:r>
      <w:r>
        <w:rPr>
          <w:rFonts w:hint="eastAsia"/>
          <w:szCs w:val="21"/>
        </w:rPr>
        <w:t>元）。</w:t>
      </w:r>
    </w:p>
    <w:p>
      <w:pPr>
        <w:spacing w:line="360" w:lineRule="auto"/>
        <w:ind w:firstLine="420" w:firstLineChars="200"/>
        <w:rPr>
          <w:szCs w:val="21"/>
        </w:rPr>
      </w:pPr>
      <w:r>
        <w:rPr>
          <w:rFonts w:hint="eastAsia"/>
          <w:szCs w:val="21"/>
        </w:rPr>
        <w:t>4．如我方中标：</w:t>
      </w:r>
    </w:p>
    <w:p>
      <w:pPr>
        <w:spacing w:line="360" w:lineRule="auto"/>
        <w:ind w:firstLine="420" w:firstLineChars="200"/>
        <w:rPr>
          <w:szCs w:val="21"/>
        </w:rPr>
      </w:pPr>
      <w:r>
        <w:rPr>
          <w:rFonts w:hint="eastAsia"/>
          <w:szCs w:val="21"/>
        </w:rPr>
        <w:t>（l）我方承诺在收到中标通知书后，在中标通知书规定的期限内与你方签订合同。</w:t>
      </w:r>
    </w:p>
    <w:p>
      <w:pPr>
        <w:spacing w:line="360" w:lineRule="auto"/>
        <w:ind w:firstLine="420" w:firstLineChars="200"/>
        <w:rPr>
          <w:szCs w:val="21"/>
        </w:rPr>
      </w:pPr>
      <w:r>
        <w:rPr>
          <w:rFonts w:hint="eastAsia"/>
          <w:szCs w:val="21"/>
        </w:rPr>
        <w:t>（2）随同本投标函递交的投标函附录属于合同文件的组成部分。</w:t>
      </w:r>
    </w:p>
    <w:p>
      <w:pPr>
        <w:spacing w:line="360" w:lineRule="auto"/>
        <w:ind w:firstLine="420" w:firstLineChars="200"/>
        <w:rPr>
          <w:szCs w:val="21"/>
        </w:rPr>
      </w:pPr>
      <w:r>
        <w:rPr>
          <w:rFonts w:hint="eastAsia"/>
          <w:szCs w:val="21"/>
        </w:rPr>
        <w:t>（(3）我方承诺按照招标文件规定向你方递交履约担保；</w:t>
      </w:r>
    </w:p>
    <w:p>
      <w:pPr>
        <w:spacing w:line="360" w:lineRule="auto"/>
        <w:ind w:firstLine="420" w:firstLineChars="200"/>
        <w:rPr>
          <w:szCs w:val="21"/>
        </w:rPr>
      </w:pPr>
      <w:r>
        <w:rPr>
          <w:rFonts w:hint="eastAsia"/>
          <w:szCs w:val="21"/>
        </w:rPr>
        <w:t>（4）我方承诺在合同约定的期限内完成并移交全部合同工程。</w:t>
      </w:r>
    </w:p>
    <w:p>
      <w:pPr>
        <w:spacing w:line="360" w:lineRule="auto"/>
        <w:ind w:firstLine="420" w:firstLineChars="200"/>
        <w:rPr>
          <w:szCs w:val="21"/>
        </w:rPr>
      </w:pPr>
      <w:r>
        <w:rPr>
          <w:rFonts w:hint="eastAsia"/>
          <w:szCs w:val="21"/>
        </w:rPr>
        <w:t>5．我方在此声明，所递交的投标文件及有关资料内容完整、真实和准确，且不存在第二章“投标人须知”第1.4.3 项规定的任何一种情形。</w:t>
      </w:r>
    </w:p>
    <w:p>
      <w:pPr>
        <w:spacing w:line="360" w:lineRule="auto"/>
        <w:ind w:firstLine="420" w:firstLineChars="200"/>
        <w:rPr>
          <w:szCs w:val="21"/>
        </w:rPr>
      </w:pPr>
      <w:r>
        <w:rPr>
          <w:rFonts w:hint="eastAsia"/>
          <w:szCs w:val="21"/>
        </w:rPr>
        <w:t>6. 其他需补充的内容：</w:t>
      </w:r>
      <w:r>
        <w:rPr>
          <w:rFonts w:hint="eastAsia"/>
          <w:szCs w:val="21"/>
          <w:u w:val="single"/>
        </w:rPr>
        <w:t xml:space="preserve">                      。</w:t>
      </w:r>
    </w:p>
    <w:p>
      <w:pPr>
        <w:spacing w:line="360" w:lineRule="auto"/>
        <w:ind w:firstLine="420" w:firstLineChars="200"/>
        <w:rPr>
          <w:szCs w:val="21"/>
        </w:rPr>
      </w:pPr>
    </w:p>
    <w:p>
      <w:pPr>
        <w:spacing w:line="360" w:lineRule="auto"/>
        <w:ind w:firstLine="4305" w:firstLineChars="2050"/>
        <w:rPr>
          <w:szCs w:val="21"/>
        </w:rPr>
      </w:pPr>
    </w:p>
    <w:p>
      <w:pPr>
        <w:spacing w:line="360" w:lineRule="auto"/>
        <w:ind w:firstLine="4305" w:firstLineChars="2050"/>
        <w:rPr>
          <w:szCs w:val="21"/>
        </w:rPr>
      </w:pPr>
    </w:p>
    <w:p>
      <w:pPr>
        <w:spacing w:line="360" w:lineRule="auto"/>
        <w:ind w:firstLine="1898" w:firstLineChars="904"/>
        <w:rPr>
          <w:szCs w:val="21"/>
        </w:rPr>
      </w:pPr>
      <w:r>
        <w:rPr>
          <w:rFonts w:hint="eastAsia"/>
          <w:szCs w:val="21"/>
        </w:rPr>
        <w:t>投标人：</w:t>
      </w:r>
      <w:r>
        <w:rPr>
          <w:rFonts w:hint="eastAsia"/>
          <w:szCs w:val="21"/>
          <w:u w:val="single"/>
        </w:rPr>
        <w:t xml:space="preserve">          </w:t>
      </w:r>
      <w:r>
        <w:rPr>
          <w:rFonts w:hint="eastAsia"/>
          <w:szCs w:val="21"/>
        </w:rPr>
        <w:t>（</w:t>
      </w:r>
      <w:r>
        <w:rPr>
          <w:rStyle w:val="75"/>
          <w:rFonts w:hint="eastAsia" w:eastAsia="宋体"/>
          <w:sz w:val="21"/>
          <w:szCs w:val="21"/>
        </w:rPr>
        <w:t>企业电子签章或盖公章</w:t>
      </w:r>
      <w:r>
        <w:rPr>
          <w:rFonts w:hint="eastAsia"/>
          <w:szCs w:val="21"/>
        </w:rPr>
        <w:t>）</w:t>
      </w:r>
    </w:p>
    <w:p>
      <w:pPr>
        <w:spacing w:line="360" w:lineRule="auto"/>
        <w:ind w:firstLine="1898" w:firstLineChars="904"/>
        <w:rPr>
          <w:szCs w:val="21"/>
        </w:rPr>
      </w:pPr>
      <w:r>
        <w:rPr>
          <w:rFonts w:hint="eastAsia"/>
          <w:szCs w:val="21"/>
        </w:rPr>
        <w:t>法定代表人或其委托代理人：</w:t>
      </w:r>
      <w:r>
        <w:rPr>
          <w:rFonts w:hint="eastAsia"/>
          <w:szCs w:val="21"/>
          <w:u w:val="single"/>
        </w:rPr>
        <w:t xml:space="preserve">      </w:t>
      </w:r>
      <w:r>
        <w:rPr>
          <w:rFonts w:hint="eastAsia"/>
          <w:szCs w:val="21"/>
        </w:rPr>
        <w:t>（个人电子签章或签字）</w:t>
      </w:r>
    </w:p>
    <w:p>
      <w:pPr>
        <w:spacing w:line="360" w:lineRule="auto"/>
        <w:jc w:val="center"/>
        <w:rPr>
          <w:szCs w:val="21"/>
        </w:rPr>
      </w:pPr>
      <w:r>
        <w:rPr>
          <w:rFonts w:hint="eastAsia"/>
          <w:szCs w:val="21"/>
        </w:rPr>
        <w:t>年</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日</w:t>
      </w:r>
    </w:p>
    <w:p>
      <w:pPr>
        <w:pStyle w:val="60"/>
        <w:pageBreakBefore/>
        <w:spacing w:before="0" w:beforeAutospacing="0" w:after="0" w:afterAutospacing="0" w:line="360" w:lineRule="auto"/>
        <w:rPr>
          <w:rFonts w:ascii="宋体" w:hAnsi="宋体" w:cs="宋体"/>
          <w:color w:val="000000" w:themeColor="text1"/>
          <w:sz w:val="28"/>
          <w14:textFill>
            <w14:solidFill>
              <w14:schemeClr w14:val="tx1"/>
            </w14:solidFill>
          </w14:textFill>
        </w:rPr>
      </w:pPr>
      <w:bookmarkStart w:id="769" w:name="_Toc21241"/>
      <w:bookmarkStart w:id="770" w:name="_Toc5522"/>
      <w:bookmarkStart w:id="771" w:name="_Toc210327711"/>
      <w:bookmarkStart w:id="772" w:name="_Toc25840"/>
      <w:bookmarkStart w:id="773" w:name="_Toc195508880"/>
      <w:bookmarkStart w:id="774" w:name="_Toc336245951"/>
      <w:bookmarkStart w:id="775" w:name="_Toc210364897"/>
      <w:bookmarkStart w:id="776" w:name="_Toc276715156"/>
      <w:bookmarkStart w:id="777" w:name="_Toc12056"/>
      <w:bookmarkStart w:id="778" w:name="_Toc168287367"/>
      <w:bookmarkStart w:id="779" w:name="_Toc210355573"/>
      <w:bookmarkStart w:id="780" w:name="_Toc7084"/>
      <w:r>
        <w:rPr>
          <w:rFonts w:hint="eastAsia" w:ascii="宋体" w:hAnsi="宋体" w:cs="宋体"/>
          <w:color w:val="000000" w:themeColor="text1"/>
          <w:sz w:val="28"/>
          <w14:textFill>
            <w14:solidFill>
              <w14:schemeClr w14:val="tx1"/>
            </w14:solidFill>
          </w14:textFill>
        </w:rPr>
        <w:t>（二）投标函附录</w:t>
      </w:r>
      <w:bookmarkEnd w:id="769"/>
      <w:bookmarkEnd w:id="770"/>
      <w:bookmarkEnd w:id="771"/>
      <w:bookmarkEnd w:id="772"/>
      <w:bookmarkEnd w:id="773"/>
      <w:bookmarkEnd w:id="774"/>
      <w:bookmarkEnd w:id="775"/>
      <w:bookmarkEnd w:id="776"/>
      <w:bookmarkEnd w:id="777"/>
      <w:bookmarkEnd w:id="778"/>
      <w:bookmarkEnd w:id="779"/>
      <w:bookmarkEnd w:id="780"/>
    </w:p>
    <w:tbl>
      <w:tblPr>
        <w:tblStyle w:val="26"/>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21"/>
        <w:gridCol w:w="739"/>
        <w:gridCol w:w="1336"/>
        <w:gridCol w:w="1184"/>
        <w:gridCol w:w="32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1685" w:type="pct"/>
            <w:vAlign w:val="center"/>
          </w:tcPr>
          <w:p>
            <w:pPr>
              <w:jc w:val="center"/>
              <w:rPr>
                <w:szCs w:val="21"/>
              </w:rPr>
            </w:pPr>
            <w:r>
              <w:rPr>
                <w:rFonts w:hint="eastAsia"/>
                <w:szCs w:val="21"/>
              </w:rPr>
              <w:t>项目名称</w:t>
            </w:r>
          </w:p>
        </w:tc>
        <w:tc>
          <w:tcPr>
            <w:tcW w:w="3314" w:type="pct"/>
            <w:gridSpan w:val="4"/>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1685" w:type="pct"/>
            <w:vAlign w:val="center"/>
          </w:tcPr>
          <w:p>
            <w:pPr>
              <w:jc w:val="center"/>
              <w:rPr>
                <w:szCs w:val="21"/>
              </w:rPr>
            </w:pPr>
            <w:r>
              <w:rPr>
                <w:rFonts w:hint="eastAsia"/>
                <w:szCs w:val="21"/>
              </w:rPr>
              <w:t>投标单位名称</w:t>
            </w:r>
          </w:p>
        </w:tc>
        <w:tc>
          <w:tcPr>
            <w:tcW w:w="3314" w:type="pct"/>
            <w:gridSpan w:val="4"/>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1685" w:type="pct"/>
            <w:vAlign w:val="center"/>
          </w:tcPr>
          <w:p>
            <w:pPr>
              <w:spacing w:line="380" w:lineRule="exact"/>
              <w:jc w:val="center"/>
              <w:rPr>
                <w:szCs w:val="21"/>
              </w:rPr>
            </w:pPr>
            <w:r>
              <w:rPr>
                <w:rFonts w:hint="eastAsia"/>
                <w:szCs w:val="21"/>
              </w:rPr>
              <w:t>投标内容</w:t>
            </w:r>
          </w:p>
        </w:tc>
        <w:tc>
          <w:tcPr>
            <w:tcW w:w="3314" w:type="pct"/>
            <w:gridSpan w:val="4"/>
            <w:vAlign w:val="center"/>
          </w:tcPr>
          <w:p>
            <w:pPr>
              <w:spacing w:line="380" w:lineRule="exac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atLeast"/>
          <w:jc w:val="center"/>
        </w:trPr>
        <w:tc>
          <w:tcPr>
            <w:tcW w:w="1685" w:type="pct"/>
            <w:vAlign w:val="center"/>
          </w:tcPr>
          <w:p>
            <w:pPr>
              <w:pStyle w:val="76"/>
              <w:spacing w:line="259" w:lineRule="exact"/>
              <w:ind w:firstLine="0"/>
              <w:jc w:val="center"/>
              <w:rPr>
                <w:sz w:val="21"/>
                <w:szCs w:val="21"/>
              </w:rPr>
            </w:pPr>
            <w:r>
              <w:rPr>
                <w:color w:val="000000"/>
                <w:sz w:val="21"/>
                <w:szCs w:val="21"/>
              </w:rPr>
              <w:t>投标报价</w:t>
            </w:r>
          </w:p>
        </w:tc>
        <w:tc>
          <w:tcPr>
            <w:tcW w:w="3314" w:type="pct"/>
            <w:gridSpan w:val="4"/>
            <w:vAlign w:val="center"/>
          </w:tcPr>
          <w:p>
            <w:pPr>
              <w:pStyle w:val="76"/>
              <w:tabs>
                <w:tab w:val="left" w:leader="underscore" w:pos="1781"/>
              </w:tabs>
              <w:spacing w:line="240" w:lineRule="auto"/>
              <w:ind w:firstLine="0"/>
              <w:rPr>
                <w:sz w:val="21"/>
                <w:szCs w:val="21"/>
              </w:rPr>
            </w:pPr>
            <w:r>
              <w:rPr>
                <w:color w:val="000000"/>
                <w:sz w:val="21"/>
                <w:szCs w:val="21"/>
              </w:rPr>
              <w:t>大写：</w:t>
            </w:r>
          </w:p>
          <w:p>
            <w:pPr>
              <w:pStyle w:val="76"/>
              <w:tabs>
                <w:tab w:val="left" w:leader="underscore" w:pos="1771"/>
              </w:tabs>
              <w:spacing w:line="240" w:lineRule="auto"/>
              <w:ind w:firstLine="0"/>
              <w:rPr>
                <w:sz w:val="21"/>
                <w:szCs w:val="21"/>
                <w:lang w:val="en-US" w:eastAsia="zh-CN"/>
              </w:rPr>
            </w:pPr>
            <w:r>
              <w:rPr>
                <w:color w:val="000000"/>
                <w:sz w:val="21"/>
                <w:szCs w:val="21"/>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1685" w:type="pct"/>
            <w:vAlign w:val="center"/>
          </w:tcPr>
          <w:p>
            <w:pPr>
              <w:jc w:val="center"/>
              <w:rPr>
                <w:szCs w:val="21"/>
              </w:rPr>
            </w:pPr>
            <w:r>
              <w:rPr>
                <w:rFonts w:hint="eastAsia"/>
                <w:szCs w:val="21"/>
              </w:rPr>
              <w:t>监理服务期限</w:t>
            </w:r>
          </w:p>
        </w:tc>
        <w:tc>
          <w:tcPr>
            <w:tcW w:w="3314" w:type="pct"/>
            <w:gridSpan w:val="4"/>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1685" w:type="pct"/>
            <w:vAlign w:val="center"/>
          </w:tcPr>
          <w:p>
            <w:pPr>
              <w:jc w:val="center"/>
              <w:rPr>
                <w:szCs w:val="21"/>
              </w:rPr>
            </w:pPr>
            <w:r>
              <w:rPr>
                <w:rFonts w:hint="eastAsia"/>
                <w:szCs w:val="21"/>
              </w:rPr>
              <w:t>质量</w:t>
            </w:r>
          </w:p>
        </w:tc>
        <w:tc>
          <w:tcPr>
            <w:tcW w:w="3314" w:type="pct"/>
            <w:gridSpan w:val="4"/>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1685" w:type="pct"/>
            <w:vAlign w:val="center"/>
          </w:tcPr>
          <w:p>
            <w:pPr>
              <w:jc w:val="center"/>
              <w:rPr>
                <w:szCs w:val="21"/>
              </w:rPr>
            </w:pPr>
            <w:r>
              <w:rPr>
                <w:rFonts w:hint="eastAsia"/>
                <w:szCs w:val="21"/>
              </w:rPr>
              <w:t>项目总监</w:t>
            </w:r>
          </w:p>
        </w:tc>
        <w:tc>
          <w:tcPr>
            <w:tcW w:w="375" w:type="pct"/>
            <w:vAlign w:val="center"/>
          </w:tcPr>
          <w:p>
            <w:pPr>
              <w:jc w:val="center"/>
              <w:rPr>
                <w:szCs w:val="21"/>
              </w:rPr>
            </w:pPr>
            <w:r>
              <w:rPr>
                <w:rFonts w:hint="eastAsia"/>
                <w:szCs w:val="21"/>
              </w:rPr>
              <w:t>姓名</w:t>
            </w:r>
          </w:p>
        </w:tc>
        <w:tc>
          <w:tcPr>
            <w:tcW w:w="678" w:type="pct"/>
            <w:vAlign w:val="center"/>
          </w:tcPr>
          <w:p>
            <w:pPr>
              <w:jc w:val="center"/>
              <w:rPr>
                <w:szCs w:val="21"/>
              </w:rPr>
            </w:pPr>
          </w:p>
        </w:tc>
        <w:tc>
          <w:tcPr>
            <w:tcW w:w="601" w:type="pct"/>
            <w:vAlign w:val="center"/>
          </w:tcPr>
          <w:p>
            <w:pPr>
              <w:jc w:val="center"/>
              <w:rPr>
                <w:szCs w:val="21"/>
              </w:rPr>
            </w:pPr>
            <w:r>
              <w:rPr>
                <w:rFonts w:hint="eastAsia"/>
                <w:szCs w:val="21"/>
              </w:rPr>
              <w:t>注册证书编号</w:t>
            </w:r>
          </w:p>
        </w:tc>
        <w:tc>
          <w:tcPr>
            <w:tcW w:w="1658" w:type="pct"/>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1685" w:type="pct"/>
            <w:vAlign w:val="center"/>
          </w:tcPr>
          <w:p>
            <w:pPr>
              <w:jc w:val="center"/>
              <w:rPr>
                <w:kern w:val="0"/>
                <w:szCs w:val="21"/>
              </w:rPr>
            </w:pPr>
            <w:r>
              <w:rPr>
                <w:rFonts w:hint="eastAsia"/>
                <w:szCs w:val="21"/>
              </w:rPr>
              <w:t>投标有效期</w:t>
            </w:r>
          </w:p>
        </w:tc>
        <w:tc>
          <w:tcPr>
            <w:tcW w:w="3314" w:type="pct"/>
            <w:gridSpan w:val="4"/>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4" w:hRule="atLeast"/>
          <w:jc w:val="center"/>
        </w:trPr>
        <w:tc>
          <w:tcPr>
            <w:tcW w:w="1685" w:type="pct"/>
            <w:vAlign w:val="center"/>
          </w:tcPr>
          <w:p>
            <w:pPr>
              <w:spacing w:line="460" w:lineRule="exact"/>
              <w:jc w:val="center"/>
              <w:rPr>
                <w:szCs w:val="21"/>
              </w:rPr>
            </w:pPr>
            <w:r>
              <w:rPr>
                <w:rFonts w:hint="eastAsia"/>
                <w:szCs w:val="21"/>
              </w:rPr>
              <w:t>需要说明的问题及承诺</w:t>
            </w:r>
          </w:p>
        </w:tc>
        <w:tc>
          <w:tcPr>
            <w:tcW w:w="3314" w:type="pct"/>
            <w:gridSpan w:val="4"/>
            <w:vAlign w:val="center"/>
          </w:tcPr>
          <w:p>
            <w:pPr>
              <w:spacing w:line="460" w:lineRule="exact"/>
              <w:rPr>
                <w:szCs w:val="21"/>
              </w:rPr>
            </w:pPr>
          </w:p>
        </w:tc>
      </w:tr>
    </w:tbl>
    <w:p>
      <w:pPr>
        <w:ind w:firstLine="4809" w:firstLineChars="2290"/>
        <w:rPr>
          <w:rFonts w:ascii="宋体" w:hAnsi="宋体" w:cs="宋体"/>
          <w:color w:val="000000" w:themeColor="text1"/>
          <w14:textFill>
            <w14:solidFill>
              <w14:schemeClr w14:val="tx1"/>
            </w14:solidFill>
          </w14:textFill>
        </w:rPr>
      </w:pPr>
    </w:p>
    <w:p>
      <w:pPr>
        <w:ind w:firstLine="4809" w:firstLineChars="2290"/>
        <w:rPr>
          <w:rFonts w:ascii="宋体" w:hAnsi="宋体" w:cs="宋体"/>
          <w:color w:val="000000" w:themeColor="text1"/>
          <w14:textFill>
            <w14:solidFill>
              <w14:schemeClr w14:val="tx1"/>
            </w14:solidFill>
          </w14:textFill>
        </w:rPr>
      </w:pPr>
    </w:p>
    <w:p>
      <w:pPr>
        <w:spacing w:line="360" w:lineRule="auto"/>
        <w:ind w:firstLine="2520" w:firstLineChars="1200"/>
        <w:rPr>
          <w:szCs w:val="21"/>
        </w:rPr>
      </w:pPr>
      <w:r>
        <w:rPr>
          <w:rFonts w:hint="eastAsia"/>
          <w:szCs w:val="21"/>
        </w:rPr>
        <w:t>投标人：</w:t>
      </w:r>
      <w:r>
        <w:rPr>
          <w:rFonts w:hint="eastAsia"/>
          <w:szCs w:val="21"/>
          <w:u w:val="single"/>
        </w:rPr>
        <w:t xml:space="preserve">                </w:t>
      </w:r>
      <w:r>
        <w:rPr>
          <w:rFonts w:hint="eastAsia"/>
          <w:szCs w:val="21"/>
        </w:rPr>
        <w:t>（企业电子签章或盖公章）</w:t>
      </w:r>
    </w:p>
    <w:p>
      <w:pPr>
        <w:spacing w:line="360" w:lineRule="auto"/>
        <w:jc w:val="right"/>
        <w:rPr>
          <w:szCs w:val="21"/>
        </w:rPr>
      </w:pPr>
      <w:r>
        <w:rPr>
          <w:rFonts w:hint="eastAsia"/>
          <w:szCs w:val="21"/>
        </w:rPr>
        <w:t>法定代表人或其委托代理人：</w:t>
      </w:r>
      <w:r>
        <w:rPr>
          <w:rFonts w:hint="eastAsia"/>
          <w:szCs w:val="21"/>
          <w:u w:val="single"/>
        </w:rPr>
        <w:t xml:space="preserve">       </w:t>
      </w:r>
      <w:r>
        <w:rPr>
          <w:rFonts w:hint="eastAsia"/>
          <w:szCs w:val="21"/>
        </w:rPr>
        <w:t>（个人电子签章或签字）</w:t>
      </w:r>
    </w:p>
    <w:p>
      <w:pPr>
        <w:spacing w:line="360" w:lineRule="auto"/>
        <w:ind w:firstLine="4515" w:firstLineChars="2150"/>
        <w:rPr>
          <w:szCs w:val="21"/>
        </w:rPr>
      </w:pP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日</w:t>
      </w:r>
    </w:p>
    <w:p>
      <w:pPr>
        <w:pStyle w:val="64"/>
        <w:pageBreakBefore/>
        <w:jc w:val="center"/>
        <w:rPr>
          <w:rFonts w:ascii="宋体" w:cs="宋体"/>
          <w:color w:val="000000" w:themeColor="text1"/>
          <w:sz w:val="32"/>
          <w14:textFill>
            <w14:solidFill>
              <w14:schemeClr w14:val="tx1"/>
            </w14:solidFill>
          </w14:textFill>
        </w:rPr>
      </w:pPr>
      <w:bookmarkStart w:id="781" w:name="_Toc210364898"/>
      <w:bookmarkStart w:id="782" w:name="_Toc195508881"/>
      <w:bookmarkStart w:id="783" w:name="_Toc31526"/>
      <w:bookmarkStart w:id="784" w:name="_Toc168287368"/>
      <w:bookmarkStart w:id="785" w:name="_Toc28246"/>
      <w:bookmarkStart w:id="786" w:name="_Toc28684"/>
      <w:bookmarkStart w:id="787" w:name="_Toc277917706"/>
      <w:bookmarkStart w:id="788" w:name="_Toc336245952"/>
      <w:bookmarkStart w:id="789" w:name="_Toc276715157"/>
      <w:bookmarkStart w:id="790" w:name="_Toc210355574"/>
      <w:bookmarkStart w:id="791" w:name="_Toc210327712"/>
      <w:r>
        <w:rPr>
          <w:rFonts w:hint="eastAsia" w:ascii="宋体" w:cs="宋体"/>
          <w:color w:val="000000" w:themeColor="text1"/>
          <w:sz w:val="32"/>
          <w14:textFill>
            <w14:solidFill>
              <w14:schemeClr w14:val="tx1"/>
            </w14:solidFill>
          </w14:textFill>
        </w:rPr>
        <w:t>二、法定代表人身份证明</w:t>
      </w:r>
      <w:bookmarkEnd w:id="781"/>
      <w:bookmarkEnd w:id="782"/>
      <w:bookmarkEnd w:id="783"/>
      <w:bookmarkEnd w:id="784"/>
      <w:bookmarkEnd w:id="785"/>
      <w:bookmarkEnd w:id="786"/>
      <w:bookmarkEnd w:id="787"/>
      <w:bookmarkEnd w:id="788"/>
      <w:bookmarkEnd w:id="789"/>
      <w:bookmarkEnd w:id="790"/>
      <w:bookmarkEnd w:id="791"/>
    </w:p>
    <w:p>
      <w:pPr>
        <w:spacing w:line="440" w:lineRule="exact"/>
        <w:rPr>
          <w:rFonts w:ascii="宋体" w:hAnsi="宋体" w:cs="宋体"/>
          <w:color w:val="000000" w:themeColor="text1"/>
          <w14:textFill>
            <w14:solidFill>
              <w14:schemeClr w14:val="tx1"/>
            </w14:solidFill>
          </w14:textFill>
        </w:rPr>
      </w:pPr>
    </w:p>
    <w:p>
      <w:pPr>
        <w:spacing w:line="360" w:lineRule="auto"/>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投标人名称：</w:t>
      </w:r>
      <w:r>
        <w:rPr>
          <w:rFonts w:hint="eastAsia" w:ascii="宋体" w:hAnsi="宋体" w:cs="宋体"/>
          <w:color w:val="000000" w:themeColor="text1"/>
          <w:u w:val="single"/>
          <w14:textFill>
            <w14:solidFill>
              <w14:schemeClr w14:val="tx1"/>
            </w14:solidFill>
          </w14:textFill>
        </w:rPr>
        <w:t xml:space="preserve">                            </w:t>
      </w:r>
      <w:r>
        <w:rPr>
          <w:rFonts w:hint="eastAsia" w:ascii="宋体" w:hAnsi="宋体" w:cs="宋体"/>
          <w:color w:val="000000" w:themeColor="text1"/>
          <w14:textFill>
            <w14:solidFill>
              <w14:schemeClr w14:val="tx1"/>
            </w14:solidFill>
          </w14:textFill>
        </w:rPr>
        <w:t xml:space="preserve"> </w:t>
      </w:r>
    </w:p>
    <w:p>
      <w:pPr>
        <w:spacing w:line="360" w:lineRule="auto"/>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单位性质：</w:t>
      </w:r>
      <w:r>
        <w:rPr>
          <w:rFonts w:hint="eastAsia" w:ascii="宋体" w:hAnsi="宋体" w:cs="宋体"/>
          <w:color w:val="000000" w:themeColor="text1"/>
          <w:u w:val="single"/>
          <w14:textFill>
            <w14:solidFill>
              <w14:schemeClr w14:val="tx1"/>
            </w14:solidFill>
          </w14:textFill>
        </w:rPr>
        <w:t xml:space="preserve">                               </w:t>
      </w:r>
      <w:r>
        <w:rPr>
          <w:rFonts w:hint="eastAsia" w:ascii="宋体" w:hAnsi="宋体" w:cs="宋体"/>
          <w:color w:val="000000" w:themeColor="text1"/>
          <w14:textFill>
            <w14:solidFill>
              <w14:schemeClr w14:val="tx1"/>
            </w14:solidFill>
          </w14:textFill>
        </w:rPr>
        <w:t xml:space="preserve"> </w:t>
      </w:r>
    </w:p>
    <w:p>
      <w:pPr>
        <w:spacing w:line="360" w:lineRule="auto"/>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地址：</w:t>
      </w:r>
      <w:r>
        <w:rPr>
          <w:rFonts w:hint="eastAsia" w:ascii="宋体" w:hAnsi="宋体" w:cs="宋体"/>
          <w:color w:val="000000" w:themeColor="text1"/>
          <w:u w:val="single"/>
          <w14:textFill>
            <w14:solidFill>
              <w14:schemeClr w14:val="tx1"/>
            </w14:solidFill>
          </w14:textFill>
        </w:rPr>
        <w:t xml:space="preserve">                                   </w:t>
      </w:r>
    </w:p>
    <w:p>
      <w:pPr>
        <w:spacing w:line="360" w:lineRule="auto"/>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成立时间：</w:t>
      </w:r>
      <w:r>
        <w:rPr>
          <w:rFonts w:hint="eastAsia" w:ascii="宋体" w:hAnsi="宋体" w:cs="宋体"/>
          <w:color w:val="000000" w:themeColor="text1"/>
          <w:u w:val="single"/>
          <w14:textFill>
            <w14:solidFill>
              <w14:schemeClr w14:val="tx1"/>
            </w14:solidFill>
          </w14:textFill>
        </w:rPr>
        <w:t xml:space="preserve">         </w:t>
      </w:r>
      <w:r>
        <w:rPr>
          <w:rFonts w:hint="eastAsia" w:ascii="宋体" w:hAnsi="宋体" w:cs="宋体"/>
          <w:color w:val="000000" w:themeColor="text1"/>
          <w14:textFill>
            <w14:solidFill>
              <w14:schemeClr w14:val="tx1"/>
            </w14:solidFill>
          </w14:textFill>
        </w:rPr>
        <w:t xml:space="preserve"> 年</w:t>
      </w:r>
      <w:r>
        <w:rPr>
          <w:rFonts w:hint="eastAsia" w:ascii="宋体" w:hAnsi="宋体" w:cs="宋体"/>
          <w:color w:val="000000" w:themeColor="text1"/>
          <w:u w:val="single"/>
          <w14:textFill>
            <w14:solidFill>
              <w14:schemeClr w14:val="tx1"/>
            </w14:solidFill>
          </w14:textFill>
        </w:rPr>
        <w:t xml:space="preserve">       </w:t>
      </w:r>
      <w:r>
        <w:rPr>
          <w:rFonts w:hint="eastAsia" w:ascii="宋体" w:hAnsi="宋体" w:cs="宋体"/>
          <w:color w:val="000000" w:themeColor="text1"/>
          <w14:textFill>
            <w14:solidFill>
              <w14:schemeClr w14:val="tx1"/>
            </w14:solidFill>
          </w14:textFill>
        </w:rPr>
        <w:t xml:space="preserve"> 月</w:t>
      </w:r>
      <w:r>
        <w:rPr>
          <w:rFonts w:hint="eastAsia" w:ascii="宋体" w:hAnsi="宋体" w:cs="宋体"/>
          <w:color w:val="000000" w:themeColor="text1"/>
          <w:u w:val="single"/>
          <w14:textFill>
            <w14:solidFill>
              <w14:schemeClr w14:val="tx1"/>
            </w14:solidFill>
          </w14:textFill>
        </w:rPr>
        <w:t xml:space="preserve">       </w:t>
      </w:r>
      <w:r>
        <w:rPr>
          <w:rFonts w:hint="eastAsia" w:ascii="宋体" w:hAnsi="宋体" w:cs="宋体"/>
          <w:color w:val="000000" w:themeColor="text1"/>
          <w14:textFill>
            <w14:solidFill>
              <w14:schemeClr w14:val="tx1"/>
            </w14:solidFill>
          </w14:textFill>
        </w:rPr>
        <w:t xml:space="preserve"> 日</w:t>
      </w:r>
    </w:p>
    <w:p>
      <w:pPr>
        <w:spacing w:line="360" w:lineRule="auto"/>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经营期限：</w:t>
      </w:r>
      <w:r>
        <w:rPr>
          <w:rFonts w:hint="eastAsia" w:ascii="宋体" w:hAnsi="宋体" w:cs="宋体"/>
          <w:color w:val="000000" w:themeColor="text1"/>
          <w:u w:val="single"/>
          <w14:textFill>
            <w14:solidFill>
              <w14:schemeClr w14:val="tx1"/>
            </w14:solidFill>
          </w14:textFill>
        </w:rPr>
        <w:t xml:space="preserve">                               </w:t>
      </w:r>
    </w:p>
    <w:p>
      <w:pPr>
        <w:spacing w:line="360" w:lineRule="auto"/>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姓名：</w:t>
      </w:r>
      <w:r>
        <w:rPr>
          <w:rFonts w:hint="eastAsia" w:ascii="宋体" w:hAnsi="宋体" w:cs="宋体"/>
          <w:color w:val="000000" w:themeColor="text1"/>
          <w:u w:val="single"/>
          <w14:textFill>
            <w14:solidFill>
              <w14:schemeClr w14:val="tx1"/>
            </w14:solidFill>
          </w14:textFill>
        </w:rPr>
        <w:t xml:space="preserve">        </w:t>
      </w:r>
      <w:r>
        <w:rPr>
          <w:rFonts w:hint="eastAsia" w:ascii="宋体" w:hAnsi="宋体" w:cs="宋体"/>
          <w:color w:val="000000" w:themeColor="text1"/>
          <w14:textFill>
            <w14:solidFill>
              <w14:schemeClr w14:val="tx1"/>
            </w14:solidFill>
          </w14:textFill>
        </w:rPr>
        <w:t xml:space="preserve"> 性别：</w:t>
      </w:r>
      <w:r>
        <w:rPr>
          <w:rFonts w:hint="eastAsia" w:ascii="宋体" w:hAnsi="宋体" w:cs="宋体"/>
          <w:color w:val="000000" w:themeColor="text1"/>
          <w:u w:val="single"/>
          <w14:textFill>
            <w14:solidFill>
              <w14:schemeClr w14:val="tx1"/>
            </w14:solidFill>
          </w14:textFill>
        </w:rPr>
        <w:t xml:space="preserve">         </w:t>
      </w:r>
      <w:r>
        <w:rPr>
          <w:rFonts w:hint="eastAsia" w:ascii="宋体" w:hAnsi="宋体" w:cs="宋体"/>
          <w:color w:val="000000" w:themeColor="text1"/>
          <w14:textFill>
            <w14:solidFill>
              <w14:schemeClr w14:val="tx1"/>
            </w14:solidFill>
          </w14:textFill>
        </w:rPr>
        <w:t xml:space="preserve"> 年龄：</w:t>
      </w:r>
      <w:r>
        <w:rPr>
          <w:rFonts w:hint="eastAsia" w:ascii="宋体" w:hAnsi="宋体" w:cs="宋体"/>
          <w:color w:val="000000" w:themeColor="text1"/>
          <w:u w:val="single"/>
          <w14:textFill>
            <w14:solidFill>
              <w14:schemeClr w14:val="tx1"/>
            </w14:solidFill>
          </w14:textFill>
        </w:rPr>
        <w:t xml:space="preserve">        </w:t>
      </w:r>
      <w:r>
        <w:rPr>
          <w:rFonts w:hint="eastAsia" w:ascii="宋体" w:hAnsi="宋体" w:cs="宋体"/>
          <w:color w:val="000000" w:themeColor="text1"/>
          <w14:textFill>
            <w14:solidFill>
              <w14:schemeClr w14:val="tx1"/>
            </w14:solidFill>
          </w14:textFill>
        </w:rPr>
        <w:t>职务：</w:t>
      </w:r>
      <w:r>
        <w:rPr>
          <w:rFonts w:hint="eastAsia" w:ascii="宋体" w:hAnsi="宋体" w:cs="宋体"/>
          <w:color w:val="000000" w:themeColor="text1"/>
          <w:u w:val="single"/>
          <w14:textFill>
            <w14:solidFill>
              <w14:schemeClr w14:val="tx1"/>
            </w14:solidFill>
          </w14:textFill>
        </w:rPr>
        <w:t xml:space="preserve">        </w:t>
      </w:r>
    </w:p>
    <w:p>
      <w:pPr>
        <w:spacing w:line="360" w:lineRule="auto"/>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系</w:t>
      </w:r>
      <w:r>
        <w:rPr>
          <w:rFonts w:hint="eastAsia" w:ascii="宋体" w:hAnsi="宋体" w:cs="宋体"/>
          <w:color w:val="000000" w:themeColor="text1"/>
          <w:u w:val="single"/>
          <w14:textFill>
            <w14:solidFill>
              <w14:schemeClr w14:val="tx1"/>
            </w14:solidFill>
          </w14:textFill>
        </w:rPr>
        <w:t xml:space="preserve">                             </w:t>
      </w:r>
      <w:r>
        <w:rPr>
          <w:rFonts w:hint="eastAsia" w:ascii="宋体" w:hAnsi="宋体" w:cs="宋体"/>
          <w:color w:val="000000" w:themeColor="text1"/>
          <w14:textFill>
            <w14:solidFill>
              <w14:schemeClr w14:val="tx1"/>
            </w14:solidFill>
          </w14:textFill>
        </w:rPr>
        <w:t xml:space="preserve"> （投标人名称）的法定代表人。</w:t>
      </w:r>
    </w:p>
    <w:p>
      <w:pPr>
        <w:spacing w:line="360" w:lineRule="auto"/>
        <w:ind w:firstLine="420" w:firstLineChars="20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特此证明。</w:t>
      </w:r>
    </w:p>
    <w:p>
      <w:pPr>
        <w:spacing w:line="360" w:lineRule="auto"/>
        <w:ind w:firstLine="420" w:firstLineChars="20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附法定代表人身份证</w:t>
      </w:r>
    </w:p>
    <w:p>
      <w:pPr>
        <w:spacing w:line="360" w:lineRule="auto"/>
        <w:rPr>
          <w:rFonts w:ascii="宋体" w:hAnsi="宋体" w:cs="宋体"/>
          <w:color w:val="000000" w:themeColor="text1"/>
          <w14:textFill>
            <w14:solidFill>
              <w14:schemeClr w14:val="tx1"/>
            </w14:solidFill>
          </w14:textFill>
        </w:rPr>
      </w:pPr>
    </w:p>
    <w:p>
      <w:pPr>
        <w:spacing w:line="360" w:lineRule="auto"/>
        <w:rPr>
          <w:rFonts w:ascii="宋体" w:hAnsi="宋体" w:cs="宋体"/>
          <w:color w:val="000000" w:themeColor="text1"/>
          <w14:textFill>
            <w14:solidFill>
              <w14:schemeClr w14:val="tx1"/>
            </w14:solidFill>
          </w14:textFill>
        </w:rPr>
      </w:pPr>
    </w:p>
    <w:p>
      <w:pPr>
        <w:spacing w:line="360" w:lineRule="auto"/>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 xml:space="preserve">                          投标人：</w:t>
      </w:r>
      <w:r>
        <w:rPr>
          <w:rFonts w:hint="eastAsia" w:ascii="宋体" w:hAnsi="宋体" w:cs="宋体"/>
          <w:color w:val="000000" w:themeColor="text1"/>
          <w:u w:val="single"/>
          <w14:textFill>
            <w14:solidFill>
              <w14:schemeClr w14:val="tx1"/>
            </w14:solidFill>
          </w14:textFill>
        </w:rPr>
        <w:t xml:space="preserve">                 </w:t>
      </w:r>
      <w:r>
        <w:rPr>
          <w:rFonts w:hint="eastAsia" w:ascii="宋体" w:hAnsi="宋体" w:cs="宋体"/>
          <w:color w:val="000000" w:themeColor="text1"/>
          <w14:textFill>
            <w14:solidFill>
              <w14:schemeClr w14:val="tx1"/>
            </w14:solidFill>
          </w14:textFill>
        </w:rPr>
        <w:t>（企业电子签章或盖公章）</w:t>
      </w:r>
    </w:p>
    <w:p>
      <w:pPr>
        <w:spacing w:line="360" w:lineRule="exact"/>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 xml:space="preserve">                                  </w:t>
      </w:r>
      <w:r>
        <w:rPr>
          <w:rFonts w:hint="eastAsia" w:ascii="宋体" w:hAnsi="宋体" w:cs="宋体"/>
          <w:color w:val="000000" w:themeColor="text1"/>
          <w:u w:val="single"/>
          <w14:textFill>
            <w14:solidFill>
              <w14:schemeClr w14:val="tx1"/>
            </w14:solidFill>
          </w14:textFill>
        </w:rPr>
        <w:t xml:space="preserve">       </w:t>
      </w:r>
      <w:r>
        <w:rPr>
          <w:rFonts w:hint="eastAsia" w:ascii="宋体" w:hAnsi="宋体" w:cs="宋体"/>
          <w:color w:val="000000" w:themeColor="text1"/>
          <w14:textFill>
            <w14:solidFill>
              <w14:schemeClr w14:val="tx1"/>
            </w14:solidFill>
          </w14:textFill>
        </w:rPr>
        <w:t>年</w:t>
      </w:r>
      <w:r>
        <w:rPr>
          <w:rFonts w:hint="eastAsia" w:ascii="宋体" w:hAnsi="宋体" w:cs="宋体"/>
          <w:color w:val="000000" w:themeColor="text1"/>
          <w:u w:val="single"/>
          <w14:textFill>
            <w14:solidFill>
              <w14:schemeClr w14:val="tx1"/>
            </w14:solidFill>
          </w14:textFill>
        </w:rPr>
        <w:t xml:space="preserve">       </w:t>
      </w:r>
      <w:r>
        <w:rPr>
          <w:rFonts w:hint="eastAsia" w:ascii="宋体" w:hAnsi="宋体" w:cs="宋体"/>
          <w:color w:val="000000" w:themeColor="text1"/>
          <w14:textFill>
            <w14:solidFill>
              <w14:schemeClr w14:val="tx1"/>
            </w14:solidFill>
          </w14:textFill>
        </w:rPr>
        <w:t>月</w:t>
      </w:r>
      <w:r>
        <w:rPr>
          <w:rFonts w:hint="eastAsia" w:ascii="宋体" w:hAnsi="宋体" w:cs="宋体"/>
          <w:color w:val="000000" w:themeColor="text1"/>
          <w:u w:val="single"/>
          <w14:textFill>
            <w14:solidFill>
              <w14:schemeClr w14:val="tx1"/>
            </w14:solidFill>
          </w14:textFill>
        </w:rPr>
        <w:t xml:space="preserve">       </w:t>
      </w:r>
      <w:r>
        <w:rPr>
          <w:rFonts w:hint="eastAsia" w:ascii="宋体" w:hAnsi="宋体" w:cs="宋体"/>
          <w:color w:val="000000" w:themeColor="text1"/>
          <w14:textFill>
            <w14:solidFill>
              <w14:schemeClr w14:val="tx1"/>
            </w14:solidFill>
          </w14:textFill>
        </w:rPr>
        <w:t>日</w:t>
      </w:r>
    </w:p>
    <w:p>
      <w:pPr>
        <w:spacing w:line="360" w:lineRule="exact"/>
        <w:rPr>
          <w:rFonts w:ascii="宋体" w:hAnsi="宋体" w:cs="宋体"/>
          <w:color w:val="000000" w:themeColor="text1"/>
          <w14:textFill>
            <w14:solidFill>
              <w14:schemeClr w14:val="tx1"/>
            </w14:solidFill>
          </w14:textFill>
        </w:rPr>
      </w:pPr>
    </w:p>
    <w:p>
      <w:pPr>
        <w:spacing w:line="360" w:lineRule="exact"/>
        <w:rPr>
          <w:rFonts w:ascii="宋体" w:hAnsi="宋体" w:cs="宋体"/>
          <w:color w:val="000000" w:themeColor="text1"/>
          <w14:textFill>
            <w14:solidFill>
              <w14:schemeClr w14:val="tx1"/>
            </w14:solidFill>
          </w14:textFill>
        </w:rPr>
      </w:pPr>
    </w:p>
    <w:p>
      <w:pPr>
        <w:pStyle w:val="64"/>
        <w:pageBreakBefore/>
        <w:jc w:val="center"/>
        <w:rPr>
          <w:rFonts w:ascii="宋体" w:cs="宋体"/>
          <w:color w:val="000000" w:themeColor="text1"/>
          <w:sz w:val="32"/>
          <w14:textFill>
            <w14:solidFill>
              <w14:schemeClr w14:val="tx1"/>
            </w14:solidFill>
          </w14:textFill>
        </w:rPr>
      </w:pPr>
      <w:bookmarkStart w:id="792" w:name="_Toc210327714"/>
      <w:bookmarkStart w:id="793" w:name="_Toc10834"/>
      <w:bookmarkStart w:id="794" w:name="_Toc25294"/>
      <w:bookmarkStart w:id="795" w:name="_Toc336245954"/>
      <w:bookmarkStart w:id="796" w:name="_Toc168287370"/>
      <w:bookmarkStart w:id="797" w:name="_Toc13495"/>
      <w:bookmarkStart w:id="798" w:name="_Toc276715159"/>
      <w:bookmarkStart w:id="799" w:name="_Toc210355576"/>
      <w:bookmarkStart w:id="800" w:name="_Toc15252"/>
      <w:bookmarkStart w:id="801" w:name="_Toc210364900"/>
      <w:bookmarkStart w:id="802" w:name="_Toc25649"/>
      <w:bookmarkStart w:id="803" w:name="_Toc195508883"/>
      <w:r>
        <w:rPr>
          <w:rFonts w:hint="eastAsia" w:ascii="宋体" w:cs="宋体"/>
          <w:color w:val="000000" w:themeColor="text1"/>
          <w:sz w:val="32"/>
          <w14:textFill>
            <w14:solidFill>
              <w14:schemeClr w14:val="tx1"/>
            </w14:solidFill>
          </w14:textFill>
        </w:rPr>
        <w:t>三、法定代表人授权委托书</w:t>
      </w:r>
      <w:bookmarkEnd w:id="792"/>
      <w:bookmarkEnd w:id="793"/>
      <w:bookmarkEnd w:id="794"/>
      <w:bookmarkEnd w:id="795"/>
      <w:bookmarkEnd w:id="796"/>
      <w:bookmarkEnd w:id="797"/>
      <w:bookmarkEnd w:id="798"/>
      <w:bookmarkEnd w:id="799"/>
      <w:bookmarkEnd w:id="800"/>
      <w:bookmarkEnd w:id="801"/>
      <w:bookmarkEnd w:id="802"/>
      <w:bookmarkEnd w:id="803"/>
    </w:p>
    <w:p>
      <w:pPr>
        <w:spacing w:line="360" w:lineRule="exact"/>
        <w:ind w:firstLine="403" w:firstLineChars="192"/>
        <w:rPr>
          <w:rFonts w:ascii="宋体" w:hAnsi="宋体" w:cs="宋体"/>
          <w:color w:val="000000" w:themeColor="text1"/>
          <w14:textFill>
            <w14:solidFill>
              <w14:schemeClr w14:val="tx1"/>
            </w14:solidFill>
          </w14:textFill>
        </w:rPr>
      </w:pPr>
    </w:p>
    <w:p>
      <w:pPr>
        <w:spacing w:line="360" w:lineRule="exact"/>
        <w:ind w:firstLine="504" w:firstLineChars="24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本人</w:t>
      </w:r>
      <w:r>
        <w:rPr>
          <w:rFonts w:hint="eastAsia" w:ascii="宋体" w:hAnsi="宋体" w:cs="宋体"/>
          <w:color w:val="000000" w:themeColor="text1"/>
          <w:u w:val="single"/>
          <w:lang w:val="en-US" w:eastAsia="zh-CN"/>
          <w14:textFill>
            <w14:solidFill>
              <w14:schemeClr w14:val="tx1"/>
            </w14:solidFill>
          </w14:textFill>
        </w:rPr>
        <w:t xml:space="preserve">               </w:t>
      </w:r>
      <w:r>
        <w:rPr>
          <w:rFonts w:hint="eastAsia" w:ascii="宋体" w:hAnsi="宋体" w:cs="宋体"/>
          <w:color w:val="000000" w:themeColor="text1"/>
          <w14:textFill>
            <w14:solidFill>
              <w14:schemeClr w14:val="tx1"/>
            </w14:solidFill>
          </w14:textFill>
        </w:rPr>
        <w:t>（姓名）系</w:t>
      </w:r>
      <w:r>
        <w:rPr>
          <w:rFonts w:hint="eastAsia" w:ascii="宋体" w:hAnsi="宋体" w:cs="宋体"/>
          <w:color w:val="000000" w:themeColor="text1"/>
          <w:u w:val="single"/>
          <w:lang w:val="en-US" w:eastAsia="zh-CN"/>
          <w14:textFill>
            <w14:solidFill>
              <w14:schemeClr w14:val="tx1"/>
            </w14:solidFill>
          </w14:textFill>
        </w:rPr>
        <w:t xml:space="preserve">               </w:t>
      </w:r>
      <w:r>
        <w:rPr>
          <w:rFonts w:hint="eastAsia" w:ascii="宋体" w:hAnsi="宋体" w:cs="宋体"/>
          <w:color w:val="000000" w:themeColor="text1"/>
          <w14:textFill>
            <w14:solidFill>
              <w14:schemeClr w14:val="tx1"/>
            </w14:solidFill>
          </w14:textFill>
        </w:rPr>
        <w:t>（投标人名称）的法定代表人，现委托</w:t>
      </w:r>
      <w:r>
        <w:rPr>
          <w:rFonts w:hint="eastAsia" w:ascii="宋体" w:hAnsi="宋体" w:cs="宋体"/>
          <w:color w:val="000000" w:themeColor="text1"/>
          <w:u w:val="single"/>
          <w:lang w:val="en-US" w:eastAsia="zh-CN"/>
          <w14:textFill>
            <w14:solidFill>
              <w14:schemeClr w14:val="tx1"/>
            </w14:solidFill>
          </w14:textFill>
        </w:rPr>
        <w:t xml:space="preserve">               </w:t>
      </w:r>
      <w:r>
        <w:rPr>
          <w:rFonts w:hint="eastAsia" w:ascii="宋体" w:hAnsi="宋体" w:cs="宋体"/>
          <w:color w:val="000000" w:themeColor="text1"/>
          <w14:textFill>
            <w14:solidFill>
              <w14:schemeClr w14:val="tx1"/>
            </w14:solidFill>
          </w14:textFill>
        </w:rPr>
        <w:t>（姓名）作为我方代理人。代理人根据授权，以我方名义签署、澄清、说明、补正、递交、撤回、修改</w:t>
      </w:r>
      <w:r>
        <w:rPr>
          <w:rFonts w:hint="eastAsia" w:ascii="宋体" w:hAnsi="宋体" w:cs="宋体"/>
          <w:color w:val="000000" w:themeColor="text1"/>
          <w:u w:val="single"/>
          <w:lang w:val="en-US" w:eastAsia="zh-CN"/>
          <w14:textFill>
            <w14:solidFill>
              <w14:schemeClr w14:val="tx1"/>
            </w14:solidFill>
          </w14:textFill>
        </w:rPr>
        <w:t xml:space="preserve">               </w:t>
      </w:r>
      <w:r>
        <w:rPr>
          <w:rFonts w:hint="eastAsia" w:ascii="宋体" w:hAnsi="宋体" w:cs="宋体"/>
          <w:color w:val="000000" w:themeColor="text1"/>
          <w14:textFill>
            <w14:solidFill>
              <w14:schemeClr w14:val="tx1"/>
            </w14:solidFill>
          </w14:textFill>
        </w:rPr>
        <w:t>（项目名称）投标文件、签订合同和处理有关事宜，其法律后果由我方承担。</w:t>
      </w:r>
    </w:p>
    <w:p>
      <w:pPr>
        <w:spacing w:line="360" w:lineRule="exact"/>
        <w:ind w:firstLine="403" w:firstLineChars="192"/>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委托期限：</w:t>
      </w:r>
      <w:r>
        <w:rPr>
          <w:rFonts w:hint="eastAsia" w:ascii="宋体" w:hAnsi="宋体" w:cs="宋体"/>
          <w:color w:val="000000" w:themeColor="text1"/>
          <w:u w:val="single"/>
          <w:lang w:val="en-US" w:eastAsia="zh-CN"/>
          <w14:textFill>
            <w14:solidFill>
              <w14:schemeClr w14:val="tx1"/>
            </w14:solidFill>
          </w14:textFill>
        </w:rPr>
        <w:t xml:space="preserve">               </w:t>
      </w:r>
      <w:r>
        <w:rPr>
          <w:rFonts w:hint="eastAsia" w:ascii="宋体" w:hAnsi="宋体" w:cs="宋体"/>
          <w:color w:val="000000" w:themeColor="text1"/>
          <w14:textFill>
            <w14:solidFill>
              <w14:schemeClr w14:val="tx1"/>
            </w14:solidFill>
          </w14:textFill>
        </w:rPr>
        <w:t>。</w:t>
      </w:r>
    </w:p>
    <w:p>
      <w:pPr>
        <w:spacing w:line="360" w:lineRule="exact"/>
        <w:ind w:firstLine="403" w:firstLineChars="192"/>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代理人无权转让委托权。</w:t>
      </w:r>
    </w:p>
    <w:p>
      <w:pPr>
        <w:spacing w:line="360" w:lineRule="exact"/>
        <w:ind w:firstLine="403" w:firstLineChars="192"/>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附：法定代表人身份证扫描件</w:t>
      </w:r>
    </w:p>
    <w:p>
      <w:pPr>
        <w:spacing w:line="360" w:lineRule="exact"/>
        <w:ind w:firstLine="403" w:firstLineChars="192"/>
        <w:rPr>
          <w:rFonts w:ascii="宋体" w:hAnsi="宋体" w:cs="宋体"/>
          <w:color w:val="000000" w:themeColor="text1"/>
          <w14:textFill>
            <w14:solidFill>
              <w14:schemeClr w14:val="tx1"/>
            </w14:solidFill>
          </w14:textFill>
        </w:rPr>
      </w:pPr>
    </w:p>
    <w:p>
      <w:pPr>
        <w:spacing w:line="360" w:lineRule="exact"/>
        <w:ind w:firstLine="403" w:firstLineChars="192"/>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附：委托代理人身份证扫描件</w:t>
      </w:r>
    </w:p>
    <w:p>
      <w:pPr>
        <w:spacing w:line="360" w:lineRule="exact"/>
        <w:ind w:firstLine="403" w:firstLineChars="192"/>
        <w:rPr>
          <w:rFonts w:ascii="宋体" w:hAnsi="宋体" w:cs="宋体"/>
          <w:color w:val="000000" w:themeColor="text1"/>
          <w14:textFill>
            <w14:solidFill>
              <w14:schemeClr w14:val="tx1"/>
            </w14:solidFill>
          </w14:textFill>
        </w:rPr>
      </w:pPr>
    </w:p>
    <w:p>
      <w:pPr>
        <w:spacing w:line="360" w:lineRule="exact"/>
        <w:ind w:firstLine="403" w:firstLineChars="192"/>
        <w:rPr>
          <w:rFonts w:ascii="宋体" w:hAnsi="宋体" w:cs="宋体"/>
          <w:color w:val="000000" w:themeColor="text1"/>
          <w14:textFill>
            <w14:solidFill>
              <w14:schemeClr w14:val="tx1"/>
            </w14:solidFill>
          </w14:textFill>
        </w:rPr>
      </w:pPr>
    </w:p>
    <w:p>
      <w:pPr>
        <w:spacing w:line="360" w:lineRule="exact"/>
        <w:ind w:firstLine="403" w:firstLineChars="192"/>
        <w:rPr>
          <w:rFonts w:ascii="宋体" w:hAnsi="宋体" w:cs="宋体"/>
          <w:color w:val="000000" w:themeColor="text1"/>
          <w14:textFill>
            <w14:solidFill>
              <w14:schemeClr w14:val="tx1"/>
            </w14:solidFill>
          </w14:textFill>
        </w:rPr>
      </w:pPr>
    </w:p>
    <w:p>
      <w:pPr>
        <w:spacing w:line="360" w:lineRule="exact"/>
        <w:ind w:firstLine="403" w:firstLineChars="192"/>
        <w:rPr>
          <w:rFonts w:ascii="宋体" w:hAnsi="宋体" w:cs="宋体"/>
          <w:color w:val="000000" w:themeColor="text1"/>
          <w14:textFill>
            <w14:solidFill>
              <w14:schemeClr w14:val="tx1"/>
            </w14:solidFill>
          </w14:textFill>
        </w:rPr>
      </w:pPr>
    </w:p>
    <w:p>
      <w:pPr>
        <w:spacing w:line="360" w:lineRule="auto"/>
        <w:ind w:firstLine="1898" w:firstLineChars="904"/>
        <w:rPr>
          <w:szCs w:val="21"/>
        </w:rPr>
      </w:pPr>
      <w:r>
        <w:rPr>
          <w:rFonts w:hint="eastAsia"/>
          <w:szCs w:val="21"/>
        </w:rPr>
        <w:t>投标人：</w:t>
      </w:r>
      <w:r>
        <w:rPr>
          <w:rFonts w:hint="eastAsia"/>
          <w:szCs w:val="21"/>
          <w:u w:val="single"/>
        </w:rPr>
        <w:t xml:space="preserve">                          </w:t>
      </w:r>
      <w:r>
        <w:rPr>
          <w:rFonts w:hint="eastAsia"/>
          <w:szCs w:val="21"/>
        </w:rPr>
        <w:t>（企业电子签章或盖公章）</w:t>
      </w:r>
    </w:p>
    <w:p>
      <w:pPr>
        <w:spacing w:line="360" w:lineRule="auto"/>
        <w:ind w:firstLine="1898" w:firstLineChars="904"/>
        <w:rPr>
          <w:szCs w:val="21"/>
        </w:rPr>
      </w:pPr>
      <w:r>
        <w:rPr>
          <w:rFonts w:hint="eastAsia"/>
          <w:szCs w:val="21"/>
        </w:rPr>
        <w:t>法定代表人：</w:t>
      </w:r>
      <w:r>
        <w:rPr>
          <w:rFonts w:hint="eastAsia"/>
          <w:szCs w:val="21"/>
          <w:u w:val="single"/>
        </w:rPr>
        <w:t xml:space="preserve">                     </w:t>
      </w:r>
      <w:r>
        <w:rPr>
          <w:rFonts w:hint="eastAsia"/>
          <w:szCs w:val="21"/>
        </w:rPr>
        <w:t>（个人电子签章或签字）</w:t>
      </w:r>
    </w:p>
    <w:p>
      <w:pPr>
        <w:spacing w:line="360" w:lineRule="auto"/>
        <w:ind w:firstLine="1898" w:firstLineChars="904"/>
        <w:rPr>
          <w:szCs w:val="21"/>
        </w:rPr>
      </w:pPr>
      <w:r>
        <w:rPr>
          <w:rFonts w:hint="eastAsia"/>
          <w:szCs w:val="21"/>
        </w:rPr>
        <w:t>身份证号码：</w:t>
      </w:r>
      <w:r>
        <w:rPr>
          <w:rFonts w:hint="eastAsia"/>
          <w:szCs w:val="21"/>
          <w:u w:val="single"/>
        </w:rPr>
        <w:t xml:space="preserve">                                </w:t>
      </w:r>
    </w:p>
    <w:p>
      <w:pPr>
        <w:spacing w:line="360" w:lineRule="auto"/>
        <w:ind w:firstLine="1898" w:firstLineChars="904"/>
        <w:rPr>
          <w:szCs w:val="21"/>
        </w:rPr>
      </w:pPr>
      <w:r>
        <w:rPr>
          <w:rFonts w:hint="eastAsia"/>
          <w:szCs w:val="21"/>
        </w:rPr>
        <w:t>委托代理人：</w:t>
      </w:r>
      <w:r>
        <w:rPr>
          <w:rFonts w:hint="eastAsia"/>
          <w:szCs w:val="21"/>
          <w:u w:val="single"/>
        </w:rPr>
        <w:t xml:space="preserve">                      </w:t>
      </w:r>
      <w:r>
        <w:rPr>
          <w:rFonts w:hint="eastAsia"/>
          <w:szCs w:val="21"/>
        </w:rPr>
        <w:t>（个人电子签章或签字）</w:t>
      </w:r>
    </w:p>
    <w:p>
      <w:pPr>
        <w:spacing w:line="360" w:lineRule="auto"/>
        <w:ind w:firstLine="1898" w:firstLineChars="904"/>
        <w:rPr>
          <w:szCs w:val="21"/>
          <w:u w:val="single"/>
        </w:rPr>
      </w:pPr>
      <w:r>
        <w:rPr>
          <w:rFonts w:hint="eastAsia"/>
          <w:szCs w:val="21"/>
        </w:rPr>
        <w:t>身份证号码：</w:t>
      </w:r>
      <w:r>
        <w:rPr>
          <w:rFonts w:hint="eastAsia"/>
          <w:szCs w:val="21"/>
          <w:u w:val="single"/>
        </w:rPr>
        <w:t xml:space="preserve">                                </w:t>
      </w:r>
    </w:p>
    <w:p>
      <w:pPr>
        <w:spacing w:line="360" w:lineRule="auto"/>
        <w:ind w:firstLine="1898" w:firstLineChars="904"/>
        <w:rPr>
          <w:rFonts w:ascii="宋体" w:hAnsi="宋体" w:cs="宋体"/>
          <w:color w:val="000000" w:themeColor="text1"/>
          <w14:textFill>
            <w14:solidFill>
              <w14:schemeClr w14:val="tx1"/>
            </w14:solidFill>
          </w14:textFill>
        </w:rPr>
      </w:pPr>
      <w:r>
        <w:rPr>
          <w:rFonts w:hint="eastAsia"/>
          <w:szCs w:val="21"/>
          <w:u w:val="single"/>
        </w:rPr>
        <w:t xml:space="preserve">        </w:t>
      </w:r>
      <w:r>
        <w:rPr>
          <w:rFonts w:hint="eastAsia" w:ascii="宋体" w:hAnsi="宋体" w:cs="宋体"/>
          <w:color w:val="000000" w:themeColor="text1"/>
          <w14:textFill>
            <w14:solidFill>
              <w14:schemeClr w14:val="tx1"/>
            </w14:solidFill>
          </w14:textFill>
        </w:rPr>
        <w:t>年</w:t>
      </w:r>
      <w:r>
        <w:rPr>
          <w:rFonts w:hint="eastAsia"/>
          <w:szCs w:val="21"/>
          <w:u w:val="single"/>
        </w:rPr>
        <w:t xml:space="preserve">        </w:t>
      </w:r>
      <w:r>
        <w:rPr>
          <w:rFonts w:hint="eastAsia" w:ascii="宋体" w:hAnsi="宋体" w:cs="宋体"/>
          <w:color w:val="000000" w:themeColor="text1"/>
          <w14:textFill>
            <w14:solidFill>
              <w14:schemeClr w14:val="tx1"/>
            </w14:solidFill>
          </w14:textFill>
        </w:rPr>
        <w:t>月</w:t>
      </w:r>
      <w:r>
        <w:rPr>
          <w:rFonts w:hint="eastAsia"/>
          <w:szCs w:val="21"/>
          <w:u w:val="single"/>
        </w:rPr>
        <w:t xml:space="preserve">        </w:t>
      </w:r>
      <w:r>
        <w:rPr>
          <w:rFonts w:hint="eastAsia" w:ascii="宋体" w:hAnsi="宋体" w:cs="宋体"/>
          <w:color w:val="000000" w:themeColor="text1"/>
          <w14:textFill>
            <w14:solidFill>
              <w14:schemeClr w14:val="tx1"/>
            </w14:solidFill>
          </w14:textFill>
        </w:rPr>
        <w:t>日</w:t>
      </w:r>
    </w:p>
    <w:p>
      <w:pPr>
        <w:pStyle w:val="64"/>
        <w:pageBreakBefore/>
        <w:jc w:val="center"/>
        <w:rPr>
          <w:rFonts w:ascii="宋体" w:cs="宋体"/>
          <w:color w:val="000000" w:themeColor="text1"/>
          <w:sz w:val="32"/>
          <w14:textFill>
            <w14:solidFill>
              <w14:schemeClr w14:val="tx1"/>
            </w14:solidFill>
          </w14:textFill>
        </w:rPr>
      </w:pPr>
      <w:bookmarkStart w:id="804" w:name="_Toc11214"/>
      <w:bookmarkStart w:id="805" w:name="_Toc14104"/>
      <w:bookmarkStart w:id="806" w:name="_Toc6128"/>
      <w:r>
        <w:rPr>
          <w:rFonts w:hint="eastAsia" w:ascii="宋体" w:cs="宋体"/>
          <w:color w:val="000000" w:themeColor="text1"/>
          <w:sz w:val="32"/>
          <w14:textFill>
            <w14:solidFill>
              <w14:schemeClr w14:val="tx1"/>
            </w14:solidFill>
          </w14:textFill>
        </w:rPr>
        <w:t>四、投标保证金</w:t>
      </w:r>
      <w:bookmarkEnd w:id="804"/>
      <w:bookmarkEnd w:id="805"/>
      <w:bookmarkEnd w:id="806"/>
      <w:r>
        <w:rPr>
          <w:rFonts w:hint="eastAsia" w:ascii="宋体" w:cs="宋体"/>
          <w:color w:val="000000" w:themeColor="text1"/>
          <w:sz w:val="32"/>
          <w14:textFill>
            <w14:solidFill>
              <w14:schemeClr w14:val="tx1"/>
            </w14:solidFill>
          </w14:textFill>
        </w:rPr>
        <w:t>交付证明</w:t>
      </w:r>
    </w:p>
    <w:p>
      <w:pPr>
        <w:spacing w:line="360" w:lineRule="exact"/>
        <w:ind w:firstLine="1960" w:firstLineChars="700"/>
        <w:rPr>
          <w:rStyle w:val="58"/>
          <w:rFonts w:ascii="宋体" w:hAnsi="宋体" w:eastAsia="宋体" w:cs="宋体"/>
          <w:color w:val="000000" w:themeColor="text1"/>
          <w14:textFill>
            <w14:solidFill>
              <w14:schemeClr w14:val="tx1"/>
            </w14:solidFill>
          </w14:textFill>
        </w:rPr>
      </w:pPr>
    </w:p>
    <w:p>
      <w:pPr>
        <w:spacing w:line="500" w:lineRule="exact"/>
        <w:ind w:firstLine="1960" w:firstLineChars="700"/>
        <w:rPr>
          <w:rStyle w:val="58"/>
          <w:rFonts w:ascii="宋体" w:hAnsi="宋体" w:eastAsia="宋体" w:cs="宋体"/>
          <w:color w:val="000000" w:themeColor="text1"/>
          <w14:textFill>
            <w14:solidFill>
              <w14:schemeClr w14:val="tx1"/>
            </w14:solidFill>
          </w14:textFill>
        </w:rPr>
      </w:pPr>
    </w:p>
    <w:p>
      <w:pPr>
        <w:spacing w:line="360" w:lineRule="exact"/>
        <w:ind w:firstLine="1960" w:firstLineChars="700"/>
        <w:rPr>
          <w:rStyle w:val="58"/>
          <w:rFonts w:ascii="宋体" w:hAnsi="宋体" w:eastAsia="宋体" w:cs="宋体"/>
          <w:color w:val="000000" w:themeColor="text1"/>
          <w14:textFill>
            <w14:solidFill>
              <w14:schemeClr w14:val="tx1"/>
            </w14:solidFill>
          </w14:textFill>
        </w:rPr>
      </w:pPr>
    </w:p>
    <w:p>
      <w:pPr>
        <w:spacing w:line="360" w:lineRule="auto"/>
        <w:jc w:val="center"/>
        <w:rPr>
          <w:rFonts w:hint="eastAsia" w:ascii="宋体" w:hAnsi="宋体" w:cs="宋体"/>
          <w:b/>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附投标人投标保证金银行交款凭证或保函</w:t>
      </w:r>
      <w:r>
        <w:rPr>
          <w:rFonts w:hint="eastAsia" w:ascii="宋体" w:hAnsi="宋体" w:cs="宋体"/>
          <w:b/>
          <w:color w:val="000000" w:themeColor="text1"/>
          <w:szCs w:val="21"/>
          <w:lang w:val="en-US" w:eastAsia="zh-CN"/>
          <w14:textFill>
            <w14:solidFill>
              <w14:schemeClr w14:val="tx1"/>
            </w14:solidFill>
          </w14:textFill>
        </w:rPr>
        <w:t>或电子保函</w:t>
      </w:r>
      <w:r>
        <w:rPr>
          <w:rFonts w:hint="eastAsia" w:ascii="宋体" w:hAnsi="宋体" w:cs="宋体"/>
          <w:b/>
          <w:color w:val="000000" w:themeColor="text1"/>
          <w:szCs w:val="21"/>
          <w14:textFill>
            <w14:solidFill>
              <w14:schemeClr w14:val="tx1"/>
            </w14:solidFill>
          </w14:textFill>
        </w:rPr>
        <w:t>的扫描件。</w:t>
      </w:r>
    </w:p>
    <w:p>
      <w:pPr>
        <w:spacing w:line="360" w:lineRule="auto"/>
        <w:jc w:val="center"/>
        <w:rPr>
          <w:rFonts w:ascii="宋体" w:hAnsi="宋体" w:cs="宋体"/>
          <w:b/>
          <w:color w:val="000000" w:themeColor="text1"/>
          <w:szCs w:val="21"/>
          <w14:textFill>
            <w14:solidFill>
              <w14:schemeClr w14:val="tx1"/>
            </w14:solidFill>
          </w14:textFill>
        </w:rPr>
      </w:pPr>
    </w:p>
    <w:p>
      <w:pPr>
        <w:pStyle w:val="6"/>
        <w:pageBreakBefore/>
        <w:kinsoku w:val="0"/>
        <w:overflowPunct w:val="0"/>
        <w:spacing w:line="441" w:lineRule="exact"/>
        <w:ind w:left="6"/>
        <w:jc w:val="center"/>
        <w:rPr>
          <w:rFonts w:ascii="宋体" w:hAnsi="宋体" w:cs="宋体"/>
          <w:spacing w:val="2"/>
          <w:sz w:val="32"/>
          <w:szCs w:val="24"/>
        </w:rPr>
      </w:pPr>
      <w:r>
        <w:rPr>
          <w:rFonts w:hint="eastAsia" w:ascii="宋体" w:hAnsi="宋体" w:cs="宋体"/>
          <w:spacing w:val="2"/>
          <w:sz w:val="32"/>
          <w:szCs w:val="24"/>
        </w:rPr>
        <w:t>五、监理大纲</w:t>
      </w:r>
    </w:p>
    <w:p>
      <w:pPr>
        <w:pStyle w:val="2"/>
        <w:kinsoku w:val="0"/>
        <w:overflowPunct w:val="0"/>
        <w:spacing w:line="440" w:lineRule="exact"/>
        <w:jc w:val="center"/>
        <w:rPr>
          <w:rFonts w:ascii="宋体" w:hAnsi="宋体" w:eastAsia="宋体" w:cs="宋体"/>
          <w:sz w:val="21"/>
          <w:szCs w:val="24"/>
        </w:rPr>
      </w:pPr>
    </w:p>
    <w:p>
      <w:pPr>
        <w:pStyle w:val="2"/>
        <w:kinsoku w:val="0"/>
        <w:overflowPunct w:val="0"/>
        <w:spacing w:line="440" w:lineRule="exact"/>
        <w:jc w:val="center"/>
        <w:rPr>
          <w:rFonts w:ascii="宋体" w:hAnsi="宋体" w:eastAsia="宋体" w:cs="宋体"/>
          <w:sz w:val="21"/>
          <w:szCs w:val="24"/>
        </w:rPr>
      </w:pPr>
      <w:r>
        <w:rPr>
          <w:rFonts w:hint="eastAsia" w:ascii="宋体" w:hAnsi="宋体" w:eastAsia="宋体" w:cs="宋体"/>
          <w:sz w:val="21"/>
          <w:szCs w:val="24"/>
        </w:rPr>
        <w:t>（格式自拟）</w:t>
      </w:r>
    </w:p>
    <w:p>
      <w:pPr>
        <w:pStyle w:val="6"/>
        <w:pageBreakBefore/>
        <w:kinsoku w:val="0"/>
        <w:overflowPunct w:val="0"/>
        <w:spacing w:line="441" w:lineRule="exact"/>
        <w:ind w:left="6"/>
        <w:jc w:val="center"/>
        <w:rPr>
          <w:rFonts w:ascii="宋体" w:hAnsi="宋体" w:cs="宋体"/>
          <w:spacing w:val="2"/>
          <w:sz w:val="32"/>
          <w:szCs w:val="24"/>
        </w:rPr>
      </w:pPr>
      <w:bookmarkStart w:id="807" w:name="_Toc4504"/>
      <w:r>
        <w:rPr>
          <w:rFonts w:hint="eastAsia" w:ascii="宋体" w:hAnsi="宋体" w:cs="宋体"/>
          <w:spacing w:val="2"/>
          <w:sz w:val="32"/>
          <w:szCs w:val="24"/>
        </w:rPr>
        <w:t>六、项目管理机构</w:t>
      </w:r>
      <w:bookmarkEnd w:id="807"/>
    </w:p>
    <w:p>
      <w:pPr>
        <w:pStyle w:val="60"/>
        <w:spacing w:before="0" w:beforeAutospacing="0" w:after="0" w:afterAutospacing="0" w:line="360" w:lineRule="auto"/>
        <w:rPr>
          <w:rFonts w:ascii="宋体" w:hAnsi="宋体" w:cs="宋体"/>
          <w:color w:val="000000" w:themeColor="text1"/>
          <w:sz w:val="28"/>
          <w14:textFill>
            <w14:solidFill>
              <w14:schemeClr w14:val="tx1"/>
            </w14:solidFill>
          </w14:textFill>
        </w:rPr>
      </w:pPr>
      <w:bookmarkStart w:id="808" w:name="_Toc282853983"/>
      <w:r>
        <w:rPr>
          <w:rFonts w:hint="eastAsia" w:ascii="宋体" w:hAnsi="宋体" w:cs="宋体"/>
          <w:color w:val="000000" w:themeColor="text1"/>
          <w:sz w:val="28"/>
          <w14:textFill>
            <w14:solidFill>
              <w14:schemeClr w14:val="tx1"/>
            </w14:solidFill>
          </w14:textFill>
        </w:rPr>
        <w:t>（一）项目管理机构组成表</w:t>
      </w:r>
      <w:bookmarkEnd w:id="808"/>
    </w:p>
    <w:tbl>
      <w:tblPr>
        <w:tblStyle w:val="26"/>
        <w:tblW w:w="44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8"/>
        <w:gridCol w:w="979"/>
        <w:gridCol w:w="1199"/>
        <w:gridCol w:w="1585"/>
        <w:gridCol w:w="990"/>
        <w:gridCol w:w="1049"/>
        <w:gridCol w:w="1155"/>
        <w:gridCol w:w="18"/>
        <w:gridCol w:w="9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540" w:type="pct"/>
            <w:vMerge w:val="restart"/>
            <w:vAlign w:val="center"/>
          </w:tcPr>
          <w:p>
            <w:pPr>
              <w:jc w:val="center"/>
              <w:rPr>
                <w:szCs w:val="21"/>
              </w:rPr>
            </w:pPr>
            <w:r>
              <w:rPr>
                <w:rFonts w:hint="eastAsia"/>
                <w:szCs w:val="21"/>
              </w:rPr>
              <w:t>职务</w:t>
            </w:r>
          </w:p>
        </w:tc>
        <w:tc>
          <w:tcPr>
            <w:tcW w:w="552" w:type="pct"/>
            <w:vMerge w:val="restart"/>
            <w:vAlign w:val="center"/>
          </w:tcPr>
          <w:p>
            <w:pPr>
              <w:jc w:val="center"/>
              <w:rPr>
                <w:szCs w:val="21"/>
              </w:rPr>
            </w:pPr>
            <w:r>
              <w:rPr>
                <w:rFonts w:hint="eastAsia"/>
                <w:szCs w:val="21"/>
              </w:rPr>
              <w:t>姓名</w:t>
            </w:r>
          </w:p>
        </w:tc>
        <w:tc>
          <w:tcPr>
            <w:tcW w:w="676" w:type="pct"/>
            <w:vMerge w:val="restart"/>
            <w:vAlign w:val="center"/>
          </w:tcPr>
          <w:p>
            <w:pPr>
              <w:jc w:val="center"/>
              <w:rPr>
                <w:szCs w:val="21"/>
              </w:rPr>
            </w:pPr>
            <w:r>
              <w:rPr>
                <w:rFonts w:hint="eastAsia"/>
                <w:szCs w:val="21"/>
              </w:rPr>
              <w:t>职称</w:t>
            </w:r>
          </w:p>
        </w:tc>
        <w:tc>
          <w:tcPr>
            <w:tcW w:w="2703" w:type="pct"/>
            <w:gridSpan w:val="5"/>
            <w:vAlign w:val="center"/>
          </w:tcPr>
          <w:p>
            <w:pPr>
              <w:jc w:val="center"/>
              <w:rPr>
                <w:szCs w:val="21"/>
              </w:rPr>
            </w:pPr>
            <w:r>
              <w:rPr>
                <w:rFonts w:hint="eastAsia"/>
                <w:szCs w:val="21"/>
              </w:rPr>
              <w:t>执业或职业资格证明</w:t>
            </w:r>
          </w:p>
        </w:tc>
        <w:tc>
          <w:tcPr>
            <w:tcW w:w="526" w:type="pct"/>
            <w:vAlign w:val="center"/>
          </w:tcPr>
          <w:p>
            <w:pPr>
              <w:jc w:val="center"/>
              <w:rPr>
                <w:szCs w:val="21"/>
              </w:rPr>
            </w:pPr>
            <w:r>
              <w:rPr>
                <w:rFonts w:hint="eastAsia"/>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540" w:type="pct"/>
            <w:vMerge w:val="continue"/>
          </w:tcPr>
          <w:p>
            <w:pPr>
              <w:rPr>
                <w:szCs w:val="21"/>
              </w:rPr>
            </w:pPr>
          </w:p>
        </w:tc>
        <w:tc>
          <w:tcPr>
            <w:tcW w:w="552" w:type="pct"/>
            <w:vMerge w:val="continue"/>
          </w:tcPr>
          <w:p>
            <w:pPr>
              <w:rPr>
                <w:szCs w:val="21"/>
              </w:rPr>
            </w:pPr>
          </w:p>
        </w:tc>
        <w:tc>
          <w:tcPr>
            <w:tcW w:w="676" w:type="pct"/>
            <w:vMerge w:val="continue"/>
          </w:tcPr>
          <w:p>
            <w:pPr>
              <w:rPr>
                <w:szCs w:val="21"/>
              </w:rPr>
            </w:pPr>
          </w:p>
        </w:tc>
        <w:tc>
          <w:tcPr>
            <w:tcW w:w="893" w:type="pct"/>
            <w:vAlign w:val="center"/>
          </w:tcPr>
          <w:p>
            <w:pPr>
              <w:jc w:val="center"/>
              <w:rPr>
                <w:szCs w:val="21"/>
              </w:rPr>
            </w:pPr>
            <w:r>
              <w:rPr>
                <w:rFonts w:hint="eastAsia"/>
                <w:szCs w:val="21"/>
              </w:rPr>
              <w:t>证书名称</w:t>
            </w:r>
          </w:p>
        </w:tc>
        <w:tc>
          <w:tcPr>
            <w:tcW w:w="558" w:type="pct"/>
            <w:vAlign w:val="center"/>
          </w:tcPr>
          <w:p>
            <w:pPr>
              <w:jc w:val="center"/>
              <w:rPr>
                <w:szCs w:val="21"/>
              </w:rPr>
            </w:pPr>
            <w:r>
              <w:rPr>
                <w:rFonts w:hint="eastAsia"/>
                <w:szCs w:val="21"/>
              </w:rPr>
              <w:t>级别</w:t>
            </w:r>
          </w:p>
        </w:tc>
        <w:tc>
          <w:tcPr>
            <w:tcW w:w="591" w:type="pct"/>
            <w:vAlign w:val="center"/>
          </w:tcPr>
          <w:p>
            <w:pPr>
              <w:jc w:val="center"/>
              <w:rPr>
                <w:szCs w:val="21"/>
              </w:rPr>
            </w:pPr>
            <w:r>
              <w:rPr>
                <w:rFonts w:hint="eastAsia"/>
                <w:szCs w:val="21"/>
              </w:rPr>
              <w:t>证号</w:t>
            </w:r>
          </w:p>
        </w:tc>
        <w:tc>
          <w:tcPr>
            <w:tcW w:w="651" w:type="pct"/>
            <w:vAlign w:val="center"/>
          </w:tcPr>
          <w:p>
            <w:pPr>
              <w:jc w:val="center"/>
              <w:rPr>
                <w:szCs w:val="21"/>
              </w:rPr>
            </w:pPr>
            <w:r>
              <w:rPr>
                <w:rFonts w:hint="eastAsia"/>
                <w:szCs w:val="21"/>
              </w:rPr>
              <w:t>专业</w:t>
            </w:r>
          </w:p>
        </w:tc>
        <w:tc>
          <w:tcPr>
            <w:tcW w:w="533" w:type="pct"/>
            <w:gridSpan w:val="2"/>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540" w:type="pct"/>
          </w:tcPr>
          <w:p>
            <w:pPr>
              <w:rPr>
                <w:szCs w:val="21"/>
              </w:rPr>
            </w:pPr>
          </w:p>
        </w:tc>
        <w:tc>
          <w:tcPr>
            <w:tcW w:w="552" w:type="pct"/>
          </w:tcPr>
          <w:p>
            <w:pPr>
              <w:rPr>
                <w:szCs w:val="21"/>
              </w:rPr>
            </w:pPr>
          </w:p>
        </w:tc>
        <w:tc>
          <w:tcPr>
            <w:tcW w:w="676" w:type="pct"/>
          </w:tcPr>
          <w:p>
            <w:pPr>
              <w:rPr>
                <w:szCs w:val="21"/>
              </w:rPr>
            </w:pPr>
          </w:p>
        </w:tc>
        <w:tc>
          <w:tcPr>
            <w:tcW w:w="893" w:type="pct"/>
          </w:tcPr>
          <w:p>
            <w:pPr>
              <w:rPr>
                <w:szCs w:val="21"/>
              </w:rPr>
            </w:pPr>
          </w:p>
        </w:tc>
        <w:tc>
          <w:tcPr>
            <w:tcW w:w="558" w:type="pct"/>
          </w:tcPr>
          <w:p>
            <w:pPr>
              <w:rPr>
                <w:szCs w:val="21"/>
              </w:rPr>
            </w:pPr>
          </w:p>
        </w:tc>
        <w:tc>
          <w:tcPr>
            <w:tcW w:w="591" w:type="pct"/>
          </w:tcPr>
          <w:p>
            <w:pPr>
              <w:rPr>
                <w:szCs w:val="21"/>
              </w:rPr>
            </w:pPr>
          </w:p>
        </w:tc>
        <w:tc>
          <w:tcPr>
            <w:tcW w:w="651" w:type="pct"/>
          </w:tcPr>
          <w:p>
            <w:pPr>
              <w:rPr>
                <w:szCs w:val="21"/>
              </w:rPr>
            </w:pPr>
          </w:p>
        </w:tc>
        <w:tc>
          <w:tcPr>
            <w:tcW w:w="533" w:type="pct"/>
            <w:gridSpan w:val="2"/>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540" w:type="pct"/>
          </w:tcPr>
          <w:p>
            <w:pPr>
              <w:rPr>
                <w:szCs w:val="21"/>
              </w:rPr>
            </w:pPr>
          </w:p>
        </w:tc>
        <w:tc>
          <w:tcPr>
            <w:tcW w:w="552" w:type="pct"/>
          </w:tcPr>
          <w:p>
            <w:pPr>
              <w:rPr>
                <w:szCs w:val="21"/>
              </w:rPr>
            </w:pPr>
          </w:p>
        </w:tc>
        <w:tc>
          <w:tcPr>
            <w:tcW w:w="676" w:type="pct"/>
          </w:tcPr>
          <w:p>
            <w:pPr>
              <w:rPr>
                <w:szCs w:val="21"/>
              </w:rPr>
            </w:pPr>
          </w:p>
        </w:tc>
        <w:tc>
          <w:tcPr>
            <w:tcW w:w="893" w:type="pct"/>
          </w:tcPr>
          <w:p>
            <w:pPr>
              <w:rPr>
                <w:szCs w:val="21"/>
              </w:rPr>
            </w:pPr>
          </w:p>
        </w:tc>
        <w:tc>
          <w:tcPr>
            <w:tcW w:w="558" w:type="pct"/>
          </w:tcPr>
          <w:p>
            <w:pPr>
              <w:rPr>
                <w:szCs w:val="21"/>
              </w:rPr>
            </w:pPr>
          </w:p>
        </w:tc>
        <w:tc>
          <w:tcPr>
            <w:tcW w:w="591" w:type="pct"/>
          </w:tcPr>
          <w:p>
            <w:pPr>
              <w:rPr>
                <w:szCs w:val="21"/>
              </w:rPr>
            </w:pPr>
          </w:p>
        </w:tc>
        <w:tc>
          <w:tcPr>
            <w:tcW w:w="651" w:type="pct"/>
          </w:tcPr>
          <w:p>
            <w:pPr>
              <w:rPr>
                <w:szCs w:val="21"/>
              </w:rPr>
            </w:pPr>
          </w:p>
        </w:tc>
        <w:tc>
          <w:tcPr>
            <w:tcW w:w="533" w:type="pct"/>
            <w:gridSpan w:val="2"/>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540" w:type="pct"/>
          </w:tcPr>
          <w:p>
            <w:pPr>
              <w:rPr>
                <w:szCs w:val="21"/>
              </w:rPr>
            </w:pPr>
          </w:p>
        </w:tc>
        <w:tc>
          <w:tcPr>
            <w:tcW w:w="552" w:type="pct"/>
          </w:tcPr>
          <w:p>
            <w:pPr>
              <w:rPr>
                <w:szCs w:val="21"/>
              </w:rPr>
            </w:pPr>
          </w:p>
        </w:tc>
        <w:tc>
          <w:tcPr>
            <w:tcW w:w="676" w:type="pct"/>
          </w:tcPr>
          <w:p>
            <w:pPr>
              <w:rPr>
                <w:szCs w:val="21"/>
              </w:rPr>
            </w:pPr>
          </w:p>
        </w:tc>
        <w:tc>
          <w:tcPr>
            <w:tcW w:w="893" w:type="pct"/>
          </w:tcPr>
          <w:p>
            <w:pPr>
              <w:rPr>
                <w:szCs w:val="21"/>
              </w:rPr>
            </w:pPr>
          </w:p>
        </w:tc>
        <w:tc>
          <w:tcPr>
            <w:tcW w:w="558" w:type="pct"/>
          </w:tcPr>
          <w:p>
            <w:pPr>
              <w:rPr>
                <w:szCs w:val="21"/>
              </w:rPr>
            </w:pPr>
          </w:p>
        </w:tc>
        <w:tc>
          <w:tcPr>
            <w:tcW w:w="591" w:type="pct"/>
          </w:tcPr>
          <w:p>
            <w:pPr>
              <w:rPr>
                <w:szCs w:val="21"/>
              </w:rPr>
            </w:pPr>
          </w:p>
        </w:tc>
        <w:tc>
          <w:tcPr>
            <w:tcW w:w="651" w:type="pct"/>
          </w:tcPr>
          <w:p>
            <w:pPr>
              <w:rPr>
                <w:szCs w:val="21"/>
              </w:rPr>
            </w:pPr>
          </w:p>
        </w:tc>
        <w:tc>
          <w:tcPr>
            <w:tcW w:w="533" w:type="pct"/>
            <w:gridSpan w:val="2"/>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540" w:type="pct"/>
          </w:tcPr>
          <w:p>
            <w:pPr>
              <w:rPr>
                <w:szCs w:val="21"/>
              </w:rPr>
            </w:pPr>
          </w:p>
        </w:tc>
        <w:tc>
          <w:tcPr>
            <w:tcW w:w="552" w:type="pct"/>
          </w:tcPr>
          <w:p>
            <w:pPr>
              <w:rPr>
                <w:szCs w:val="21"/>
              </w:rPr>
            </w:pPr>
          </w:p>
        </w:tc>
        <w:tc>
          <w:tcPr>
            <w:tcW w:w="676" w:type="pct"/>
          </w:tcPr>
          <w:p>
            <w:pPr>
              <w:rPr>
                <w:szCs w:val="21"/>
              </w:rPr>
            </w:pPr>
          </w:p>
        </w:tc>
        <w:tc>
          <w:tcPr>
            <w:tcW w:w="893" w:type="pct"/>
          </w:tcPr>
          <w:p>
            <w:pPr>
              <w:rPr>
                <w:szCs w:val="21"/>
              </w:rPr>
            </w:pPr>
          </w:p>
        </w:tc>
        <w:tc>
          <w:tcPr>
            <w:tcW w:w="558" w:type="pct"/>
          </w:tcPr>
          <w:p>
            <w:pPr>
              <w:rPr>
                <w:szCs w:val="21"/>
              </w:rPr>
            </w:pPr>
          </w:p>
        </w:tc>
        <w:tc>
          <w:tcPr>
            <w:tcW w:w="591" w:type="pct"/>
          </w:tcPr>
          <w:p>
            <w:pPr>
              <w:rPr>
                <w:szCs w:val="21"/>
              </w:rPr>
            </w:pPr>
          </w:p>
        </w:tc>
        <w:tc>
          <w:tcPr>
            <w:tcW w:w="651" w:type="pct"/>
          </w:tcPr>
          <w:p>
            <w:pPr>
              <w:rPr>
                <w:szCs w:val="21"/>
              </w:rPr>
            </w:pPr>
          </w:p>
        </w:tc>
        <w:tc>
          <w:tcPr>
            <w:tcW w:w="533" w:type="pct"/>
            <w:gridSpan w:val="2"/>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540" w:type="pct"/>
          </w:tcPr>
          <w:p>
            <w:pPr>
              <w:rPr>
                <w:szCs w:val="21"/>
              </w:rPr>
            </w:pPr>
          </w:p>
        </w:tc>
        <w:tc>
          <w:tcPr>
            <w:tcW w:w="552" w:type="pct"/>
          </w:tcPr>
          <w:p>
            <w:pPr>
              <w:rPr>
                <w:szCs w:val="21"/>
              </w:rPr>
            </w:pPr>
          </w:p>
        </w:tc>
        <w:tc>
          <w:tcPr>
            <w:tcW w:w="676" w:type="pct"/>
          </w:tcPr>
          <w:p>
            <w:pPr>
              <w:rPr>
                <w:szCs w:val="21"/>
              </w:rPr>
            </w:pPr>
          </w:p>
        </w:tc>
        <w:tc>
          <w:tcPr>
            <w:tcW w:w="893" w:type="pct"/>
          </w:tcPr>
          <w:p>
            <w:pPr>
              <w:rPr>
                <w:szCs w:val="21"/>
              </w:rPr>
            </w:pPr>
          </w:p>
        </w:tc>
        <w:tc>
          <w:tcPr>
            <w:tcW w:w="558" w:type="pct"/>
          </w:tcPr>
          <w:p>
            <w:pPr>
              <w:rPr>
                <w:szCs w:val="21"/>
              </w:rPr>
            </w:pPr>
          </w:p>
        </w:tc>
        <w:tc>
          <w:tcPr>
            <w:tcW w:w="591" w:type="pct"/>
          </w:tcPr>
          <w:p>
            <w:pPr>
              <w:rPr>
                <w:szCs w:val="21"/>
              </w:rPr>
            </w:pPr>
          </w:p>
        </w:tc>
        <w:tc>
          <w:tcPr>
            <w:tcW w:w="651" w:type="pct"/>
          </w:tcPr>
          <w:p>
            <w:pPr>
              <w:rPr>
                <w:szCs w:val="21"/>
              </w:rPr>
            </w:pPr>
          </w:p>
        </w:tc>
        <w:tc>
          <w:tcPr>
            <w:tcW w:w="533" w:type="pct"/>
            <w:gridSpan w:val="2"/>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540" w:type="pct"/>
          </w:tcPr>
          <w:p>
            <w:pPr>
              <w:rPr>
                <w:szCs w:val="21"/>
              </w:rPr>
            </w:pPr>
          </w:p>
        </w:tc>
        <w:tc>
          <w:tcPr>
            <w:tcW w:w="552" w:type="pct"/>
          </w:tcPr>
          <w:p>
            <w:pPr>
              <w:rPr>
                <w:szCs w:val="21"/>
              </w:rPr>
            </w:pPr>
          </w:p>
        </w:tc>
        <w:tc>
          <w:tcPr>
            <w:tcW w:w="676" w:type="pct"/>
          </w:tcPr>
          <w:p>
            <w:pPr>
              <w:rPr>
                <w:szCs w:val="21"/>
              </w:rPr>
            </w:pPr>
          </w:p>
        </w:tc>
        <w:tc>
          <w:tcPr>
            <w:tcW w:w="893" w:type="pct"/>
          </w:tcPr>
          <w:p>
            <w:pPr>
              <w:rPr>
                <w:szCs w:val="21"/>
              </w:rPr>
            </w:pPr>
          </w:p>
        </w:tc>
        <w:tc>
          <w:tcPr>
            <w:tcW w:w="558" w:type="pct"/>
          </w:tcPr>
          <w:p>
            <w:pPr>
              <w:rPr>
                <w:szCs w:val="21"/>
              </w:rPr>
            </w:pPr>
          </w:p>
        </w:tc>
        <w:tc>
          <w:tcPr>
            <w:tcW w:w="591" w:type="pct"/>
          </w:tcPr>
          <w:p>
            <w:pPr>
              <w:rPr>
                <w:szCs w:val="21"/>
              </w:rPr>
            </w:pPr>
          </w:p>
        </w:tc>
        <w:tc>
          <w:tcPr>
            <w:tcW w:w="651" w:type="pct"/>
          </w:tcPr>
          <w:p>
            <w:pPr>
              <w:rPr>
                <w:szCs w:val="21"/>
              </w:rPr>
            </w:pPr>
          </w:p>
        </w:tc>
        <w:tc>
          <w:tcPr>
            <w:tcW w:w="533" w:type="pct"/>
            <w:gridSpan w:val="2"/>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540" w:type="pct"/>
          </w:tcPr>
          <w:p>
            <w:pPr>
              <w:rPr>
                <w:szCs w:val="21"/>
              </w:rPr>
            </w:pPr>
          </w:p>
        </w:tc>
        <w:tc>
          <w:tcPr>
            <w:tcW w:w="552" w:type="pct"/>
          </w:tcPr>
          <w:p>
            <w:pPr>
              <w:rPr>
                <w:szCs w:val="21"/>
              </w:rPr>
            </w:pPr>
          </w:p>
        </w:tc>
        <w:tc>
          <w:tcPr>
            <w:tcW w:w="676" w:type="pct"/>
          </w:tcPr>
          <w:p>
            <w:pPr>
              <w:rPr>
                <w:szCs w:val="21"/>
              </w:rPr>
            </w:pPr>
          </w:p>
        </w:tc>
        <w:tc>
          <w:tcPr>
            <w:tcW w:w="893" w:type="pct"/>
          </w:tcPr>
          <w:p>
            <w:pPr>
              <w:rPr>
                <w:szCs w:val="21"/>
              </w:rPr>
            </w:pPr>
          </w:p>
        </w:tc>
        <w:tc>
          <w:tcPr>
            <w:tcW w:w="558" w:type="pct"/>
          </w:tcPr>
          <w:p>
            <w:pPr>
              <w:rPr>
                <w:szCs w:val="21"/>
              </w:rPr>
            </w:pPr>
          </w:p>
        </w:tc>
        <w:tc>
          <w:tcPr>
            <w:tcW w:w="591" w:type="pct"/>
          </w:tcPr>
          <w:p>
            <w:pPr>
              <w:rPr>
                <w:szCs w:val="21"/>
              </w:rPr>
            </w:pPr>
          </w:p>
        </w:tc>
        <w:tc>
          <w:tcPr>
            <w:tcW w:w="651" w:type="pct"/>
          </w:tcPr>
          <w:p>
            <w:pPr>
              <w:rPr>
                <w:szCs w:val="21"/>
              </w:rPr>
            </w:pPr>
          </w:p>
        </w:tc>
        <w:tc>
          <w:tcPr>
            <w:tcW w:w="533" w:type="pct"/>
            <w:gridSpan w:val="2"/>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540" w:type="pct"/>
          </w:tcPr>
          <w:p>
            <w:pPr>
              <w:rPr>
                <w:szCs w:val="21"/>
              </w:rPr>
            </w:pPr>
          </w:p>
        </w:tc>
        <w:tc>
          <w:tcPr>
            <w:tcW w:w="552" w:type="pct"/>
          </w:tcPr>
          <w:p>
            <w:pPr>
              <w:rPr>
                <w:szCs w:val="21"/>
              </w:rPr>
            </w:pPr>
          </w:p>
        </w:tc>
        <w:tc>
          <w:tcPr>
            <w:tcW w:w="676" w:type="pct"/>
          </w:tcPr>
          <w:p>
            <w:pPr>
              <w:rPr>
                <w:szCs w:val="21"/>
              </w:rPr>
            </w:pPr>
          </w:p>
        </w:tc>
        <w:tc>
          <w:tcPr>
            <w:tcW w:w="893" w:type="pct"/>
          </w:tcPr>
          <w:p>
            <w:pPr>
              <w:rPr>
                <w:szCs w:val="21"/>
              </w:rPr>
            </w:pPr>
          </w:p>
        </w:tc>
        <w:tc>
          <w:tcPr>
            <w:tcW w:w="558" w:type="pct"/>
          </w:tcPr>
          <w:p>
            <w:pPr>
              <w:rPr>
                <w:szCs w:val="21"/>
              </w:rPr>
            </w:pPr>
          </w:p>
        </w:tc>
        <w:tc>
          <w:tcPr>
            <w:tcW w:w="591" w:type="pct"/>
          </w:tcPr>
          <w:p>
            <w:pPr>
              <w:rPr>
                <w:szCs w:val="21"/>
              </w:rPr>
            </w:pPr>
          </w:p>
        </w:tc>
        <w:tc>
          <w:tcPr>
            <w:tcW w:w="651" w:type="pct"/>
          </w:tcPr>
          <w:p>
            <w:pPr>
              <w:rPr>
                <w:szCs w:val="21"/>
              </w:rPr>
            </w:pPr>
          </w:p>
        </w:tc>
        <w:tc>
          <w:tcPr>
            <w:tcW w:w="533" w:type="pct"/>
            <w:gridSpan w:val="2"/>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540" w:type="pct"/>
          </w:tcPr>
          <w:p>
            <w:pPr>
              <w:rPr>
                <w:szCs w:val="21"/>
              </w:rPr>
            </w:pPr>
          </w:p>
        </w:tc>
        <w:tc>
          <w:tcPr>
            <w:tcW w:w="552" w:type="pct"/>
          </w:tcPr>
          <w:p>
            <w:pPr>
              <w:rPr>
                <w:szCs w:val="21"/>
              </w:rPr>
            </w:pPr>
          </w:p>
        </w:tc>
        <w:tc>
          <w:tcPr>
            <w:tcW w:w="676" w:type="pct"/>
          </w:tcPr>
          <w:p>
            <w:pPr>
              <w:rPr>
                <w:szCs w:val="21"/>
              </w:rPr>
            </w:pPr>
          </w:p>
        </w:tc>
        <w:tc>
          <w:tcPr>
            <w:tcW w:w="893" w:type="pct"/>
          </w:tcPr>
          <w:p>
            <w:pPr>
              <w:rPr>
                <w:szCs w:val="21"/>
              </w:rPr>
            </w:pPr>
          </w:p>
        </w:tc>
        <w:tc>
          <w:tcPr>
            <w:tcW w:w="558" w:type="pct"/>
          </w:tcPr>
          <w:p>
            <w:pPr>
              <w:rPr>
                <w:szCs w:val="21"/>
              </w:rPr>
            </w:pPr>
          </w:p>
        </w:tc>
        <w:tc>
          <w:tcPr>
            <w:tcW w:w="591" w:type="pct"/>
          </w:tcPr>
          <w:p>
            <w:pPr>
              <w:rPr>
                <w:szCs w:val="21"/>
              </w:rPr>
            </w:pPr>
          </w:p>
        </w:tc>
        <w:tc>
          <w:tcPr>
            <w:tcW w:w="651" w:type="pct"/>
          </w:tcPr>
          <w:p>
            <w:pPr>
              <w:rPr>
                <w:szCs w:val="21"/>
              </w:rPr>
            </w:pPr>
          </w:p>
        </w:tc>
        <w:tc>
          <w:tcPr>
            <w:tcW w:w="533" w:type="pct"/>
            <w:gridSpan w:val="2"/>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540" w:type="pct"/>
          </w:tcPr>
          <w:p>
            <w:pPr>
              <w:rPr>
                <w:szCs w:val="21"/>
              </w:rPr>
            </w:pPr>
          </w:p>
        </w:tc>
        <w:tc>
          <w:tcPr>
            <w:tcW w:w="552" w:type="pct"/>
          </w:tcPr>
          <w:p>
            <w:pPr>
              <w:rPr>
                <w:szCs w:val="21"/>
              </w:rPr>
            </w:pPr>
          </w:p>
        </w:tc>
        <w:tc>
          <w:tcPr>
            <w:tcW w:w="676" w:type="pct"/>
          </w:tcPr>
          <w:p>
            <w:pPr>
              <w:rPr>
                <w:szCs w:val="21"/>
              </w:rPr>
            </w:pPr>
          </w:p>
        </w:tc>
        <w:tc>
          <w:tcPr>
            <w:tcW w:w="893" w:type="pct"/>
          </w:tcPr>
          <w:p>
            <w:pPr>
              <w:rPr>
                <w:szCs w:val="21"/>
              </w:rPr>
            </w:pPr>
          </w:p>
        </w:tc>
        <w:tc>
          <w:tcPr>
            <w:tcW w:w="558" w:type="pct"/>
          </w:tcPr>
          <w:p>
            <w:pPr>
              <w:rPr>
                <w:szCs w:val="21"/>
              </w:rPr>
            </w:pPr>
          </w:p>
        </w:tc>
        <w:tc>
          <w:tcPr>
            <w:tcW w:w="591" w:type="pct"/>
          </w:tcPr>
          <w:p>
            <w:pPr>
              <w:rPr>
                <w:szCs w:val="21"/>
              </w:rPr>
            </w:pPr>
          </w:p>
        </w:tc>
        <w:tc>
          <w:tcPr>
            <w:tcW w:w="651" w:type="pct"/>
          </w:tcPr>
          <w:p>
            <w:pPr>
              <w:rPr>
                <w:szCs w:val="21"/>
              </w:rPr>
            </w:pPr>
          </w:p>
        </w:tc>
        <w:tc>
          <w:tcPr>
            <w:tcW w:w="533" w:type="pct"/>
            <w:gridSpan w:val="2"/>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540" w:type="pct"/>
          </w:tcPr>
          <w:p>
            <w:pPr>
              <w:rPr>
                <w:szCs w:val="21"/>
              </w:rPr>
            </w:pPr>
          </w:p>
        </w:tc>
        <w:tc>
          <w:tcPr>
            <w:tcW w:w="552" w:type="pct"/>
          </w:tcPr>
          <w:p>
            <w:pPr>
              <w:rPr>
                <w:szCs w:val="21"/>
              </w:rPr>
            </w:pPr>
          </w:p>
        </w:tc>
        <w:tc>
          <w:tcPr>
            <w:tcW w:w="676" w:type="pct"/>
          </w:tcPr>
          <w:p>
            <w:pPr>
              <w:rPr>
                <w:szCs w:val="21"/>
              </w:rPr>
            </w:pPr>
          </w:p>
        </w:tc>
        <w:tc>
          <w:tcPr>
            <w:tcW w:w="893" w:type="pct"/>
          </w:tcPr>
          <w:p>
            <w:pPr>
              <w:rPr>
                <w:szCs w:val="21"/>
              </w:rPr>
            </w:pPr>
          </w:p>
        </w:tc>
        <w:tc>
          <w:tcPr>
            <w:tcW w:w="558" w:type="pct"/>
          </w:tcPr>
          <w:p>
            <w:pPr>
              <w:rPr>
                <w:szCs w:val="21"/>
              </w:rPr>
            </w:pPr>
          </w:p>
        </w:tc>
        <w:tc>
          <w:tcPr>
            <w:tcW w:w="591" w:type="pct"/>
          </w:tcPr>
          <w:p>
            <w:pPr>
              <w:rPr>
                <w:szCs w:val="21"/>
              </w:rPr>
            </w:pPr>
          </w:p>
        </w:tc>
        <w:tc>
          <w:tcPr>
            <w:tcW w:w="651" w:type="pct"/>
          </w:tcPr>
          <w:p>
            <w:pPr>
              <w:rPr>
                <w:szCs w:val="21"/>
              </w:rPr>
            </w:pPr>
          </w:p>
        </w:tc>
        <w:tc>
          <w:tcPr>
            <w:tcW w:w="533" w:type="pct"/>
            <w:gridSpan w:val="2"/>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540" w:type="pct"/>
          </w:tcPr>
          <w:p>
            <w:pPr>
              <w:rPr>
                <w:szCs w:val="21"/>
              </w:rPr>
            </w:pPr>
          </w:p>
        </w:tc>
        <w:tc>
          <w:tcPr>
            <w:tcW w:w="552" w:type="pct"/>
          </w:tcPr>
          <w:p>
            <w:pPr>
              <w:rPr>
                <w:szCs w:val="21"/>
              </w:rPr>
            </w:pPr>
          </w:p>
        </w:tc>
        <w:tc>
          <w:tcPr>
            <w:tcW w:w="676" w:type="pct"/>
          </w:tcPr>
          <w:p>
            <w:pPr>
              <w:rPr>
                <w:szCs w:val="21"/>
              </w:rPr>
            </w:pPr>
          </w:p>
        </w:tc>
        <w:tc>
          <w:tcPr>
            <w:tcW w:w="893" w:type="pct"/>
          </w:tcPr>
          <w:p>
            <w:pPr>
              <w:rPr>
                <w:szCs w:val="21"/>
              </w:rPr>
            </w:pPr>
          </w:p>
        </w:tc>
        <w:tc>
          <w:tcPr>
            <w:tcW w:w="558" w:type="pct"/>
          </w:tcPr>
          <w:p>
            <w:pPr>
              <w:rPr>
                <w:szCs w:val="21"/>
              </w:rPr>
            </w:pPr>
          </w:p>
        </w:tc>
        <w:tc>
          <w:tcPr>
            <w:tcW w:w="591" w:type="pct"/>
          </w:tcPr>
          <w:p>
            <w:pPr>
              <w:rPr>
                <w:szCs w:val="21"/>
              </w:rPr>
            </w:pPr>
          </w:p>
        </w:tc>
        <w:tc>
          <w:tcPr>
            <w:tcW w:w="651" w:type="pct"/>
          </w:tcPr>
          <w:p>
            <w:pPr>
              <w:rPr>
                <w:szCs w:val="21"/>
              </w:rPr>
            </w:pPr>
          </w:p>
        </w:tc>
        <w:tc>
          <w:tcPr>
            <w:tcW w:w="533" w:type="pct"/>
            <w:gridSpan w:val="2"/>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540" w:type="pct"/>
          </w:tcPr>
          <w:p>
            <w:pPr>
              <w:rPr>
                <w:szCs w:val="21"/>
              </w:rPr>
            </w:pPr>
          </w:p>
        </w:tc>
        <w:tc>
          <w:tcPr>
            <w:tcW w:w="552" w:type="pct"/>
          </w:tcPr>
          <w:p>
            <w:pPr>
              <w:rPr>
                <w:szCs w:val="21"/>
              </w:rPr>
            </w:pPr>
          </w:p>
        </w:tc>
        <w:tc>
          <w:tcPr>
            <w:tcW w:w="676" w:type="pct"/>
          </w:tcPr>
          <w:p>
            <w:pPr>
              <w:rPr>
                <w:szCs w:val="21"/>
              </w:rPr>
            </w:pPr>
          </w:p>
        </w:tc>
        <w:tc>
          <w:tcPr>
            <w:tcW w:w="893" w:type="pct"/>
          </w:tcPr>
          <w:p>
            <w:pPr>
              <w:rPr>
                <w:szCs w:val="21"/>
              </w:rPr>
            </w:pPr>
          </w:p>
        </w:tc>
        <w:tc>
          <w:tcPr>
            <w:tcW w:w="558" w:type="pct"/>
          </w:tcPr>
          <w:p>
            <w:pPr>
              <w:rPr>
                <w:szCs w:val="21"/>
              </w:rPr>
            </w:pPr>
          </w:p>
        </w:tc>
        <w:tc>
          <w:tcPr>
            <w:tcW w:w="591" w:type="pct"/>
          </w:tcPr>
          <w:p>
            <w:pPr>
              <w:rPr>
                <w:szCs w:val="21"/>
              </w:rPr>
            </w:pPr>
          </w:p>
        </w:tc>
        <w:tc>
          <w:tcPr>
            <w:tcW w:w="651" w:type="pct"/>
          </w:tcPr>
          <w:p>
            <w:pPr>
              <w:rPr>
                <w:szCs w:val="21"/>
              </w:rPr>
            </w:pPr>
          </w:p>
        </w:tc>
        <w:tc>
          <w:tcPr>
            <w:tcW w:w="533" w:type="pct"/>
            <w:gridSpan w:val="2"/>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540" w:type="pct"/>
          </w:tcPr>
          <w:p>
            <w:pPr>
              <w:rPr>
                <w:szCs w:val="21"/>
              </w:rPr>
            </w:pPr>
          </w:p>
        </w:tc>
        <w:tc>
          <w:tcPr>
            <w:tcW w:w="552" w:type="pct"/>
          </w:tcPr>
          <w:p>
            <w:pPr>
              <w:rPr>
                <w:szCs w:val="21"/>
              </w:rPr>
            </w:pPr>
          </w:p>
        </w:tc>
        <w:tc>
          <w:tcPr>
            <w:tcW w:w="676" w:type="pct"/>
          </w:tcPr>
          <w:p>
            <w:pPr>
              <w:rPr>
                <w:szCs w:val="21"/>
              </w:rPr>
            </w:pPr>
          </w:p>
        </w:tc>
        <w:tc>
          <w:tcPr>
            <w:tcW w:w="893" w:type="pct"/>
          </w:tcPr>
          <w:p>
            <w:pPr>
              <w:rPr>
                <w:szCs w:val="21"/>
              </w:rPr>
            </w:pPr>
          </w:p>
        </w:tc>
        <w:tc>
          <w:tcPr>
            <w:tcW w:w="558" w:type="pct"/>
          </w:tcPr>
          <w:p>
            <w:pPr>
              <w:rPr>
                <w:szCs w:val="21"/>
              </w:rPr>
            </w:pPr>
          </w:p>
        </w:tc>
        <w:tc>
          <w:tcPr>
            <w:tcW w:w="591" w:type="pct"/>
          </w:tcPr>
          <w:p>
            <w:pPr>
              <w:rPr>
                <w:szCs w:val="21"/>
              </w:rPr>
            </w:pPr>
          </w:p>
        </w:tc>
        <w:tc>
          <w:tcPr>
            <w:tcW w:w="651" w:type="pct"/>
          </w:tcPr>
          <w:p>
            <w:pPr>
              <w:rPr>
                <w:szCs w:val="21"/>
              </w:rPr>
            </w:pPr>
          </w:p>
        </w:tc>
        <w:tc>
          <w:tcPr>
            <w:tcW w:w="533" w:type="pct"/>
            <w:gridSpan w:val="2"/>
          </w:tcPr>
          <w:p>
            <w:pPr>
              <w:rPr>
                <w:szCs w:val="21"/>
              </w:rPr>
            </w:pPr>
          </w:p>
        </w:tc>
      </w:tr>
    </w:tbl>
    <w:p>
      <w:pPr>
        <w:pStyle w:val="60"/>
        <w:pageBreakBefore/>
        <w:spacing w:before="0" w:beforeAutospacing="0" w:after="0" w:afterAutospacing="0" w:line="360" w:lineRule="auto"/>
        <w:rPr>
          <w:rFonts w:ascii="宋体" w:hAnsi="宋体" w:cs="宋体"/>
          <w:color w:val="000000" w:themeColor="text1"/>
          <w:sz w:val="28"/>
          <w14:textFill>
            <w14:solidFill>
              <w14:schemeClr w14:val="tx1"/>
            </w14:solidFill>
          </w14:textFill>
        </w:rPr>
      </w:pPr>
      <w:bookmarkStart w:id="809" w:name="_Toc282853984"/>
      <w:r>
        <w:rPr>
          <w:rFonts w:hint="eastAsia" w:ascii="宋体" w:hAnsi="宋体" w:cs="宋体"/>
          <w:color w:val="000000" w:themeColor="text1"/>
          <w:sz w:val="28"/>
          <w14:textFill>
            <w14:solidFill>
              <w14:schemeClr w14:val="tx1"/>
            </w14:solidFill>
          </w14:textFill>
        </w:rPr>
        <w:t>（二）主要人员简历表</w:t>
      </w:r>
      <w:bookmarkEnd w:id="809"/>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5"/>
        <w:gridCol w:w="354"/>
        <w:gridCol w:w="1661"/>
        <w:gridCol w:w="1147"/>
        <w:gridCol w:w="924"/>
        <w:gridCol w:w="556"/>
        <w:gridCol w:w="1300"/>
        <w:gridCol w:w="751"/>
        <w:gridCol w:w="1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853" w:type="pct"/>
            <w:gridSpan w:val="2"/>
            <w:vAlign w:val="center"/>
          </w:tcPr>
          <w:p>
            <w:pPr>
              <w:spacing w:line="360" w:lineRule="auto"/>
              <w:jc w:val="center"/>
              <w:rPr>
                <w:szCs w:val="21"/>
              </w:rPr>
            </w:pPr>
            <w:r>
              <w:rPr>
                <w:rFonts w:hint="eastAsia"/>
                <w:szCs w:val="21"/>
              </w:rPr>
              <w:t>姓名</w:t>
            </w:r>
          </w:p>
        </w:tc>
        <w:tc>
          <w:tcPr>
            <w:tcW w:w="843" w:type="pct"/>
          </w:tcPr>
          <w:p>
            <w:pPr>
              <w:spacing w:line="360" w:lineRule="auto"/>
              <w:rPr>
                <w:szCs w:val="21"/>
              </w:rPr>
            </w:pPr>
          </w:p>
        </w:tc>
        <w:tc>
          <w:tcPr>
            <w:tcW w:w="582" w:type="pct"/>
            <w:vAlign w:val="center"/>
          </w:tcPr>
          <w:p>
            <w:pPr>
              <w:spacing w:line="360" w:lineRule="auto"/>
              <w:jc w:val="center"/>
              <w:rPr>
                <w:szCs w:val="21"/>
              </w:rPr>
            </w:pPr>
            <w:r>
              <w:rPr>
                <w:rFonts w:hint="eastAsia"/>
                <w:szCs w:val="21"/>
              </w:rPr>
              <w:t>年龄</w:t>
            </w:r>
          </w:p>
        </w:tc>
        <w:tc>
          <w:tcPr>
            <w:tcW w:w="751" w:type="pct"/>
            <w:gridSpan w:val="2"/>
          </w:tcPr>
          <w:p>
            <w:pPr>
              <w:spacing w:line="360" w:lineRule="auto"/>
              <w:rPr>
                <w:szCs w:val="21"/>
              </w:rPr>
            </w:pPr>
          </w:p>
        </w:tc>
        <w:tc>
          <w:tcPr>
            <w:tcW w:w="1041" w:type="pct"/>
            <w:gridSpan w:val="2"/>
            <w:vAlign w:val="center"/>
          </w:tcPr>
          <w:p>
            <w:pPr>
              <w:spacing w:line="360" w:lineRule="auto"/>
              <w:jc w:val="center"/>
              <w:rPr>
                <w:szCs w:val="21"/>
              </w:rPr>
            </w:pPr>
            <w:r>
              <w:rPr>
                <w:rFonts w:hint="eastAsia"/>
                <w:szCs w:val="21"/>
              </w:rPr>
              <w:t>学历</w:t>
            </w:r>
          </w:p>
        </w:tc>
        <w:tc>
          <w:tcPr>
            <w:tcW w:w="927" w:type="pct"/>
          </w:tcPr>
          <w:p>
            <w:pPr>
              <w:spacing w:line="360" w:lineRule="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853" w:type="pct"/>
            <w:gridSpan w:val="2"/>
            <w:vAlign w:val="center"/>
          </w:tcPr>
          <w:p>
            <w:pPr>
              <w:spacing w:line="360" w:lineRule="auto"/>
              <w:jc w:val="center"/>
              <w:rPr>
                <w:szCs w:val="21"/>
              </w:rPr>
            </w:pPr>
            <w:r>
              <w:rPr>
                <w:rFonts w:hint="eastAsia"/>
                <w:szCs w:val="21"/>
              </w:rPr>
              <w:t>职称</w:t>
            </w:r>
          </w:p>
        </w:tc>
        <w:tc>
          <w:tcPr>
            <w:tcW w:w="843" w:type="pct"/>
          </w:tcPr>
          <w:p>
            <w:pPr>
              <w:spacing w:line="360" w:lineRule="auto"/>
              <w:rPr>
                <w:szCs w:val="21"/>
              </w:rPr>
            </w:pPr>
          </w:p>
        </w:tc>
        <w:tc>
          <w:tcPr>
            <w:tcW w:w="582" w:type="pct"/>
            <w:vAlign w:val="center"/>
          </w:tcPr>
          <w:p>
            <w:pPr>
              <w:spacing w:line="360" w:lineRule="auto"/>
              <w:jc w:val="center"/>
              <w:rPr>
                <w:szCs w:val="21"/>
              </w:rPr>
            </w:pPr>
            <w:r>
              <w:rPr>
                <w:rFonts w:hint="eastAsia"/>
                <w:szCs w:val="21"/>
              </w:rPr>
              <w:t>职务</w:t>
            </w:r>
          </w:p>
        </w:tc>
        <w:tc>
          <w:tcPr>
            <w:tcW w:w="751" w:type="pct"/>
            <w:gridSpan w:val="2"/>
          </w:tcPr>
          <w:p>
            <w:pPr>
              <w:spacing w:line="360" w:lineRule="auto"/>
              <w:rPr>
                <w:szCs w:val="21"/>
              </w:rPr>
            </w:pPr>
          </w:p>
        </w:tc>
        <w:tc>
          <w:tcPr>
            <w:tcW w:w="1041" w:type="pct"/>
            <w:gridSpan w:val="2"/>
            <w:vAlign w:val="center"/>
          </w:tcPr>
          <w:p>
            <w:pPr>
              <w:spacing w:line="360" w:lineRule="auto"/>
              <w:jc w:val="center"/>
              <w:rPr>
                <w:szCs w:val="21"/>
              </w:rPr>
            </w:pPr>
            <w:r>
              <w:rPr>
                <w:rFonts w:hint="eastAsia"/>
                <w:szCs w:val="21"/>
              </w:rPr>
              <w:t>拟在本合同任职</w:t>
            </w:r>
          </w:p>
        </w:tc>
        <w:tc>
          <w:tcPr>
            <w:tcW w:w="927" w:type="pct"/>
          </w:tcPr>
          <w:p>
            <w:pPr>
              <w:spacing w:line="360" w:lineRule="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853" w:type="pct"/>
            <w:gridSpan w:val="2"/>
            <w:vAlign w:val="center"/>
          </w:tcPr>
          <w:p>
            <w:pPr>
              <w:spacing w:line="360" w:lineRule="auto"/>
              <w:jc w:val="center"/>
              <w:rPr>
                <w:szCs w:val="21"/>
              </w:rPr>
            </w:pPr>
            <w:r>
              <w:rPr>
                <w:rFonts w:hint="eastAsia"/>
                <w:szCs w:val="21"/>
              </w:rPr>
              <w:t>毕业学校</w:t>
            </w:r>
          </w:p>
        </w:tc>
        <w:tc>
          <w:tcPr>
            <w:tcW w:w="4146" w:type="pct"/>
            <w:gridSpan w:val="7"/>
          </w:tcPr>
          <w:p>
            <w:pPr>
              <w:spacing w:line="360" w:lineRule="auto"/>
              <w:ind w:firstLine="525" w:firstLineChars="250"/>
              <w:rPr>
                <w:szCs w:val="21"/>
              </w:rPr>
            </w:pPr>
            <w:r>
              <w:rPr>
                <w:rFonts w:hint="eastAsia"/>
                <w:szCs w:val="21"/>
              </w:rPr>
              <w:t>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5000" w:type="pct"/>
            <w:gridSpan w:val="9"/>
          </w:tcPr>
          <w:p>
            <w:pPr>
              <w:spacing w:line="360" w:lineRule="auto"/>
              <w:rPr>
                <w:szCs w:val="21"/>
              </w:rPr>
            </w:pPr>
            <w:r>
              <w:rPr>
                <w:rFonts w:hint="eastAsia"/>
                <w:szCs w:val="21"/>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673" w:type="pct"/>
            <w:vAlign w:val="center"/>
          </w:tcPr>
          <w:p>
            <w:pPr>
              <w:spacing w:line="360" w:lineRule="auto"/>
              <w:jc w:val="center"/>
              <w:rPr>
                <w:szCs w:val="21"/>
              </w:rPr>
            </w:pPr>
            <w:r>
              <w:rPr>
                <w:rFonts w:hint="eastAsia"/>
                <w:szCs w:val="21"/>
              </w:rPr>
              <w:t>时间</w:t>
            </w:r>
          </w:p>
        </w:tc>
        <w:tc>
          <w:tcPr>
            <w:tcW w:w="2074" w:type="pct"/>
            <w:gridSpan w:val="4"/>
            <w:vAlign w:val="center"/>
          </w:tcPr>
          <w:p>
            <w:pPr>
              <w:spacing w:line="360" w:lineRule="auto"/>
              <w:jc w:val="center"/>
              <w:rPr>
                <w:szCs w:val="21"/>
              </w:rPr>
            </w:pPr>
            <w:r>
              <w:rPr>
                <w:rFonts w:hint="eastAsia"/>
                <w:szCs w:val="21"/>
              </w:rPr>
              <w:t>参加过的类似项目</w:t>
            </w:r>
          </w:p>
        </w:tc>
        <w:tc>
          <w:tcPr>
            <w:tcW w:w="942" w:type="pct"/>
            <w:gridSpan w:val="2"/>
            <w:vAlign w:val="center"/>
          </w:tcPr>
          <w:p>
            <w:pPr>
              <w:spacing w:line="360" w:lineRule="auto"/>
              <w:jc w:val="center"/>
              <w:rPr>
                <w:szCs w:val="21"/>
              </w:rPr>
            </w:pPr>
            <w:r>
              <w:rPr>
                <w:rFonts w:hint="eastAsia"/>
                <w:szCs w:val="21"/>
              </w:rPr>
              <w:t>担任职务</w:t>
            </w:r>
          </w:p>
        </w:tc>
        <w:tc>
          <w:tcPr>
            <w:tcW w:w="1309" w:type="pct"/>
            <w:gridSpan w:val="2"/>
            <w:vAlign w:val="center"/>
          </w:tcPr>
          <w:p>
            <w:pPr>
              <w:spacing w:line="360" w:lineRule="auto"/>
              <w:jc w:val="center"/>
              <w:rPr>
                <w:szCs w:val="21"/>
              </w:rPr>
            </w:pPr>
            <w:r>
              <w:rPr>
                <w:rFonts w:hint="eastAsia"/>
                <w:szCs w:val="21"/>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673" w:type="pct"/>
          </w:tcPr>
          <w:p>
            <w:pPr>
              <w:spacing w:line="360" w:lineRule="auto"/>
              <w:rPr>
                <w:szCs w:val="21"/>
              </w:rPr>
            </w:pPr>
          </w:p>
        </w:tc>
        <w:tc>
          <w:tcPr>
            <w:tcW w:w="2074" w:type="pct"/>
            <w:gridSpan w:val="4"/>
          </w:tcPr>
          <w:p>
            <w:pPr>
              <w:spacing w:line="360" w:lineRule="auto"/>
              <w:rPr>
                <w:szCs w:val="21"/>
              </w:rPr>
            </w:pPr>
          </w:p>
        </w:tc>
        <w:tc>
          <w:tcPr>
            <w:tcW w:w="942" w:type="pct"/>
            <w:gridSpan w:val="2"/>
          </w:tcPr>
          <w:p>
            <w:pPr>
              <w:spacing w:line="360" w:lineRule="auto"/>
              <w:rPr>
                <w:szCs w:val="21"/>
              </w:rPr>
            </w:pPr>
          </w:p>
        </w:tc>
        <w:tc>
          <w:tcPr>
            <w:tcW w:w="1309" w:type="pct"/>
            <w:gridSpan w:val="2"/>
          </w:tcPr>
          <w:p>
            <w:pPr>
              <w:spacing w:line="360" w:lineRule="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673" w:type="pct"/>
          </w:tcPr>
          <w:p>
            <w:pPr>
              <w:spacing w:line="360" w:lineRule="auto"/>
              <w:rPr>
                <w:szCs w:val="21"/>
              </w:rPr>
            </w:pPr>
          </w:p>
        </w:tc>
        <w:tc>
          <w:tcPr>
            <w:tcW w:w="2074" w:type="pct"/>
            <w:gridSpan w:val="4"/>
          </w:tcPr>
          <w:p>
            <w:pPr>
              <w:spacing w:line="360" w:lineRule="auto"/>
              <w:rPr>
                <w:szCs w:val="21"/>
              </w:rPr>
            </w:pPr>
          </w:p>
        </w:tc>
        <w:tc>
          <w:tcPr>
            <w:tcW w:w="942" w:type="pct"/>
            <w:gridSpan w:val="2"/>
          </w:tcPr>
          <w:p>
            <w:pPr>
              <w:spacing w:line="360" w:lineRule="auto"/>
              <w:rPr>
                <w:szCs w:val="21"/>
              </w:rPr>
            </w:pPr>
          </w:p>
        </w:tc>
        <w:tc>
          <w:tcPr>
            <w:tcW w:w="1309" w:type="pct"/>
            <w:gridSpan w:val="2"/>
          </w:tcPr>
          <w:p>
            <w:pPr>
              <w:spacing w:line="360" w:lineRule="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673" w:type="pct"/>
          </w:tcPr>
          <w:p>
            <w:pPr>
              <w:spacing w:line="360" w:lineRule="auto"/>
              <w:rPr>
                <w:szCs w:val="21"/>
              </w:rPr>
            </w:pPr>
          </w:p>
        </w:tc>
        <w:tc>
          <w:tcPr>
            <w:tcW w:w="2074" w:type="pct"/>
            <w:gridSpan w:val="4"/>
          </w:tcPr>
          <w:p>
            <w:pPr>
              <w:spacing w:line="360" w:lineRule="auto"/>
              <w:rPr>
                <w:szCs w:val="21"/>
              </w:rPr>
            </w:pPr>
          </w:p>
        </w:tc>
        <w:tc>
          <w:tcPr>
            <w:tcW w:w="942" w:type="pct"/>
            <w:gridSpan w:val="2"/>
          </w:tcPr>
          <w:p>
            <w:pPr>
              <w:spacing w:line="360" w:lineRule="auto"/>
              <w:rPr>
                <w:szCs w:val="21"/>
              </w:rPr>
            </w:pPr>
          </w:p>
        </w:tc>
        <w:tc>
          <w:tcPr>
            <w:tcW w:w="1309" w:type="pct"/>
            <w:gridSpan w:val="2"/>
          </w:tcPr>
          <w:p>
            <w:pPr>
              <w:spacing w:line="360" w:lineRule="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673" w:type="pct"/>
          </w:tcPr>
          <w:p>
            <w:pPr>
              <w:spacing w:line="360" w:lineRule="auto"/>
              <w:rPr>
                <w:szCs w:val="21"/>
              </w:rPr>
            </w:pPr>
          </w:p>
        </w:tc>
        <w:tc>
          <w:tcPr>
            <w:tcW w:w="2074" w:type="pct"/>
            <w:gridSpan w:val="4"/>
          </w:tcPr>
          <w:p>
            <w:pPr>
              <w:spacing w:line="360" w:lineRule="auto"/>
              <w:rPr>
                <w:szCs w:val="21"/>
              </w:rPr>
            </w:pPr>
          </w:p>
        </w:tc>
        <w:tc>
          <w:tcPr>
            <w:tcW w:w="942" w:type="pct"/>
            <w:gridSpan w:val="2"/>
          </w:tcPr>
          <w:p>
            <w:pPr>
              <w:spacing w:line="360" w:lineRule="auto"/>
              <w:rPr>
                <w:szCs w:val="21"/>
              </w:rPr>
            </w:pPr>
          </w:p>
        </w:tc>
        <w:tc>
          <w:tcPr>
            <w:tcW w:w="1309" w:type="pct"/>
            <w:gridSpan w:val="2"/>
          </w:tcPr>
          <w:p>
            <w:pPr>
              <w:spacing w:line="360" w:lineRule="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673" w:type="pct"/>
          </w:tcPr>
          <w:p>
            <w:pPr>
              <w:spacing w:line="360" w:lineRule="auto"/>
              <w:rPr>
                <w:szCs w:val="21"/>
              </w:rPr>
            </w:pPr>
          </w:p>
        </w:tc>
        <w:tc>
          <w:tcPr>
            <w:tcW w:w="2074" w:type="pct"/>
            <w:gridSpan w:val="4"/>
          </w:tcPr>
          <w:p>
            <w:pPr>
              <w:spacing w:line="360" w:lineRule="auto"/>
              <w:rPr>
                <w:szCs w:val="21"/>
              </w:rPr>
            </w:pPr>
          </w:p>
        </w:tc>
        <w:tc>
          <w:tcPr>
            <w:tcW w:w="942" w:type="pct"/>
            <w:gridSpan w:val="2"/>
          </w:tcPr>
          <w:p>
            <w:pPr>
              <w:spacing w:line="360" w:lineRule="auto"/>
              <w:rPr>
                <w:szCs w:val="21"/>
              </w:rPr>
            </w:pPr>
          </w:p>
        </w:tc>
        <w:tc>
          <w:tcPr>
            <w:tcW w:w="1309" w:type="pct"/>
            <w:gridSpan w:val="2"/>
          </w:tcPr>
          <w:p>
            <w:pPr>
              <w:spacing w:line="360" w:lineRule="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673" w:type="pct"/>
          </w:tcPr>
          <w:p>
            <w:pPr>
              <w:spacing w:line="360" w:lineRule="auto"/>
              <w:rPr>
                <w:szCs w:val="21"/>
              </w:rPr>
            </w:pPr>
          </w:p>
        </w:tc>
        <w:tc>
          <w:tcPr>
            <w:tcW w:w="2074" w:type="pct"/>
            <w:gridSpan w:val="4"/>
          </w:tcPr>
          <w:p>
            <w:pPr>
              <w:spacing w:line="360" w:lineRule="auto"/>
              <w:rPr>
                <w:szCs w:val="21"/>
              </w:rPr>
            </w:pPr>
          </w:p>
        </w:tc>
        <w:tc>
          <w:tcPr>
            <w:tcW w:w="942" w:type="pct"/>
            <w:gridSpan w:val="2"/>
          </w:tcPr>
          <w:p>
            <w:pPr>
              <w:spacing w:line="360" w:lineRule="auto"/>
              <w:rPr>
                <w:szCs w:val="21"/>
              </w:rPr>
            </w:pPr>
          </w:p>
        </w:tc>
        <w:tc>
          <w:tcPr>
            <w:tcW w:w="1309" w:type="pct"/>
            <w:gridSpan w:val="2"/>
          </w:tcPr>
          <w:p>
            <w:pPr>
              <w:spacing w:line="360" w:lineRule="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73" w:type="pct"/>
          </w:tcPr>
          <w:p>
            <w:pPr>
              <w:spacing w:line="360" w:lineRule="auto"/>
              <w:rPr>
                <w:szCs w:val="21"/>
              </w:rPr>
            </w:pPr>
          </w:p>
        </w:tc>
        <w:tc>
          <w:tcPr>
            <w:tcW w:w="2074" w:type="pct"/>
            <w:gridSpan w:val="4"/>
          </w:tcPr>
          <w:p>
            <w:pPr>
              <w:spacing w:line="360" w:lineRule="auto"/>
              <w:rPr>
                <w:szCs w:val="21"/>
              </w:rPr>
            </w:pPr>
          </w:p>
        </w:tc>
        <w:tc>
          <w:tcPr>
            <w:tcW w:w="942" w:type="pct"/>
            <w:gridSpan w:val="2"/>
          </w:tcPr>
          <w:p>
            <w:pPr>
              <w:spacing w:line="360" w:lineRule="auto"/>
              <w:rPr>
                <w:szCs w:val="21"/>
              </w:rPr>
            </w:pPr>
          </w:p>
        </w:tc>
        <w:tc>
          <w:tcPr>
            <w:tcW w:w="1309" w:type="pct"/>
            <w:gridSpan w:val="2"/>
          </w:tcPr>
          <w:p>
            <w:pPr>
              <w:spacing w:line="360" w:lineRule="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73" w:type="pct"/>
          </w:tcPr>
          <w:p>
            <w:pPr>
              <w:spacing w:line="360" w:lineRule="auto"/>
              <w:rPr>
                <w:szCs w:val="21"/>
              </w:rPr>
            </w:pPr>
          </w:p>
        </w:tc>
        <w:tc>
          <w:tcPr>
            <w:tcW w:w="2074" w:type="pct"/>
            <w:gridSpan w:val="4"/>
          </w:tcPr>
          <w:p>
            <w:pPr>
              <w:spacing w:line="360" w:lineRule="auto"/>
              <w:rPr>
                <w:szCs w:val="21"/>
              </w:rPr>
            </w:pPr>
          </w:p>
        </w:tc>
        <w:tc>
          <w:tcPr>
            <w:tcW w:w="942" w:type="pct"/>
            <w:gridSpan w:val="2"/>
          </w:tcPr>
          <w:p>
            <w:pPr>
              <w:spacing w:line="360" w:lineRule="auto"/>
              <w:rPr>
                <w:szCs w:val="21"/>
              </w:rPr>
            </w:pPr>
          </w:p>
        </w:tc>
        <w:tc>
          <w:tcPr>
            <w:tcW w:w="1309" w:type="pct"/>
            <w:gridSpan w:val="2"/>
          </w:tcPr>
          <w:p>
            <w:pPr>
              <w:spacing w:line="360" w:lineRule="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673" w:type="pct"/>
          </w:tcPr>
          <w:p>
            <w:pPr>
              <w:spacing w:line="360" w:lineRule="auto"/>
              <w:rPr>
                <w:szCs w:val="21"/>
              </w:rPr>
            </w:pPr>
          </w:p>
        </w:tc>
        <w:tc>
          <w:tcPr>
            <w:tcW w:w="2074" w:type="pct"/>
            <w:gridSpan w:val="4"/>
          </w:tcPr>
          <w:p>
            <w:pPr>
              <w:spacing w:line="360" w:lineRule="auto"/>
              <w:rPr>
                <w:szCs w:val="21"/>
              </w:rPr>
            </w:pPr>
          </w:p>
        </w:tc>
        <w:tc>
          <w:tcPr>
            <w:tcW w:w="942" w:type="pct"/>
            <w:gridSpan w:val="2"/>
          </w:tcPr>
          <w:p>
            <w:pPr>
              <w:spacing w:line="360" w:lineRule="auto"/>
              <w:rPr>
                <w:szCs w:val="21"/>
              </w:rPr>
            </w:pPr>
          </w:p>
        </w:tc>
        <w:tc>
          <w:tcPr>
            <w:tcW w:w="1309" w:type="pct"/>
            <w:gridSpan w:val="2"/>
          </w:tcPr>
          <w:p>
            <w:pPr>
              <w:spacing w:line="360" w:lineRule="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673" w:type="pct"/>
          </w:tcPr>
          <w:p>
            <w:pPr>
              <w:spacing w:line="360" w:lineRule="auto"/>
              <w:rPr>
                <w:szCs w:val="21"/>
              </w:rPr>
            </w:pPr>
          </w:p>
        </w:tc>
        <w:tc>
          <w:tcPr>
            <w:tcW w:w="2074" w:type="pct"/>
            <w:gridSpan w:val="4"/>
          </w:tcPr>
          <w:p>
            <w:pPr>
              <w:spacing w:line="360" w:lineRule="auto"/>
              <w:rPr>
                <w:szCs w:val="21"/>
              </w:rPr>
            </w:pPr>
          </w:p>
        </w:tc>
        <w:tc>
          <w:tcPr>
            <w:tcW w:w="942" w:type="pct"/>
            <w:gridSpan w:val="2"/>
          </w:tcPr>
          <w:p>
            <w:pPr>
              <w:spacing w:line="360" w:lineRule="auto"/>
              <w:rPr>
                <w:szCs w:val="21"/>
              </w:rPr>
            </w:pPr>
          </w:p>
        </w:tc>
        <w:tc>
          <w:tcPr>
            <w:tcW w:w="1309" w:type="pct"/>
            <w:gridSpan w:val="2"/>
          </w:tcPr>
          <w:p>
            <w:pPr>
              <w:spacing w:line="360" w:lineRule="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673" w:type="pct"/>
          </w:tcPr>
          <w:p>
            <w:pPr>
              <w:spacing w:line="360" w:lineRule="auto"/>
              <w:rPr>
                <w:szCs w:val="21"/>
              </w:rPr>
            </w:pPr>
          </w:p>
        </w:tc>
        <w:tc>
          <w:tcPr>
            <w:tcW w:w="2074" w:type="pct"/>
            <w:gridSpan w:val="4"/>
          </w:tcPr>
          <w:p>
            <w:pPr>
              <w:spacing w:line="360" w:lineRule="auto"/>
              <w:rPr>
                <w:szCs w:val="21"/>
              </w:rPr>
            </w:pPr>
          </w:p>
        </w:tc>
        <w:tc>
          <w:tcPr>
            <w:tcW w:w="942" w:type="pct"/>
            <w:gridSpan w:val="2"/>
          </w:tcPr>
          <w:p>
            <w:pPr>
              <w:spacing w:line="360" w:lineRule="auto"/>
              <w:rPr>
                <w:szCs w:val="21"/>
              </w:rPr>
            </w:pPr>
          </w:p>
        </w:tc>
        <w:tc>
          <w:tcPr>
            <w:tcW w:w="1309" w:type="pct"/>
            <w:gridSpan w:val="2"/>
          </w:tcPr>
          <w:p>
            <w:pPr>
              <w:spacing w:line="360" w:lineRule="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73" w:type="pct"/>
          </w:tcPr>
          <w:p>
            <w:pPr>
              <w:spacing w:line="360" w:lineRule="auto"/>
              <w:rPr>
                <w:szCs w:val="21"/>
              </w:rPr>
            </w:pPr>
          </w:p>
        </w:tc>
        <w:tc>
          <w:tcPr>
            <w:tcW w:w="2074" w:type="pct"/>
            <w:gridSpan w:val="4"/>
          </w:tcPr>
          <w:p>
            <w:pPr>
              <w:spacing w:line="360" w:lineRule="auto"/>
              <w:rPr>
                <w:szCs w:val="21"/>
              </w:rPr>
            </w:pPr>
          </w:p>
        </w:tc>
        <w:tc>
          <w:tcPr>
            <w:tcW w:w="942" w:type="pct"/>
            <w:gridSpan w:val="2"/>
          </w:tcPr>
          <w:p>
            <w:pPr>
              <w:spacing w:line="360" w:lineRule="auto"/>
              <w:rPr>
                <w:szCs w:val="21"/>
              </w:rPr>
            </w:pPr>
          </w:p>
        </w:tc>
        <w:tc>
          <w:tcPr>
            <w:tcW w:w="1309" w:type="pct"/>
            <w:gridSpan w:val="2"/>
          </w:tcPr>
          <w:p>
            <w:pPr>
              <w:spacing w:line="360" w:lineRule="auto"/>
              <w:rPr>
                <w:szCs w:val="21"/>
              </w:rPr>
            </w:pPr>
          </w:p>
        </w:tc>
      </w:tr>
    </w:tbl>
    <w:p>
      <w:pPr>
        <w:spacing w:line="380" w:lineRule="exact"/>
        <w:ind w:firstLine="630" w:firstLineChars="300"/>
        <w:rPr>
          <w:szCs w:val="21"/>
        </w:rPr>
      </w:pPr>
      <w:r>
        <w:rPr>
          <w:rFonts w:hint="eastAsia"/>
          <w:szCs w:val="21"/>
        </w:rPr>
        <w:t>（注：表后应附相应人员的注册证书或岗位证书及身份证</w:t>
      </w:r>
      <w:r>
        <w:rPr>
          <w:rFonts w:hint="eastAsia"/>
          <w:szCs w:val="21"/>
          <w:lang w:eastAsia="zh-CN"/>
        </w:rPr>
        <w:t>扫描件</w:t>
      </w:r>
      <w:r>
        <w:rPr>
          <w:rFonts w:hint="eastAsia"/>
          <w:szCs w:val="21"/>
        </w:rPr>
        <w:t>等相关证件。）</w:t>
      </w:r>
    </w:p>
    <w:p>
      <w:pPr>
        <w:rPr>
          <w:rFonts w:ascii="宋体" w:hAnsi="宋体" w:cs="宋体"/>
          <w:szCs w:val="24"/>
        </w:rPr>
      </w:pPr>
    </w:p>
    <w:p>
      <w:pPr>
        <w:pStyle w:val="64"/>
        <w:pageBreakBefore/>
        <w:jc w:val="center"/>
        <w:rPr>
          <w:rFonts w:ascii="宋体" w:cs="宋体"/>
          <w:color w:val="000000" w:themeColor="text1"/>
          <w:sz w:val="32"/>
          <w14:textFill>
            <w14:solidFill>
              <w14:schemeClr w14:val="tx1"/>
            </w14:solidFill>
          </w14:textFill>
        </w:rPr>
      </w:pPr>
      <w:bookmarkStart w:id="810" w:name="_Toc18161"/>
      <w:bookmarkStart w:id="811" w:name="_Toc16945"/>
      <w:bookmarkStart w:id="812" w:name="_Toc22149"/>
      <w:r>
        <w:rPr>
          <w:rFonts w:hint="eastAsia" w:ascii="宋体" w:cs="宋体"/>
          <w:color w:val="000000" w:themeColor="text1"/>
          <w:sz w:val="32"/>
          <w:lang w:val="en-US" w:eastAsia="zh-CN"/>
          <w14:textFill>
            <w14:solidFill>
              <w14:schemeClr w14:val="tx1"/>
            </w14:solidFill>
          </w14:textFill>
        </w:rPr>
        <w:t xml:space="preserve"> </w:t>
      </w:r>
      <w:r>
        <w:rPr>
          <w:rFonts w:hint="eastAsia" w:ascii="宋体" w:cs="宋体"/>
          <w:color w:val="000000" w:themeColor="text1"/>
          <w:sz w:val="32"/>
          <w14:textFill>
            <w14:solidFill>
              <w14:schemeClr w14:val="tx1"/>
            </w14:solidFill>
          </w14:textFill>
        </w:rPr>
        <w:t>七、资格审查资料</w:t>
      </w:r>
      <w:bookmarkEnd w:id="810"/>
      <w:bookmarkEnd w:id="811"/>
      <w:bookmarkEnd w:id="812"/>
    </w:p>
    <w:p>
      <w:pPr>
        <w:pStyle w:val="8"/>
        <w:kinsoku w:val="0"/>
        <w:overflowPunct w:val="0"/>
        <w:spacing w:before="14"/>
        <w:ind w:left="377"/>
        <w:jc w:val="center"/>
        <w:rPr>
          <w:rFonts w:hint="default" w:hAnsi="宋体" w:cs="宋体"/>
          <w:color w:val="000000" w:themeColor="text1"/>
          <w14:textFill>
            <w14:solidFill>
              <w14:schemeClr w14:val="tx1"/>
            </w14:solidFill>
          </w14:textFill>
        </w:rPr>
      </w:pPr>
      <w:bookmarkStart w:id="813" w:name="bookmark185"/>
      <w:bookmarkEnd w:id="813"/>
      <w:r>
        <w:rPr>
          <w:rFonts w:hAnsi="宋体" w:cs="宋体"/>
          <w:color w:val="000000" w:themeColor="text1"/>
          <w14:textFill>
            <w14:solidFill>
              <w14:schemeClr w14:val="tx1"/>
            </w14:solidFill>
          </w14:textFill>
        </w:rPr>
        <w:t>（一）基本情况表</w:t>
      </w:r>
    </w:p>
    <w:tbl>
      <w:tblPr>
        <w:tblStyle w:val="26"/>
        <w:tblW w:w="931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52"/>
        <w:gridCol w:w="1107"/>
        <w:gridCol w:w="1330"/>
        <w:gridCol w:w="1331"/>
        <w:gridCol w:w="1106"/>
        <w:gridCol w:w="225"/>
        <w:gridCol w:w="1331"/>
        <w:gridCol w:w="13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5" w:hRule="atLeast"/>
          <w:jc w:val="center"/>
        </w:trPr>
        <w:tc>
          <w:tcPr>
            <w:tcW w:w="1552" w:type="dxa"/>
            <w:vAlign w:val="center"/>
          </w:tcPr>
          <w:p>
            <w:pPr>
              <w:pStyle w:val="65"/>
              <w:jc w:val="center"/>
              <w:rPr>
                <w:color w:val="000000" w:themeColor="text1"/>
                <w14:textFill>
                  <w14:solidFill>
                    <w14:schemeClr w14:val="tx1"/>
                  </w14:solidFill>
                </w14:textFill>
              </w:rPr>
            </w:pPr>
            <w:r>
              <w:rPr>
                <w:color w:val="000000" w:themeColor="text1"/>
                <w14:textFill>
                  <w14:solidFill>
                    <w14:schemeClr w14:val="tx1"/>
                  </w14:solidFill>
                </w14:textFill>
              </w:rPr>
              <w:t>投标人名称</w:t>
            </w:r>
          </w:p>
        </w:tc>
        <w:tc>
          <w:tcPr>
            <w:tcW w:w="7761" w:type="dxa"/>
            <w:gridSpan w:val="7"/>
            <w:vAlign w:val="center"/>
          </w:tcPr>
          <w:p>
            <w:pPr>
              <w:pStyle w:val="65"/>
              <w:jc w:val="center"/>
              <w:rPr>
                <w:rFonts w:ascii="Times New Roman"/>
                <w:color w:val="000000" w:themeColor="text1"/>
                <w:sz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jc w:val="center"/>
        </w:trPr>
        <w:tc>
          <w:tcPr>
            <w:tcW w:w="1552" w:type="dxa"/>
            <w:vAlign w:val="center"/>
          </w:tcPr>
          <w:p>
            <w:pPr>
              <w:pStyle w:val="65"/>
              <w:jc w:val="center"/>
              <w:rPr>
                <w:color w:val="000000" w:themeColor="text1"/>
                <w14:textFill>
                  <w14:solidFill>
                    <w14:schemeClr w14:val="tx1"/>
                  </w14:solidFill>
                </w14:textFill>
              </w:rPr>
            </w:pPr>
            <w:r>
              <w:rPr>
                <w:color w:val="000000" w:themeColor="text1"/>
                <w14:textFill>
                  <w14:solidFill>
                    <w14:schemeClr w14:val="tx1"/>
                  </w14:solidFill>
                </w14:textFill>
              </w:rPr>
              <w:t>注册地址</w:t>
            </w:r>
          </w:p>
        </w:tc>
        <w:tc>
          <w:tcPr>
            <w:tcW w:w="3768" w:type="dxa"/>
            <w:gridSpan w:val="3"/>
            <w:vAlign w:val="center"/>
          </w:tcPr>
          <w:p>
            <w:pPr>
              <w:pStyle w:val="65"/>
              <w:jc w:val="center"/>
              <w:rPr>
                <w:rFonts w:ascii="Times New Roman"/>
                <w:color w:val="000000" w:themeColor="text1"/>
                <w:sz w:val="20"/>
                <w14:textFill>
                  <w14:solidFill>
                    <w14:schemeClr w14:val="tx1"/>
                  </w14:solidFill>
                </w14:textFill>
              </w:rPr>
            </w:pPr>
          </w:p>
        </w:tc>
        <w:tc>
          <w:tcPr>
            <w:tcW w:w="1331" w:type="dxa"/>
            <w:gridSpan w:val="2"/>
            <w:vAlign w:val="center"/>
          </w:tcPr>
          <w:p>
            <w:pPr>
              <w:pStyle w:val="65"/>
              <w:jc w:val="center"/>
              <w:rPr>
                <w:color w:val="000000" w:themeColor="text1"/>
                <w14:textFill>
                  <w14:solidFill>
                    <w14:schemeClr w14:val="tx1"/>
                  </w14:solidFill>
                </w14:textFill>
              </w:rPr>
            </w:pPr>
            <w:r>
              <w:rPr>
                <w:color w:val="000000" w:themeColor="text1"/>
                <w14:textFill>
                  <w14:solidFill>
                    <w14:schemeClr w14:val="tx1"/>
                  </w14:solidFill>
                </w14:textFill>
              </w:rPr>
              <w:t>邮政编码</w:t>
            </w:r>
          </w:p>
        </w:tc>
        <w:tc>
          <w:tcPr>
            <w:tcW w:w="2662" w:type="dxa"/>
            <w:gridSpan w:val="2"/>
            <w:vAlign w:val="center"/>
          </w:tcPr>
          <w:p>
            <w:pPr>
              <w:pStyle w:val="65"/>
              <w:jc w:val="center"/>
              <w:rPr>
                <w:rFonts w:ascii="Times New Roman"/>
                <w:color w:val="000000" w:themeColor="text1"/>
                <w:sz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5" w:hRule="atLeast"/>
          <w:jc w:val="center"/>
        </w:trPr>
        <w:tc>
          <w:tcPr>
            <w:tcW w:w="1552" w:type="dxa"/>
            <w:vMerge w:val="restart"/>
            <w:vAlign w:val="center"/>
          </w:tcPr>
          <w:p>
            <w:pPr>
              <w:pStyle w:val="65"/>
              <w:jc w:val="center"/>
              <w:rPr>
                <w:color w:val="000000" w:themeColor="text1"/>
                <w14:textFill>
                  <w14:solidFill>
                    <w14:schemeClr w14:val="tx1"/>
                  </w14:solidFill>
                </w14:textFill>
              </w:rPr>
            </w:pPr>
            <w:r>
              <w:rPr>
                <w:color w:val="000000" w:themeColor="text1"/>
                <w14:textFill>
                  <w14:solidFill>
                    <w14:schemeClr w14:val="tx1"/>
                  </w14:solidFill>
                </w14:textFill>
              </w:rPr>
              <w:t>联系方式</w:t>
            </w:r>
          </w:p>
        </w:tc>
        <w:tc>
          <w:tcPr>
            <w:tcW w:w="1107" w:type="dxa"/>
            <w:vAlign w:val="center"/>
          </w:tcPr>
          <w:p>
            <w:pPr>
              <w:pStyle w:val="65"/>
              <w:jc w:val="center"/>
              <w:rPr>
                <w:color w:val="000000" w:themeColor="text1"/>
                <w14:textFill>
                  <w14:solidFill>
                    <w14:schemeClr w14:val="tx1"/>
                  </w14:solidFill>
                </w14:textFill>
              </w:rPr>
            </w:pPr>
            <w:r>
              <w:rPr>
                <w:color w:val="000000" w:themeColor="text1"/>
                <w14:textFill>
                  <w14:solidFill>
                    <w14:schemeClr w14:val="tx1"/>
                  </w14:solidFill>
                </w14:textFill>
              </w:rPr>
              <w:t>联系人</w:t>
            </w:r>
          </w:p>
        </w:tc>
        <w:tc>
          <w:tcPr>
            <w:tcW w:w="2661" w:type="dxa"/>
            <w:gridSpan w:val="2"/>
            <w:vAlign w:val="center"/>
          </w:tcPr>
          <w:p>
            <w:pPr>
              <w:pStyle w:val="65"/>
              <w:jc w:val="center"/>
              <w:rPr>
                <w:rFonts w:ascii="Times New Roman"/>
                <w:color w:val="000000" w:themeColor="text1"/>
                <w:sz w:val="20"/>
                <w14:textFill>
                  <w14:solidFill>
                    <w14:schemeClr w14:val="tx1"/>
                  </w14:solidFill>
                </w14:textFill>
              </w:rPr>
            </w:pPr>
          </w:p>
        </w:tc>
        <w:tc>
          <w:tcPr>
            <w:tcW w:w="1331" w:type="dxa"/>
            <w:gridSpan w:val="2"/>
            <w:vAlign w:val="center"/>
          </w:tcPr>
          <w:p>
            <w:pPr>
              <w:pStyle w:val="65"/>
              <w:jc w:val="center"/>
              <w:rPr>
                <w:color w:val="000000" w:themeColor="text1"/>
                <w14:textFill>
                  <w14:solidFill>
                    <w14:schemeClr w14:val="tx1"/>
                  </w14:solidFill>
                </w14:textFill>
              </w:rPr>
            </w:pPr>
            <w:r>
              <w:rPr>
                <w:color w:val="000000" w:themeColor="text1"/>
                <w14:textFill>
                  <w14:solidFill>
                    <w14:schemeClr w14:val="tx1"/>
                  </w14:solidFill>
                </w14:textFill>
              </w:rPr>
              <w:t>电 话</w:t>
            </w:r>
          </w:p>
        </w:tc>
        <w:tc>
          <w:tcPr>
            <w:tcW w:w="2662" w:type="dxa"/>
            <w:gridSpan w:val="2"/>
            <w:vAlign w:val="center"/>
          </w:tcPr>
          <w:p>
            <w:pPr>
              <w:pStyle w:val="65"/>
              <w:jc w:val="center"/>
              <w:rPr>
                <w:rFonts w:ascii="Times New Roman"/>
                <w:color w:val="000000" w:themeColor="text1"/>
                <w:sz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1552" w:type="dxa"/>
            <w:vMerge w:val="continue"/>
            <w:tcBorders>
              <w:top w:val="nil"/>
            </w:tcBorders>
            <w:vAlign w:val="center"/>
          </w:tcPr>
          <w:p>
            <w:pPr>
              <w:jc w:val="center"/>
              <w:rPr>
                <w:color w:val="000000" w:themeColor="text1"/>
                <w:sz w:val="2"/>
                <w:szCs w:val="2"/>
                <w14:textFill>
                  <w14:solidFill>
                    <w14:schemeClr w14:val="tx1"/>
                  </w14:solidFill>
                </w14:textFill>
              </w:rPr>
            </w:pPr>
          </w:p>
        </w:tc>
        <w:tc>
          <w:tcPr>
            <w:tcW w:w="1107" w:type="dxa"/>
            <w:vAlign w:val="center"/>
          </w:tcPr>
          <w:p>
            <w:pPr>
              <w:pStyle w:val="65"/>
              <w:tabs>
                <w:tab w:val="left" w:pos="427"/>
              </w:tabs>
              <w:jc w:val="center"/>
              <w:rPr>
                <w:color w:val="000000" w:themeColor="text1"/>
                <w14:textFill>
                  <w14:solidFill>
                    <w14:schemeClr w14:val="tx1"/>
                  </w14:solidFill>
                </w14:textFill>
              </w:rPr>
            </w:pPr>
            <w:r>
              <w:rPr>
                <w:color w:val="000000" w:themeColor="text1"/>
                <w14:textFill>
                  <w14:solidFill>
                    <w14:schemeClr w14:val="tx1"/>
                  </w14:solidFill>
                </w14:textFill>
              </w:rPr>
              <w:t>传</w:t>
            </w:r>
            <w:r>
              <w:rPr>
                <w:color w:val="000000" w:themeColor="text1"/>
                <w14:textFill>
                  <w14:solidFill>
                    <w14:schemeClr w14:val="tx1"/>
                  </w14:solidFill>
                </w14:textFill>
              </w:rPr>
              <w:tab/>
            </w:r>
            <w:r>
              <w:rPr>
                <w:color w:val="000000" w:themeColor="text1"/>
                <w14:textFill>
                  <w14:solidFill>
                    <w14:schemeClr w14:val="tx1"/>
                  </w14:solidFill>
                </w14:textFill>
              </w:rPr>
              <w:t>真</w:t>
            </w:r>
          </w:p>
        </w:tc>
        <w:tc>
          <w:tcPr>
            <w:tcW w:w="2661" w:type="dxa"/>
            <w:gridSpan w:val="2"/>
            <w:vAlign w:val="center"/>
          </w:tcPr>
          <w:p>
            <w:pPr>
              <w:pStyle w:val="65"/>
              <w:jc w:val="center"/>
              <w:rPr>
                <w:rFonts w:ascii="Times New Roman"/>
                <w:color w:val="000000" w:themeColor="text1"/>
                <w:sz w:val="20"/>
                <w14:textFill>
                  <w14:solidFill>
                    <w14:schemeClr w14:val="tx1"/>
                  </w14:solidFill>
                </w14:textFill>
              </w:rPr>
            </w:pPr>
          </w:p>
        </w:tc>
        <w:tc>
          <w:tcPr>
            <w:tcW w:w="1331" w:type="dxa"/>
            <w:gridSpan w:val="2"/>
            <w:vAlign w:val="center"/>
          </w:tcPr>
          <w:p>
            <w:pPr>
              <w:pStyle w:val="65"/>
              <w:jc w:val="center"/>
              <w:rPr>
                <w:color w:val="000000" w:themeColor="text1"/>
                <w14:textFill>
                  <w14:solidFill>
                    <w14:schemeClr w14:val="tx1"/>
                  </w14:solidFill>
                </w14:textFill>
              </w:rPr>
            </w:pPr>
            <w:r>
              <w:rPr>
                <w:color w:val="000000" w:themeColor="text1"/>
                <w14:textFill>
                  <w14:solidFill>
                    <w14:schemeClr w14:val="tx1"/>
                  </w14:solidFill>
                </w14:textFill>
              </w:rPr>
              <w:t>网 址</w:t>
            </w:r>
          </w:p>
        </w:tc>
        <w:tc>
          <w:tcPr>
            <w:tcW w:w="2662" w:type="dxa"/>
            <w:gridSpan w:val="2"/>
            <w:vAlign w:val="center"/>
          </w:tcPr>
          <w:p>
            <w:pPr>
              <w:pStyle w:val="65"/>
              <w:jc w:val="center"/>
              <w:rPr>
                <w:rFonts w:ascii="Times New Roman"/>
                <w:color w:val="000000" w:themeColor="text1"/>
                <w:sz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5" w:hRule="atLeast"/>
          <w:jc w:val="center"/>
        </w:trPr>
        <w:tc>
          <w:tcPr>
            <w:tcW w:w="1552" w:type="dxa"/>
            <w:vAlign w:val="center"/>
          </w:tcPr>
          <w:p>
            <w:pPr>
              <w:pStyle w:val="65"/>
              <w:jc w:val="center"/>
              <w:rPr>
                <w:color w:val="000000" w:themeColor="text1"/>
                <w14:textFill>
                  <w14:solidFill>
                    <w14:schemeClr w14:val="tx1"/>
                  </w14:solidFill>
                </w14:textFill>
              </w:rPr>
            </w:pPr>
            <w:r>
              <w:rPr>
                <w:color w:val="000000" w:themeColor="text1"/>
                <w14:textFill>
                  <w14:solidFill>
                    <w14:schemeClr w14:val="tx1"/>
                  </w14:solidFill>
                </w14:textFill>
              </w:rPr>
              <w:t>组织结构</w:t>
            </w:r>
          </w:p>
        </w:tc>
        <w:tc>
          <w:tcPr>
            <w:tcW w:w="7761" w:type="dxa"/>
            <w:gridSpan w:val="7"/>
            <w:vAlign w:val="center"/>
          </w:tcPr>
          <w:p>
            <w:pPr>
              <w:pStyle w:val="65"/>
              <w:jc w:val="center"/>
              <w:rPr>
                <w:rFonts w:ascii="Times New Roman"/>
                <w:color w:val="000000" w:themeColor="text1"/>
                <w:sz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jc w:val="center"/>
        </w:trPr>
        <w:tc>
          <w:tcPr>
            <w:tcW w:w="1552" w:type="dxa"/>
            <w:vAlign w:val="center"/>
          </w:tcPr>
          <w:p>
            <w:pPr>
              <w:pStyle w:val="65"/>
              <w:jc w:val="center"/>
              <w:rPr>
                <w:color w:val="000000" w:themeColor="text1"/>
                <w14:textFill>
                  <w14:solidFill>
                    <w14:schemeClr w14:val="tx1"/>
                  </w14:solidFill>
                </w14:textFill>
              </w:rPr>
            </w:pPr>
            <w:r>
              <w:rPr>
                <w:color w:val="000000" w:themeColor="text1"/>
                <w14:textFill>
                  <w14:solidFill>
                    <w14:schemeClr w14:val="tx1"/>
                  </w14:solidFill>
                </w14:textFill>
              </w:rPr>
              <w:t>法定代表人</w:t>
            </w:r>
          </w:p>
        </w:tc>
        <w:tc>
          <w:tcPr>
            <w:tcW w:w="1107" w:type="dxa"/>
            <w:vAlign w:val="center"/>
          </w:tcPr>
          <w:p>
            <w:pPr>
              <w:pStyle w:val="65"/>
              <w:jc w:val="center"/>
              <w:rPr>
                <w:color w:val="000000" w:themeColor="text1"/>
                <w14:textFill>
                  <w14:solidFill>
                    <w14:schemeClr w14:val="tx1"/>
                  </w14:solidFill>
                </w14:textFill>
              </w:rPr>
            </w:pPr>
            <w:r>
              <w:rPr>
                <w:color w:val="000000" w:themeColor="text1"/>
                <w14:textFill>
                  <w14:solidFill>
                    <w14:schemeClr w14:val="tx1"/>
                  </w14:solidFill>
                </w14:textFill>
              </w:rPr>
              <w:t>姓名</w:t>
            </w:r>
          </w:p>
        </w:tc>
        <w:tc>
          <w:tcPr>
            <w:tcW w:w="1330" w:type="dxa"/>
            <w:vAlign w:val="center"/>
          </w:tcPr>
          <w:p>
            <w:pPr>
              <w:pStyle w:val="65"/>
              <w:jc w:val="center"/>
              <w:rPr>
                <w:rFonts w:ascii="Times New Roman"/>
                <w:color w:val="000000" w:themeColor="text1"/>
                <w:sz w:val="20"/>
                <w14:textFill>
                  <w14:solidFill>
                    <w14:schemeClr w14:val="tx1"/>
                  </w14:solidFill>
                </w14:textFill>
              </w:rPr>
            </w:pPr>
          </w:p>
        </w:tc>
        <w:tc>
          <w:tcPr>
            <w:tcW w:w="1331" w:type="dxa"/>
            <w:vAlign w:val="center"/>
          </w:tcPr>
          <w:p>
            <w:pPr>
              <w:pStyle w:val="65"/>
              <w:jc w:val="center"/>
              <w:rPr>
                <w:color w:val="000000" w:themeColor="text1"/>
                <w14:textFill>
                  <w14:solidFill>
                    <w14:schemeClr w14:val="tx1"/>
                  </w14:solidFill>
                </w14:textFill>
              </w:rPr>
            </w:pPr>
            <w:r>
              <w:rPr>
                <w:color w:val="000000" w:themeColor="text1"/>
                <w14:textFill>
                  <w14:solidFill>
                    <w14:schemeClr w14:val="tx1"/>
                  </w14:solidFill>
                </w14:textFill>
              </w:rPr>
              <w:t>技术职称</w:t>
            </w:r>
          </w:p>
        </w:tc>
        <w:tc>
          <w:tcPr>
            <w:tcW w:w="1331" w:type="dxa"/>
            <w:gridSpan w:val="2"/>
            <w:vAlign w:val="center"/>
          </w:tcPr>
          <w:p>
            <w:pPr>
              <w:pStyle w:val="65"/>
              <w:jc w:val="center"/>
              <w:rPr>
                <w:rFonts w:ascii="Times New Roman"/>
                <w:color w:val="000000" w:themeColor="text1"/>
                <w:sz w:val="20"/>
                <w14:textFill>
                  <w14:solidFill>
                    <w14:schemeClr w14:val="tx1"/>
                  </w14:solidFill>
                </w14:textFill>
              </w:rPr>
            </w:pPr>
          </w:p>
        </w:tc>
        <w:tc>
          <w:tcPr>
            <w:tcW w:w="1331" w:type="dxa"/>
            <w:vAlign w:val="center"/>
          </w:tcPr>
          <w:p>
            <w:pPr>
              <w:pStyle w:val="65"/>
              <w:jc w:val="center"/>
              <w:rPr>
                <w:color w:val="000000" w:themeColor="text1"/>
                <w14:textFill>
                  <w14:solidFill>
                    <w14:schemeClr w14:val="tx1"/>
                  </w14:solidFill>
                </w14:textFill>
              </w:rPr>
            </w:pPr>
            <w:r>
              <w:rPr>
                <w:color w:val="000000" w:themeColor="text1"/>
                <w14:textFill>
                  <w14:solidFill>
                    <w14:schemeClr w14:val="tx1"/>
                  </w14:solidFill>
                </w14:textFill>
              </w:rPr>
              <w:t>电话</w:t>
            </w:r>
          </w:p>
        </w:tc>
        <w:tc>
          <w:tcPr>
            <w:tcW w:w="1331" w:type="dxa"/>
            <w:vAlign w:val="center"/>
          </w:tcPr>
          <w:p>
            <w:pPr>
              <w:pStyle w:val="65"/>
              <w:jc w:val="center"/>
              <w:rPr>
                <w:rFonts w:ascii="Times New Roman"/>
                <w:color w:val="000000" w:themeColor="text1"/>
                <w:sz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5" w:hRule="atLeast"/>
          <w:jc w:val="center"/>
        </w:trPr>
        <w:tc>
          <w:tcPr>
            <w:tcW w:w="1552" w:type="dxa"/>
            <w:vAlign w:val="center"/>
          </w:tcPr>
          <w:p>
            <w:pPr>
              <w:pStyle w:val="65"/>
              <w:jc w:val="center"/>
              <w:rPr>
                <w:color w:val="000000" w:themeColor="text1"/>
                <w14:textFill>
                  <w14:solidFill>
                    <w14:schemeClr w14:val="tx1"/>
                  </w14:solidFill>
                </w14:textFill>
              </w:rPr>
            </w:pPr>
            <w:r>
              <w:rPr>
                <w:color w:val="000000" w:themeColor="text1"/>
                <w14:textFill>
                  <w14:solidFill>
                    <w14:schemeClr w14:val="tx1"/>
                  </w14:solidFill>
                </w14:textFill>
              </w:rPr>
              <w:t>技术负责人</w:t>
            </w:r>
          </w:p>
        </w:tc>
        <w:tc>
          <w:tcPr>
            <w:tcW w:w="1107" w:type="dxa"/>
            <w:vAlign w:val="center"/>
          </w:tcPr>
          <w:p>
            <w:pPr>
              <w:pStyle w:val="65"/>
              <w:jc w:val="center"/>
              <w:rPr>
                <w:color w:val="000000" w:themeColor="text1"/>
                <w14:textFill>
                  <w14:solidFill>
                    <w14:schemeClr w14:val="tx1"/>
                  </w14:solidFill>
                </w14:textFill>
              </w:rPr>
            </w:pPr>
            <w:r>
              <w:rPr>
                <w:color w:val="000000" w:themeColor="text1"/>
                <w14:textFill>
                  <w14:solidFill>
                    <w14:schemeClr w14:val="tx1"/>
                  </w14:solidFill>
                </w14:textFill>
              </w:rPr>
              <w:t>姓名</w:t>
            </w:r>
          </w:p>
        </w:tc>
        <w:tc>
          <w:tcPr>
            <w:tcW w:w="1330" w:type="dxa"/>
            <w:vAlign w:val="center"/>
          </w:tcPr>
          <w:p>
            <w:pPr>
              <w:pStyle w:val="65"/>
              <w:jc w:val="center"/>
              <w:rPr>
                <w:rFonts w:ascii="Times New Roman"/>
                <w:color w:val="000000" w:themeColor="text1"/>
                <w:sz w:val="20"/>
                <w14:textFill>
                  <w14:solidFill>
                    <w14:schemeClr w14:val="tx1"/>
                  </w14:solidFill>
                </w14:textFill>
              </w:rPr>
            </w:pPr>
          </w:p>
        </w:tc>
        <w:tc>
          <w:tcPr>
            <w:tcW w:w="1331" w:type="dxa"/>
            <w:vAlign w:val="center"/>
          </w:tcPr>
          <w:p>
            <w:pPr>
              <w:pStyle w:val="65"/>
              <w:jc w:val="center"/>
              <w:rPr>
                <w:color w:val="000000" w:themeColor="text1"/>
                <w14:textFill>
                  <w14:solidFill>
                    <w14:schemeClr w14:val="tx1"/>
                  </w14:solidFill>
                </w14:textFill>
              </w:rPr>
            </w:pPr>
            <w:r>
              <w:rPr>
                <w:color w:val="000000" w:themeColor="text1"/>
                <w14:textFill>
                  <w14:solidFill>
                    <w14:schemeClr w14:val="tx1"/>
                  </w14:solidFill>
                </w14:textFill>
              </w:rPr>
              <w:t>技术职称</w:t>
            </w:r>
          </w:p>
        </w:tc>
        <w:tc>
          <w:tcPr>
            <w:tcW w:w="1331" w:type="dxa"/>
            <w:gridSpan w:val="2"/>
            <w:vAlign w:val="center"/>
          </w:tcPr>
          <w:p>
            <w:pPr>
              <w:pStyle w:val="65"/>
              <w:jc w:val="center"/>
              <w:rPr>
                <w:rFonts w:ascii="Times New Roman"/>
                <w:color w:val="000000" w:themeColor="text1"/>
                <w:sz w:val="20"/>
                <w14:textFill>
                  <w14:solidFill>
                    <w14:schemeClr w14:val="tx1"/>
                  </w14:solidFill>
                </w14:textFill>
              </w:rPr>
            </w:pPr>
          </w:p>
        </w:tc>
        <w:tc>
          <w:tcPr>
            <w:tcW w:w="1331" w:type="dxa"/>
            <w:vAlign w:val="center"/>
          </w:tcPr>
          <w:p>
            <w:pPr>
              <w:pStyle w:val="65"/>
              <w:jc w:val="center"/>
              <w:rPr>
                <w:color w:val="000000" w:themeColor="text1"/>
                <w14:textFill>
                  <w14:solidFill>
                    <w14:schemeClr w14:val="tx1"/>
                  </w14:solidFill>
                </w14:textFill>
              </w:rPr>
            </w:pPr>
            <w:r>
              <w:rPr>
                <w:color w:val="000000" w:themeColor="text1"/>
                <w14:textFill>
                  <w14:solidFill>
                    <w14:schemeClr w14:val="tx1"/>
                  </w14:solidFill>
                </w14:textFill>
              </w:rPr>
              <w:t>电话</w:t>
            </w:r>
          </w:p>
        </w:tc>
        <w:tc>
          <w:tcPr>
            <w:tcW w:w="1331" w:type="dxa"/>
            <w:vAlign w:val="center"/>
          </w:tcPr>
          <w:p>
            <w:pPr>
              <w:pStyle w:val="65"/>
              <w:jc w:val="center"/>
              <w:rPr>
                <w:rFonts w:ascii="Times New Roman"/>
                <w:color w:val="000000" w:themeColor="text1"/>
                <w:sz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552" w:type="dxa"/>
            <w:vAlign w:val="center"/>
          </w:tcPr>
          <w:p>
            <w:pPr>
              <w:pStyle w:val="65"/>
              <w:jc w:val="center"/>
              <w:rPr>
                <w:color w:val="000000" w:themeColor="text1"/>
                <w14:textFill>
                  <w14:solidFill>
                    <w14:schemeClr w14:val="tx1"/>
                  </w14:solidFill>
                </w14:textFill>
              </w:rPr>
            </w:pPr>
            <w:r>
              <w:rPr>
                <w:color w:val="000000" w:themeColor="text1"/>
                <w14:textFill>
                  <w14:solidFill>
                    <w14:schemeClr w14:val="tx1"/>
                  </w14:solidFill>
                </w14:textFill>
              </w:rPr>
              <w:t>成立时间</w:t>
            </w:r>
          </w:p>
        </w:tc>
        <w:tc>
          <w:tcPr>
            <w:tcW w:w="3768" w:type="dxa"/>
            <w:gridSpan w:val="3"/>
            <w:vAlign w:val="center"/>
          </w:tcPr>
          <w:p>
            <w:pPr>
              <w:pStyle w:val="65"/>
              <w:jc w:val="center"/>
              <w:rPr>
                <w:rFonts w:ascii="Times New Roman"/>
                <w:color w:val="000000" w:themeColor="text1"/>
                <w:sz w:val="20"/>
                <w14:textFill>
                  <w14:solidFill>
                    <w14:schemeClr w14:val="tx1"/>
                  </w14:solidFill>
                </w14:textFill>
              </w:rPr>
            </w:pPr>
          </w:p>
        </w:tc>
        <w:tc>
          <w:tcPr>
            <w:tcW w:w="3993" w:type="dxa"/>
            <w:gridSpan w:val="4"/>
            <w:vAlign w:val="center"/>
          </w:tcPr>
          <w:p>
            <w:pPr>
              <w:pStyle w:val="65"/>
              <w:jc w:val="center"/>
              <w:rPr>
                <w:color w:val="000000" w:themeColor="text1"/>
                <w14:textFill>
                  <w14:solidFill>
                    <w14:schemeClr w14:val="tx1"/>
                  </w14:solidFill>
                </w14:textFill>
              </w:rPr>
            </w:pPr>
            <w:r>
              <w:rPr>
                <w:color w:val="000000" w:themeColor="text1"/>
                <w14:textFill>
                  <w14:solidFill>
                    <w14:schemeClr w14:val="tx1"/>
                  </w14:solidFill>
                </w14:textFill>
              </w:rPr>
              <w:t>员工总人数：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0" w:hRule="atLeast"/>
          <w:jc w:val="center"/>
        </w:trPr>
        <w:tc>
          <w:tcPr>
            <w:tcW w:w="1552" w:type="dxa"/>
            <w:vAlign w:val="center"/>
          </w:tcPr>
          <w:p>
            <w:pPr>
              <w:pStyle w:val="65"/>
              <w:jc w:val="center"/>
              <w:rPr>
                <w:color w:val="000000" w:themeColor="text1"/>
                <w14:textFill>
                  <w14:solidFill>
                    <w14:schemeClr w14:val="tx1"/>
                  </w14:solidFill>
                </w14:textFill>
              </w:rPr>
            </w:pPr>
            <w:r>
              <w:rPr>
                <w:color w:val="000000" w:themeColor="text1"/>
                <w14:textFill>
                  <w14:solidFill>
                    <w14:schemeClr w14:val="tx1"/>
                  </w14:solidFill>
                </w14:textFill>
              </w:rPr>
              <w:t>企业资质等级</w:t>
            </w:r>
          </w:p>
        </w:tc>
        <w:tc>
          <w:tcPr>
            <w:tcW w:w="3768" w:type="dxa"/>
            <w:gridSpan w:val="3"/>
            <w:vAlign w:val="center"/>
          </w:tcPr>
          <w:p>
            <w:pPr>
              <w:pStyle w:val="65"/>
              <w:jc w:val="center"/>
              <w:rPr>
                <w:rFonts w:ascii="Times New Roman"/>
                <w:color w:val="000000" w:themeColor="text1"/>
                <w:sz w:val="20"/>
                <w14:textFill>
                  <w14:solidFill>
                    <w14:schemeClr w14:val="tx1"/>
                  </w14:solidFill>
                </w14:textFill>
              </w:rPr>
            </w:pPr>
          </w:p>
        </w:tc>
        <w:tc>
          <w:tcPr>
            <w:tcW w:w="1106" w:type="dxa"/>
            <w:vMerge w:val="restart"/>
            <w:vAlign w:val="center"/>
          </w:tcPr>
          <w:p>
            <w:pPr>
              <w:pStyle w:val="65"/>
              <w:jc w:val="center"/>
              <w:rPr>
                <w:color w:val="000000" w:themeColor="text1"/>
                <w14:textFill>
                  <w14:solidFill>
                    <w14:schemeClr w14:val="tx1"/>
                  </w14:solidFill>
                </w14:textFill>
              </w:rPr>
            </w:pPr>
            <w:r>
              <w:rPr>
                <w:color w:val="000000" w:themeColor="text1"/>
                <w14:textFill>
                  <w14:solidFill>
                    <w14:schemeClr w14:val="tx1"/>
                  </w14:solidFill>
                </w14:textFill>
              </w:rPr>
              <w:t>其中</w:t>
            </w:r>
          </w:p>
        </w:tc>
        <w:tc>
          <w:tcPr>
            <w:tcW w:w="1556" w:type="dxa"/>
            <w:gridSpan w:val="2"/>
            <w:vAlign w:val="center"/>
          </w:tcPr>
          <w:p>
            <w:pPr>
              <w:pStyle w:val="65"/>
              <w:jc w:val="center"/>
              <w:rPr>
                <w:color w:val="000000" w:themeColor="text1"/>
                <w14:textFill>
                  <w14:solidFill>
                    <w14:schemeClr w14:val="tx1"/>
                  </w14:solidFill>
                </w14:textFill>
              </w:rPr>
            </w:pPr>
            <w:r>
              <w:rPr>
                <w:color w:val="000000" w:themeColor="text1"/>
                <w14:textFill>
                  <w14:solidFill>
                    <w14:schemeClr w14:val="tx1"/>
                  </w14:solidFill>
                </w14:textFill>
              </w:rPr>
              <w:t>项目总监理工程师</w:t>
            </w:r>
          </w:p>
        </w:tc>
        <w:tc>
          <w:tcPr>
            <w:tcW w:w="1331" w:type="dxa"/>
            <w:vAlign w:val="center"/>
          </w:tcPr>
          <w:p>
            <w:pPr>
              <w:pStyle w:val="65"/>
              <w:jc w:val="center"/>
              <w:rPr>
                <w:rFonts w:ascii="Times New Roman"/>
                <w:color w:val="000000" w:themeColor="text1"/>
                <w:sz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jc w:val="center"/>
        </w:trPr>
        <w:tc>
          <w:tcPr>
            <w:tcW w:w="1552" w:type="dxa"/>
            <w:vAlign w:val="center"/>
          </w:tcPr>
          <w:p>
            <w:pPr>
              <w:pStyle w:val="65"/>
              <w:jc w:val="center"/>
              <w:rPr>
                <w:color w:val="000000" w:themeColor="text1"/>
                <w14:textFill>
                  <w14:solidFill>
                    <w14:schemeClr w14:val="tx1"/>
                  </w14:solidFill>
                </w14:textFill>
              </w:rPr>
            </w:pPr>
            <w:r>
              <w:rPr>
                <w:color w:val="000000" w:themeColor="text1"/>
                <w14:textFill>
                  <w14:solidFill>
                    <w14:schemeClr w14:val="tx1"/>
                  </w14:solidFill>
                </w14:textFill>
              </w:rPr>
              <w:t>营业执照号</w:t>
            </w:r>
          </w:p>
        </w:tc>
        <w:tc>
          <w:tcPr>
            <w:tcW w:w="3768" w:type="dxa"/>
            <w:gridSpan w:val="3"/>
            <w:vAlign w:val="center"/>
          </w:tcPr>
          <w:p>
            <w:pPr>
              <w:pStyle w:val="65"/>
              <w:jc w:val="center"/>
              <w:rPr>
                <w:rFonts w:ascii="Times New Roman"/>
                <w:color w:val="000000" w:themeColor="text1"/>
                <w:sz w:val="20"/>
                <w14:textFill>
                  <w14:solidFill>
                    <w14:schemeClr w14:val="tx1"/>
                  </w14:solidFill>
                </w14:textFill>
              </w:rPr>
            </w:pPr>
          </w:p>
        </w:tc>
        <w:tc>
          <w:tcPr>
            <w:tcW w:w="1106" w:type="dxa"/>
            <w:vMerge w:val="continue"/>
            <w:tcBorders>
              <w:top w:val="nil"/>
            </w:tcBorders>
            <w:vAlign w:val="center"/>
          </w:tcPr>
          <w:p>
            <w:pPr>
              <w:jc w:val="center"/>
              <w:rPr>
                <w:color w:val="000000" w:themeColor="text1"/>
                <w:sz w:val="2"/>
                <w:szCs w:val="2"/>
                <w14:textFill>
                  <w14:solidFill>
                    <w14:schemeClr w14:val="tx1"/>
                  </w14:solidFill>
                </w14:textFill>
              </w:rPr>
            </w:pPr>
          </w:p>
        </w:tc>
        <w:tc>
          <w:tcPr>
            <w:tcW w:w="1556" w:type="dxa"/>
            <w:gridSpan w:val="2"/>
            <w:vAlign w:val="center"/>
          </w:tcPr>
          <w:p>
            <w:pPr>
              <w:pStyle w:val="65"/>
              <w:jc w:val="center"/>
              <w:rPr>
                <w:color w:val="000000" w:themeColor="text1"/>
                <w14:textFill>
                  <w14:solidFill>
                    <w14:schemeClr w14:val="tx1"/>
                  </w14:solidFill>
                </w14:textFill>
              </w:rPr>
            </w:pPr>
            <w:r>
              <w:rPr>
                <w:color w:val="000000" w:themeColor="text1"/>
                <w14:textFill>
                  <w14:solidFill>
                    <w14:schemeClr w14:val="tx1"/>
                  </w14:solidFill>
                </w14:textFill>
              </w:rPr>
              <w:t>高级职称人员</w:t>
            </w:r>
          </w:p>
        </w:tc>
        <w:tc>
          <w:tcPr>
            <w:tcW w:w="1331" w:type="dxa"/>
            <w:vAlign w:val="center"/>
          </w:tcPr>
          <w:p>
            <w:pPr>
              <w:pStyle w:val="65"/>
              <w:jc w:val="center"/>
              <w:rPr>
                <w:rFonts w:ascii="Times New Roman"/>
                <w:color w:val="000000" w:themeColor="text1"/>
                <w:sz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5" w:hRule="atLeast"/>
          <w:jc w:val="center"/>
        </w:trPr>
        <w:tc>
          <w:tcPr>
            <w:tcW w:w="1552" w:type="dxa"/>
            <w:vAlign w:val="center"/>
          </w:tcPr>
          <w:p>
            <w:pPr>
              <w:pStyle w:val="65"/>
              <w:jc w:val="center"/>
              <w:rPr>
                <w:color w:val="000000" w:themeColor="text1"/>
                <w14:textFill>
                  <w14:solidFill>
                    <w14:schemeClr w14:val="tx1"/>
                  </w14:solidFill>
                </w14:textFill>
              </w:rPr>
            </w:pPr>
            <w:r>
              <w:rPr>
                <w:color w:val="000000" w:themeColor="text1"/>
                <w14:textFill>
                  <w14:solidFill>
                    <w14:schemeClr w14:val="tx1"/>
                  </w14:solidFill>
                </w14:textFill>
              </w:rPr>
              <w:t>注册资金</w:t>
            </w:r>
          </w:p>
        </w:tc>
        <w:tc>
          <w:tcPr>
            <w:tcW w:w="3768" w:type="dxa"/>
            <w:gridSpan w:val="3"/>
            <w:vAlign w:val="center"/>
          </w:tcPr>
          <w:p>
            <w:pPr>
              <w:pStyle w:val="65"/>
              <w:jc w:val="center"/>
              <w:rPr>
                <w:rFonts w:ascii="Times New Roman"/>
                <w:color w:val="000000" w:themeColor="text1"/>
                <w:sz w:val="20"/>
                <w14:textFill>
                  <w14:solidFill>
                    <w14:schemeClr w14:val="tx1"/>
                  </w14:solidFill>
                </w14:textFill>
              </w:rPr>
            </w:pPr>
          </w:p>
        </w:tc>
        <w:tc>
          <w:tcPr>
            <w:tcW w:w="1106" w:type="dxa"/>
            <w:vMerge w:val="continue"/>
            <w:tcBorders>
              <w:top w:val="nil"/>
            </w:tcBorders>
            <w:vAlign w:val="center"/>
          </w:tcPr>
          <w:p>
            <w:pPr>
              <w:jc w:val="center"/>
              <w:rPr>
                <w:color w:val="000000" w:themeColor="text1"/>
                <w:sz w:val="2"/>
                <w:szCs w:val="2"/>
                <w14:textFill>
                  <w14:solidFill>
                    <w14:schemeClr w14:val="tx1"/>
                  </w14:solidFill>
                </w14:textFill>
              </w:rPr>
            </w:pPr>
          </w:p>
        </w:tc>
        <w:tc>
          <w:tcPr>
            <w:tcW w:w="1556" w:type="dxa"/>
            <w:gridSpan w:val="2"/>
            <w:vAlign w:val="center"/>
          </w:tcPr>
          <w:p>
            <w:pPr>
              <w:pStyle w:val="65"/>
              <w:jc w:val="center"/>
              <w:rPr>
                <w:color w:val="000000" w:themeColor="text1"/>
                <w14:textFill>
                  <w14:solidFill>
                    <w14:schemeClr w14:val="tx1"/>
                  </w14:solidFill>
                </w14:textFill>
              </w:rPr>
            </w:pPr>
            <w:r>
              <w:rPr>
                <w:color w:val="000000" w:themeColor="text1"/>
                <w14:textFill>
                  <w14:solidFill>
                    <w14:schemeClr w14:val="tx1"/>
                  </w14:solidFill>
                </w14:textFill>
              </w:rPr>
              <w:t>中级职称人员</w:t>
            </w:r>
          </w:p>
        </w:tc>
        <w:tc>
          <w:tcPr>
            <w:tcW w:w="1331" w:type="dxa"/>
            <w:vAlign w:val="center"/>
          </w:tcPr>
          <w:p>
            <w:pPr>
              <w:pStyle w:val="65"/>
              <w:jc w:val="center"/>
              <w:rPr>
                <w:rFonts w:ascii="Times New Roman"/>
                <w:color w:val="000000" w:themeColor="text1"/>
                <w:sz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jc w:val="center"/>
        </w:trPr>
        <w:tc>
          <w:tcPr>
            <w:tcW w:w="1552" w:type="dxa"/>
            <w:vAlign w:val="center"/>
          </w:tcPr>
          <w:p>
            <w:pPr>
              <w:pStyle w:val="65"/>
              <w:jc w:val="center"/>
              <w:rPr>
                <w:color w:val="000000" w:themeColor="text1"/>
                <w14:textFill>
                  <w14:solidFill>
                    <w14:schemeClr w14:val="tx1"/>
                  </w14:solidFill>
                </w14:textFill>
              </w:rPr>
            </w:pPr>
            <w:r>
              <w:rPr>
                <w:color w:val="000000" w:themeColor="text1"/>
                <w14:textFill>
                  <w14:solidFill>
                    <w14:schemeClr w14:val="tx1"/>
                  </w14:solidFill>
                </w14:textFill>
              </w:rPr>
              <w:t>开户银行</w:t>
            </w:r>
          </w:p>
        </w:tc>
        <w:tc>
          <w:tcPr>
            <w:tcW w:w="3768" w:type="dxa"/>
            <w:gridSpan w:val="3"/>
            <w:vAlign w:val="center"/>
          </w:tcPr>
          <w:p>
            <w:pPr>
              <w:pStyle w:val="65"/>
              <w:jc w:val="center"/>
              <w:rPr>
                <w:rFonts w:ascii="Times New Roman"/>
                <w:color w:val="000000" w:themeColor="text1"/>
                <w:sz w:val="20"/>
                <w14:textFill>
                  <w14:solidFill>
                    <w14:schemeClr w14:val="tx1"/>
                  </w14:solidFill>
                </w14:textFill>
              </w:rPr>
            </w:pPr>
          </w:p>
        </w:tc>
        <w:tc>
          <w:tcPr>
            <w:tcW w:w="1106" w:type="dxa"/>
            <w:vMerge w:val="continue"/>
            <w:tcBorders>
              <w:top w:val="nil"/>
            </w:tcBorders>
            <w:vAlign w:val="center"/>
          </w:tcPr>
          <w:p>
            <w:pPr>
              <w:jc w:val="center"/>
              <w:rPr>
                <w:color w:val="000000" w:themeColor="text1"/>
                <w:sz w:val="2"/>
                <w:szCs w:val="2"/>
                <w14:textFill>
                  <w14:solidFill>
                    <w14:schemeClr w14:val="tx1"/>
                  </w14:solidFill>
                </w14:textFill>
              </w:rPr>
            </w:pPr>
          </w:p>
        </w:tc>
        <w:tc>
          <w:tcPr>
            <w:tcW w:w="1556" w:type="dxa"/>
            <w:gridSpan w:val="2"/>
            <w:vAlign w:val="center"/>
          </w:tcPr>
          <w:p>
            <w:pPr>
              <w:pStyle w:val="65"/>
              <w:jc w:val="center"/>
              <w:rPr>
                <w:color w:val="000000" w:themeColor="text1"/>
                <w14:textFill>
                  <w14:solidFill>
                    <w14:schemeClr w14:val="tx1"/>
                  </w14:solidFill>
                </w14:textFill>
              </w:rPr>
            </w:pPr>
            <w:r>
              <w:rPr>
                <w:color w:val="000000" w:themeColor="text1"/>
                <w14:textFill>
                  <w14:solidFill>
                    <w14:schemeClr w14:val="tx1"/>
                  </w14:solidFill>
                </w14:textFill>
              </w:rPr>
              <w:t>初级职称人员</w:t>
            </w:r>
          </w:p>
        </w:tc>
        <w:tc>
          <w:tcPr>
            <w:tcW w:w="1331" w:type="dxa"/>
            <w:vAlign w:val="center"/>
          </w:tcPr>
          <w:p>
            <w:pPr>
              <w:pStyle w:val="65"/>
              <w:jc w:val="center"/>
              <w:rPr>
                <w:rFonts w:ascii="Times New Roman"/>
                <w:color w:val="000000" w:themeColor="text1"/>
                <w:sz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5" w:hRule="atLeast"/>
          <w:jc w:val="center"/>
        </w:trPr>
        <w:tc>
          <w:tcPr>
            <w:tcW w:w="1552" w:type="dxa"/>
            <w:vAlign w:val="center"/>
          </w:tcPr>
          <w:p>
            <w:pPr>
              <w:pStyle w:val="65"/>
              <w:jc w:val="center"/>
              <w:rPr>
                <w:color w:val="000000" w:themeColor="text1"/>
                <w14:textFill>
                  <w14:solidFill>
                    <w14:schemeClr w14:val="tx1"/>
                  </w14:solidFill>
                </w14:textFill>
              </w:rPr>
            </w:pPr>
            <w:r>
              <w:rPr>
                <w:color w:val="000000" w:themeColor="text1"/>
                <w14:textFill>
                  <w14:solidFill>
                    <w14:schemeClr w14:val="tx1"/>
                  </w14:solidFill>
                </w14:textFill>
              </w:rPr>
              <w:t>账号</w:t>
            </w:r>
          </w:p>
        </w:tc>
        <w:tc>
          <w:tcPr>
            <w:tcW w:w="3768" w:type="dxa"/>
            <w:gridSpan w:val="3"/>
            <w:vAlign w:val="center"/>
          </w:tcPr>
          <w:p>
            <w:pPr>
              <w:pStyle w:val="65"/>
              <w:jc w:val="center"/>
              <w:rPr>
                <w:rFonts w:ascii="Times New Roman"/>
                <w:color w:val="000000" w:themeColor="text1"/>
                <w:sz w:val="20"/>
                <w14:textFill>
                  <w14:solidFill>
                    <w14:schemeClr w14:val="tx1"/>
                  </w14:solidFill>
                </w14:textFill>
              </w:rPr>
            </w:pPr>
          </w:p>
        </w:tc>
        <w:tc>
          <w:tcPr>
            <w:tcW w:w="1106" w:type="dxa"/>
            <w:vMerge w:val="continue"/>
            <w:tcBorders>
              <w:top w:val="nil"/>
            </w:tcBorders>
            <w:vAlign w:val="center"/>
          </w:tcPr>
          <w:p>
            <w:pPr>
              <w:jc w:val="center"/>
              <w:rPr>
                <w:color w:val="000000" w:themeColor="text1"/>
                <w:sz w:val="2"/>
                <w:szCs w:val="2"/>
                <w14:textFill>
                  <w14:solidFill>
                    <w14:schemeClr w14:val="tx1"/>
                  </w14:solidFill>
                </w14:textFill>
              </w:rPr>
            </w:pPr>
          </w:p>
        </w:tc>
        <w:tc>
          <w:tcPr>
            <w:tcW w:w="1556" w:type="dxa"/>
            <w:gridSpan w:val="2"/>
            <w:vAlign w:val="center"/>
          </w:tcPr>
          <w:p>
            <w:pPr>
              <w:pStyle w:val="65"/>
              <w:jc w:val="center"/>
              <w:rPr>
                <w:color w:val="000000" w:themeColor="text1"/>
                <w14:textFill>
                  <w14:solidFill>
                    <w14:schemeClr w14:val="tx1"/>
                  </w14:solidFill>
                </w14:textFill>
              </w:rPr>
            </w:pPr>
            <w:r>
              <w:rPr>
                <w:color w:val="000000" w:themeColor="text1"/>
                <w14:textFill>
                  <w14:solidFill>
                    <w14:schemeClr w14:val="tx1"/>
                  </w14:solidFill>
                </w14:textFill>
              </w:rPr>
              <w:t>技 工</w:t>
            </w:r>
          </w:p>
        </w:tc>
        <w:tc>
          <w:tcPr>
            <w:tcW w:w="1331" w:type="dxa"/>
            <w:vAlign w:val="center"/>
          </w:tcPr>
          <w:p>
            <w:pPr>
              <w:pStyle w:val="65"/>
              <w:jc w:val="center"/>
              <w:rPr>
                <w:rFonts w:ascii="Times New Roman"/>
                <w:color w:val="000000" w:themeColor="text1"/>
                <w:sz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1" w:hRule="atLeast"/>
          <w:jc w:val="center"/>
        </w:trPr>
        <w:tc>
          <w:tcPr>
            <w:tcW w:w="1552" w:type="dxa"/>
            <w:vAlign w:val="center"/>
          </w:tcPr>
          <w:p>
            <w:pPr>
              <w:pStyle w:val="65"/>
              <w:jc w:val="center"/>
              <w:rPr>
                <w:color w:val="000000" w:themeColor="text1"/>
                <w14:textFill>
                  <w14:solidFill>
                    <w14:schemeClr w14:val="tx1"/>
                  </w14:solidFill>
                </w14:textFill>
              </w:rPr>
            </w:pPr>
            <w:r>
              <w:rPr>
                <w:color w:val="000000" w:themeColor="text1"/>
                <w14:textFill>
                  <w14:solidFill>
                    <w14:schemeClr w14:val="tx1"/>
                  </w14:solidFill>
                </w14:textFill>
              </w:rPr>
              <w:t>经营范围</w:t>
            </w:r>
          </w:p>
        </w:tc>
        <w:tc>
          <w:tcPr>
            <w:tcW w:w="7761" w:type="dxa"/>
            <w:gridSpan w:val="7"/>
            <w:vAlign w:val="center"/>
          </w:tcPr>
          <w:p>
            <w:pPr>
              <w:pStyle w:val="65"/>
              <w:jc w:val="center"/>
              <w:rPr>
                <w:rFonts w:ascii="Times New Roman"/>
                <w:color w:val="000000" w:themeColor="text1"/>
                <w:sz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jc w:val="center"/>
        </w:trPr>
        <w:tc>
          <w:tcPr>
            <w:tcW w:w="1552" w:type="dxa"/>
            <w:vAlign w:val="center"/>
          </w:tcPr>
          <w:p>
            <w:pPr>
              <w:pStyle w:val="65"/>
              <w:jc w:val="center"/>
            </w:pPr>
            <w:r>
              <w:t>备注</w:t>
            </w:r>
          </w:p>
        </w:tc>
        <w:tc>
          <w:tcPr>
            <w:tcW w:w="7761" w:type="dxa"/>
            <w:gridSpan w:val="7"/>
            <w:vAlign w:val="center"/>
          </w:tcPr>
          <w:p>
            <w:pPr>
              <w:pStyle w:val="65"/>
              <w:jc w:val="center"/>
              <w:rPr>
                <w:rFonts w:ascii="Times New Roman"/>
                <w:sz w:val="20"/>
              </w:rPr>
            </w:pPr>
          </w:p>
        </w:tc>
      </w:tr>
    </w:tbl>
    <w:p>
      <w:pPr>
        <w:pStyle w:val="2"/>
        <w:kinsoku w:val="0"/>
        <w:overflowPunct w:val="0"/>
        <w:rPr>
          <w:rFonts w:ascii="宋体" w:hAnsi="宋体" w:eastAsia="宋体" w:cs="宋体"/>
          <w:sz w:val="23"/>
          <w:szCs w:val="24"/>
        </w:rPr>
      </w:pPr>
    </w:p>
    <w:p>
      <w:pPr>
        <w:pStyle w:val="8"/>
        <w:kinsoku w:val="0"/>
        <w:overflowPunct w:val="0"/>
        <w:spacing w:line="363" w:lineRule="exact"/>
        <w:ind w:left="217" w:right="175"/>
        <w:rPr>
          <w:rFonts w:hint="default" w:hAnsi="宋体" w:cs="宋体"/>
          <w:spacing w:val="-3"/>
          <w:sz w:val="21"/>
        </w:rPr>
      </w:pPr>
      <w:r>
        <w:rPr>
          <w:rFonts w:hAnsi="宋体" w:cs="宋体"/>
          <w:spacing w:val="-5"/>
          <w:sz w:val="21"/>
        </w:rPr>
        <w:t>注：后附营业执照（副本）、资质证书（副本）等扫描件</w:t>
      </w:r>
    </w:p>
    <w:p>
      <w:pPr>
        <w:pStyle w:val="8"/>
        <w:kinsoku w:val="0"/>
        <w:overflowPunct w:val="0"/>
        <w:spacing w:line="363" w:lineRule="exact"/>
        <w:ind w:left="217" w:right="175"/>
        <w:jc w:val="center"/>
        <w:rPr>
          <w:rFonts w:hint="default" w:hAnsi="宋体" w:cs="宋体"/>
          <w:spacing w:val="-3"/>
          <w:sz w:val="21"/>
        </w:rPr>
      </w:pPr>
    </w:p>
    <w:p>
      <w:pPr>
        <w:pStyle w:val="8"/>
        <w:pageBreakBefore/>
        <w:kinsoku w:val="0"/>
        <w:overflowPunct w:val="0"/>
        <w:spacing w:line="363" w:lineRule="exact"/>
        <w:ind w:left="215" w:right="176"/>
        <w:jc w:val="center"/>
        <w:rPr>
          <w:rFonts w:hint="default" w:hAnsi="宋体" w:cs="宋体"/>
        </w:rPr>
      </w:pPr>
      <w:r>
        <w:rPr>
          <w:rFonts w:hAnsi="宋体" w:cs="宋体"/>
        </w:rPr>
        <w:t>（二）近年财务状况表</w:t>
      </w:r>
    </w:p>
    <w:p>
      <w:pPr>
        <w:pStyle w:val="2"/>
        <w:kinsoku w:val="0"/>
        <w:overflowPunct w:val="0"/>
        <w:rPr>
          <w:rFonts w:ascii="宋体" w:hAnsi="宋体" w:eastAsia="宋体" w:cs="宋体"/>
          <w:sz w:val="28"/>
          <w:szCs w:val="24"/>
        </w:rPr>
      </w:pPr>
    </w:p>
    <w:p>
      <w:pPr>
        <w:pStyle w:val="2"/>
        <w:kinsoku w:val="0"/>
        <w:overflowPunct w:val="0"/>
        <w:ind w:left="500" w:right="175"/>
        <w:jc w:val="center"/>
        <w:rPr>
          <w:rFonts w:ascii="宋体" w:hAnsi="宋体" w:eastAsia="宋体" w:cs="宋体"/>
          <w:color w:val="000000" w:themeColor="text1"/>
          <w:sz w:val="21"/>
          <w:szCs w:val="24"/>
          <w14:textFill>
            <w14:solidFill>
              <w14:schemeClr w14:val="tx1"/>
            </w14:solidFill>
          </w14:textFill>
        </w:rPr>
      </w:pPr>
      <w:r>
        <w:rPr>
          <w:rFonts w:ascii="宋体" w:hAnsi="宋体" w:eastAsia="宋体" w:cs="宋体"/>
          <w:color w:val="000000" w:themeColor="text1"/>
          <w:sz w:val="21"/>
          <w:szCs w:val="24"/>
          <w14:textFill>
            <w14:solidFill>
              <w14:schemeClr w14:val="tx1"/>
            </w14:solidFill>
          </w14:textFill>
        </w:rPr>
        <w:t>（附经</w:t>
      </w:r>
      <w:r>
        <w:rPr>
          <w:rFonts w:hint="eastAsia" w:ascii="宋体" w:hAnsi="宋体" w:eastAsia="宋体" w:cs="宋体"/>
          <w:color w:val="000000" w:themeColor="text1"/>
          <w:sz w:val="21"/>
          <w:szCs w:val="24"/>
          <w14:textFill>
            <w14:solidFill>
              <w14:schemeClr w14:val="tx1"/>
            </w14:solidFill>
          </w14:textFill>
        </w:rPr>
        <w:t>审计</w:t>
      </w:r>
      <w:r>
        <w:rPr>
          <w:rFonts w:ascii="宋体" w:hAnsi="宋体" w:eastAsia="宋体" w:cs="宋体"/>
          <w:color w:val="000000" w:themeColor="text1"/>
          <w:sz w:val="21"/>
          <w:szCs w:val="24"/>
          <w14:textFill>
            <w14:solidFill>
              <w14:schemeClr w14:val="tx1"/>
            </w14:solidFill>
          </w14:textFill>
        </w:rPr>
        <w:t>的财务报告）</w:t>
      </w:r>
    </w:p>
    <w:p>
      <w:pPr>
        <w:pStyle w:val="2"/>
        <w:kinsoku w:val="0"/>
        <w:overflowPunct w:val="0"/>
        <w:ind w:left="500" w:right="175"/>
        <w:jc w:val="center"/>
        <w:rPr>
          <w:rFonts w:ascii="宋体" w:hAnsi="宋体" w:eastAsia="宋体" w:cs="宋体"/>
          <w:color w:val="000000" w:themeColor="text1"/>
          <w:sz w:val="21"/>
          <w:szCs w:val="24"/>
          <w14:textFill>
            <w14:solidFill>
              <w14:schemeClr w14:val="tx1"/>
            </w14:solidFill>
          </w14:textFill>
        </w:rPr>
      </w:pPr>
    </w:p>
    <w:p>
      <w:pPr>
        <w:pStyle w:val="2"/>
        <w:kinsoku w:val="0"/>
        <w:overflowPunct w:val="0"/>
        <w:ind w:left="500" w:right="175"/>
        <w:jc w:val="center"/>
        <w:rPr>
          <w:rFonts w:ascii="宋体" w:hAnsi="宋体" w:eastAsia="宋体" w:cs="宋体"/>
          <w:color w:val="000000" w:themeColor="text1"/>
          <w:sz w:val="21"/>
          <w:szCs w:val="24"/>
          <w14:textFill>
            <w14:solidFill>
              <w14:schemeClr w14:val="tx1"/>
            </w14:solidFill>
          </w14:textFill>
        </w:rPr>
      </w:pPr>
    </w:p>
    <w:p>
      <w:pPr>
        <w:pStyle w:val="8"/>
        <w:pageBreakBefore/>
        <w:kinsoku w:val="0"/>
        <w:overflowPunct w:val="0"/>
        <w:spacing w:line="363" w:lineRule="exact"/>
        <w:ind w:left="215" w:right="176"/>
        <w:jc w:val="center"/>
        <w:rPr>
          <w:rFonts w:hint="default" w:hAnsi="宋体" w:cs="宋体"/>
        </w:rPr>
      </w:pPr>
      <w:bookmarkStart w:id="814" w:name="bookmark187"/>
      <w:bookmarkEnd w:id="814"/>
      <w:r>
        <w:rPr>
          <w:rFonts w:hAnsi="宋体" w:cs="宋体"/>
        </w:rPr>
        <w:t>（三）近年完成的类似项目情况表</w:t>
      </w:r>
    </w:p>
    <w:tbl>
      <w:tblPr>
        <w:tblStyle w:val="26"/>
        <w:tblW w:w="0" w:type="auto"/>
        <w:tblInd w:w="156" w:type="dxa"/>
        <w:tblLayout w:type="fixed"/>
        <w:tblCellMar>
          <w:top w:w="0" w:type="dxa"/>
          <w:left w:w="0" w:type="dxa"/>
          <w:bottom w:w="0" w:type="dxa"/>
          <w:right w:w="0" w:type="dxa"/>
        </w:tblCellMar>
      </w:tblPr>
      <w:tblGrid>
        <w:gridCol w:w="2268"/>
        <w:gridCol w:w="6690"/>
      </w:tblGrid>
      <w:tr>
        <w:tblPrEx>
          <w:tblCellMar>
            <w:top w:w="0" w:type="dxa"/>
            <w:left w:w="0" w:type="dxa"/>
            <w:bottom w:w="0" w:type="dxa"/>
            <w:right w:w="0" w:type="dxa"/>
          </w:tblCellMar>
        </w:tblPrEx>
        <w:trPr>
          <w:trHeight w:val="679" w:hRule="exact"/>
        </w:trPr>
        <w:tc>
          <w:tcPr>
            <w:tcW w:w="2268"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65"/>
              <w:kinsoku w:val="0"/>
              <w:overflowPunct w:val="0"/>
              <w:jc w:val="center"/>
              <w:rPr>
                <w:sz w:val="24"/>
                <w:szCs w:val="24"/>
              </w:rPr>
            </w:pPr>
            <w:r>
              <w:rPr>
                <w:rFonts w:hint="eastAsia"/>
                <w:szCs w:val="24"/>
              </w:rPr>
              <w:t>项目名称</w:t>
            </w:r>
          </w:p>
        </w:tc>
        <w:tc>
          <w:tcPr>
            <w:tcW w:w="6690"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 w:val="24"/>
                <w:szCs w:val="24"/>
              </w:rPr>
            </w:pPr>
          </w:p>
        </w:tc>
      </w:tr>
      <w:tr>
        <w:tblPrEx>
          <w:tblCellMar>
            <w:top w:w="0" w:type="dxa"/>
            <w:left w:w="0" w:type="dxa"/>
            <w:bottom w:w="0" w:type="dxa"/>
            <w:right w:w="0" w:type="dxa"/>
          </w:tblCellMar>
        </w:tblPrEx>
        <w:trPr>
          <w:trHeight w:val="682" w:hRule="exact"/>
        </w:trPr>
        <w:tc>
          <w:tcPr>
            <w:tcW w:w="2268"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65"/>
              <w:kinsoku w:val="0"/>
              <w:overflowPunct w:val="0"/>
              <w:jc w:val="center"/>
              <w:rPr>
                <w:sz w:val="24"/>
                <w:szCs w:val="24"/>
              </w:rPr>
            </w:pPr>
            <w:r>
              <w:rPr>
                <w:rFonts w:hint="eastAsia"/>
                <w:szCs w:val="24"/>
              </w:rPr>
              <w:t>项目所在地</w:t>
            </w:r>
          </w:p>
        </w:tc>
        <w:tc>
          <w:tcPr>
            <w:tcW w:w="6690"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 w:val="24"/>
                <w:szCs w:val="24"/>
              </w:rPr>
            </w:pPr>
          </w:p>
        </w:tc>
      </w:tr>
      <w:tr>
        <w:tblPrEx>
          <w:tblCellMar>
            <w:top w:w="0" w:type="dxa"/>
            <w:left w:w="0" w:type="dxa"/>
            <w:bottom w:w="0" w:type="dxa"/>
            <w:right w:w="0" w:type="dxa"/>
          </w:tblCellMar>
        </w:tblPrEx>
        <w:trPr>
          <w:trHeight w:val="679" w:hRule="exact"/>
        </w:trPr>
        <w:tc>
          <w:tcPr>
            <w:tcW w:w="2268"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65"/>
              <w:kinsoku w:val="0"/>
              <w:overflowPunct w:val="0"/>
              <w:jc w:val="center"/>
              <w:rPr>
                <w:sz w:val="24"/>
                <w:szCs w:val="24"/>
              </w:rPr>
            </w:pPr>
            <w:r>
              <w:rPr>
                <w:rFonts w:hint="eastAsia"/>
                <w:szCs w:val="24"/>
              </w:rPr>
              <w:t>委托人名称</w:t>
            </w:r>
          </w:p>
        </w:tc>
        <w:tc>
          <w:tcPr>
            <w:tcW w:w="6690"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 w:val="24"/>
                <w:szCs w:val="24"/>
              </w:rPr>
            </w:pPr>
          </w:p>
        </w:tc>
      </w:tr>
      <w:tr>
        <w:tblPrEx>
          <w:tblCellMar>
            <w:top w:w="0" w:type="dxa"/>
            <w:left w:w="0" w:type="dxa"/>
            <w:bottom w:w="0" w:type="dxa"/>
            <w:right w:w="0" w:type="dxa"/>
          </w:tblCellMar>
        </w:tblPrEx>
        <w:trPr>
          <w:trHeight w:val="680" w:hRule="exact"/>
        </w:trPr>
        <w:tc>
          <w:tcPr>
            <w:tcW w:w="2268"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65"/>
              <w:kinsoku w:val="0"/>
              <w:overflowPunct w:val="0"/>
              <w:jc w:val="center"/>
              <w:rPr>
                <w:sz w:val="24"/>
                <w:szCs w:val="24"/>
              </w:rPr>
            </w:pPr>
            <w:r>
              <w:rPr>
                <w:rFonts w:hint="eastAsia"/>
                <w:szCs w:val="24"/>
              </w:rPr>
              <w:t>委托人地址</w:t>
            </w:r>
          </w:p>
        </w:tc>
        <w:tc>
          <w:tcPr>
            <w:tcW w:w="6690"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 w:val="24"/>
                <w:szCs w:val="24"/>
              </w:rPr>
            </w:pPr>
          </w:p>
        </w:tc>
      </w:tr>
      <w:tr>
        <w:tblPrEx>
          <w:tblCellMar>
            <w:top w:w="0" w:type="dxa"/>
            <w:left w:w="0" w:type="dxa"/>
            <w:bottom w:w="0" w:type="dxa"/>
            <w:right w:w="0" w:type="dxa"/>
          </w:tblCellMar>
        </w:tblPrEx>
        <w:trPr>
          <w:trHeight w:val="682" w:hRule="exact"/>
        </w:trPr>
        <w:tc>
          <w:tcPr>
            <w:tcW w:w="2268"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65"/>
              <w:kinsoku w:val="0"/>
              <w:overflowPunct w:val="0"/>
              <w:jc w:val="center"/>
              <w:rPr>
                <w:sz w:val="24"/>
                <w:szCs w:val="24"/>
              </w:rPr>
            </w:pPr>
            <w:r>
              <w:rPr>
                <w:rFonts w:hint="eastAsia"/>
                <w:szCs w:val="24"/>
              </w:rPr>
              <w:t>委托人电话</w:t>
            </w:r>
          </w:p>
        </w:tc>
        <w:tc>
          <w:tcPr>
            <w:tcW w:w="6690"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 w:val="24"/>
                <w:szCs w:val="24"/>
              </w:rPr>
            </w:pPr>
          </w:p>
        </w:tc>
      </w:tr>
      <w:tr>
        <w:tblPrEx>
          <w:tblCellMar>
            <w:top w:w="0" w:type="dxa"/>
            <w:left w:w="0" w:type="dxa"/>
            <w:bottom w:w="0" w:type="dxa"/>
            <w:right w:w="0" w:type="dxa"/>
          </w:tblCellMar>
        </w:tblPrEx>
        <w:trPr>
          <w:trHeight w:val="679" w:hRule="exact"/>
        </w:trPr>
        <w:tc>
          <w:tcPr>
            <w:tcW w:w="2268"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65"/>
              <w:kinsoku w:val="0"/>
              <w:overflowPunct w:val="0"/>
              <w:jc w:val="center"/>
              <w:rPr>
                <w:sz w:val="24"/>
                <w:szCs w:val="24"/>
              </w:rPr>
            </w:pPr>
            <w:r>
              <w:rPr>
                <w:rFonts w:hint="eastAsia"/>
                <w:szCs w:val="24"/>
              </w:rPr>
              <w:t>合同价格</w:t>
            </w:r>
          </w:p>
        </w:tc>
        <w:tc>
          <w:tcPr>
            <w:tcW w:w="6690"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 w:val="24"/>
                <w:szCs w:val="24"/>
              </w:rPr>
            </w:pPr>
          </w:p>
        </w:tc>
      </w:tr>
      <w:tr>
        <w:tblPrEx>
          <w:tblCellMar>
            <w:top w:w="0" w:type="dxa"/>
            <w:left w:w="0" w:type="dxa"/>
            <w:bottom w:w="0" w:type="dxa"/>
            <w:right w:w="0" w:type="dxa"/>
          </w:tblCellMar>
        </w:tblPrEx>
        <w:trPr>
          <w:trHeight w:val="679" w:hRule="exact"/>
        </w:trPr>
        <w:tc>
          <w:tcPr>
            <w:tcW w:w="2268"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65"/>
              <w:kinsoku w:val="0"/>
              <w:overflowPunct w:val="0"/>
              <w:jc w:val="center"/>
              <w:rPr>
                <w:sz w:val="24"/>
                <w:szCs w:val="24"/>
              </w:rPr>
            </w:pPr>
            <w:r>
              <w:rPr>
                <w:rFonts w:hint="eastAsia"/>
                <w:szCs w:val="24"/>
              </w:rPr>
              <w:t>监理服务期限</w:t>
            </w:r>
          </w:p>
        </w:tc>
        <w:tc>
          <w:tcPr>
            <w:tcW w:w="6690"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 w:val="24"/>
                <w:szCs w:val="24"/>
              </w:rPr>
            </w:pPr>
          </w:p>
        </w:tc>
      </w:tr>
      <w:tr>
        <w:tblPrEx>
          <w:tblCellMar>
            <w:top w:w="0" w:type="dxa"/>
            <w:left w:w="0" w:type="dxa"/>
            <w:bottom w:w="0" w:type="dxa"/>
            <w:right w:w="0" w:type="dxa"/>
          </w:tblCellMar>
        </w:tblPrEx>
        <w:trPr>
          <w:trHeight w:val="682" w:hRule="exact"/>
        </w:trPr>
        <w:tc>
          <w:tcPr>
            <w:tcW w:w="2268"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65"/>
              <w:kinsoku w:val="0"/>
              <w:overflowPunct w:val="0"/>
              <w:jc w:val="center"/>
              <w:rPr>
                <w:sz w:val="24"/>
                <w:szCs w:val="24"/>
              </w:rPr>
            </w:pPr>
            <w:r>
              <w:rPr>
                <w:rFonts w:hint="eastAsia"/>
                <w:szCs w:val="24"/>
              </w:rPr>
              <w:t>监理内容</w:t>
            </w:r>
          </w:p>
        </w:tc>
        <w:tc>
          <w:tcPr>
            <w:tcW w:w="6690"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 w:val="24"/>
                <w:szCs w:val="24"/>
              </w:rPr>
            </w:pPr>
          </w:p>
        </w:tc>
      </w:tr>
      <w:tr>
        <w:tblPrEx>
          <w:tblCellMar>
            <w:top w:w="0" w:type="dxa"/>
            <w:left w:w="0" w:type="dxa"/>
            <w:bottom w:w="0" w:type="dxa"/>
            <w:right w:w="0" w:type="dxa"/>
          </w:tblCellMar>
        </w:tblPrEx>
        <w:trPr>
          <w:trHeight w:val="679" w:hRule="exact"/>
        </w:trPr>
        <w:tc>
          <w:tcPr>
            <w:tcW w:w="2268"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65"/>
              <w:kinsoku w:val="0"/>
              <w:overflowPunct w:val="0"/>
              <w:jc w:val="center"/>
              <w:rPr>
                <w:sz w:val="24"/>
                <w:szCs w:val="24"/>
              </w:rPr>
            </w:pPr>
            <w:r>
              <w:rPr>
                <w:rFonts w:hint="eastAsia"/>
                <w:szCs w:val="24"/>
              </w:rPr>
              <w:t>总监理工程师</w:t>
            </w:r>
          </w:p>
        </w:tc>
        <w:tc>
          <w:tcPr>
            <w:tcW w:w="6690"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 w:val="24"/>
                <w:szCs w:val="24"/>
              </w:rPr>
            </w:pPr>
          </w:p>
        </w:tc>
      </w:tr>
      <w:tr>
        <w:tblPrEx>
          <w:tblCellMar>
            <w:top w:w="0" w:type="dxa"/>
            <w:left w:w="0" w:type="dxa"/>
            <w:bottom w:w="0" w:type="dxa"/>
            <w:right w:w="0" w:type="dxa"/>
          </w:tblCellMar>
        </w:tblPrEx>
        <w:trPr>
          <w:trHeight w:val="3092" w:hRule="exact"/>
        </w:trPr>
        <w:tc>
          <w:tcPr>
            <w:tcW w:w="2268"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65"/>
              <w:kinsoku w:val="0"/>
              <w:overflowPunct w:val="0"/>
              <w:jc w:val="center"/>
              <w:rPr>
                <w:sz w:val="24"/>
                <w:szCs w:val="24"/>
              </w:rPr>
            </w:pPr>
            <w:r>
              <w:rPr>
                <w:rFonts w:hint="eastAsia"/>
                <w:szCs w:val="24"/>
              </w:rPr>
              <w:t>项目描述</w:t>
            </w:r>
          </w:p>
        </w:tc>
        <w:tc>
          <w:tcPr>
            <w:tcW w:w="6690"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 w:val="24"/>
                <w:szCs w:val="24"/>
              </w:rPr>
            </w:pPr>
          </w:p>
        </w:tc>
      </w:tr>
      <w:tr>
        <w:tblPrEx>
          <w:tblCellMar>
            <w:top w:w="0" w:type="dxa"/>
            <w:left w:w="0" w:type="dxa"/>
            <w:bottom w:w="0" w:type="dxa"/>
            <w:right w:w="0" w:type="dxa"/>
          </w:tblCellMar>
        </w:tblPrEx>
        <w:trPr>
          <w:trHeight w:val="679" w:hRule="exact"/>
        </w:trPr>
        <w:tc>
          <w:tcPr>
            <w:tcW w:w="2268" w:type="dxa"/>
            <w:tcBorders>
              <w:top w:val="single" w:color="000000" w:sz="4" w:space="0"/>
              <w:left w:val="single" w:color="000000" w:sz="4" w:space="0"/>
              <w:bottom w:val="single" w:color="000000" w:sz="4" w:space="0"/>
              <w:right w:val="single" w:color="000000" w:sz="4" w:space="0"/>
              <w:tl2br w:val="nil"/>
              <w:tr2bl w:val="nil"/>
            </w:tcBorders>
          </w:tcPr>
          <w:p>
            <w:pPr>
              <w:pStyle w:val="65"/>
              <w:kinsoku w:val="0"/>
              <w:overflowPunct w:val="0"/>
              <w:jc w:val="center"/>
              <w:rPr>
                <w:sz w:val="24"/>
                <w:szCs w:val="24"/>
              </w:rPr>
            </w:pPr>
            <w:r>
              <w:rPr>
                <w:rFonts w:hint="eastAsia"/>
                <w:szCs w:val="24"/>
              </w:rPr>
              <w:t>备注</w:t>
            </w:r>
          </w:p>
        </w:tc>
        <w:tc>
          <w:tcPr>
            <w:tcW w:w="6690" w:type="dxa"/>
            <w:tcBorders>
              <w:top w:val="single" w:color="000000" w:sz="4" w:space="0"/>
              <w:left w:val="single" w:color="000000" w:sz="4" w:space="0"/>
              <w:bottom w:val="single" w:color="000000" w:sz="4" w:space="0"/>
              <w:right w:val="single" w:color="000000" w:sz="4" w:space="0"/>
              <w:tl2br w:val="nil"/>
              <w:tr2bl w:val="nil"/>
            </w:tcBorders>
          </w:tcPr>
          <w:p>
            <w:pPr>
              <w:rPr>
                <w:rFonts w:ascii="宋体" w:hAnsi="宋体" w:cs="宋体"/>
                <w:sz w:val="24"/>
                <w:szCs w:val="24"/>
              </w:rPr>
            </w:pPr>
          </w:p>
        </w:tc>
      </w:tr>
    </w:tbl>
    <w:p>
      <w:pPr>
        <w:pStyle w:val="2"/>
        <w:kinsoku w:val="0"/>
        <w:overflowPunct w:val="0"/>
        <w:spacing w:before="6"/>
        <w:rPr>
          <w:rFonts w:ascii="宋体" w:hAnsi="宋体" w:eastAsia="宋体" w:cs="宋体"/>
          <w:sz w:val="5"/>
          <w:szCs w:val="24"/>
        </w:rPr>
      </w:pPr>
    </w:p>
    <w:p>
      <w:pPr>
        <w:pStyle w:val="8"/>
        <w:kinsoku w:val="0"/>
        <w:overflowPunct w:val="0"/>
        <w:spacing w:line="363" w:lineRule="exact"/>
        <w:rPr>
          <w:rFonts w:hint="default" w:hAnsi="宋体" w:cs="宋体"/>
          <w:sz w:val="21"/>
        </w:rPr>
      </w:pPr>
      <w:r>
        <w:rPr>
          <w:rFonts w:hAnsi="宋体" w:cs="宋体"/>
          <w:sz w:val="21"/>
        </w:rPr>
        <w:t>注：</w:t>
      </w:r>
      <w:bookmarkStart w:id="815" w:name="bookmark188"/>
      <w:bookmarkEnd w:id="815"/>
      <w:r>
        <w:rPr>
          <w:rFonts w:hAnsi="宋体" w:cs="宋体"/>
          <w:sz w:val="21"/>
        </w:rPr>
        <w:t>应附合同协议书具体时间要求见投标人须知前附表，每张表格只填写一个项目，并标明序号。</w:t>
      </w:r>
    </w:p>
    <w:p>
      <w:pPr>
        <w:pStyle w:val="8"/>
        <w:kinsoku w:val="0"/>
        <w:overflowPunct w:val="0"/>
        <w:spacing w:line="363" w:lineRule="exact"/>
        <w:rPr>
          <w:rFonts w:hint="default" w:hAnsi="宋体" w:cs="宋体"/>
          <w:sz w:val="21"/>
        </w:rPr>
      </w:pPr>
    </w:p>
    <w:p>
      <w:pPr>
        <w:pStyle w:val="8"/>
        <w:pageBreakBefore/>
        <w:kinsoku w:val="0"/>
        <w:overflowPunct w:val="0"/>
        <w:spacing w:line="363" w:lineRule="exact"/>
        <w:ind w:left="215" w:right="176"/>
        <w:jc w:val="center"/>
        <w:rPr>
          <w:rFonts w:hint="default" w:hAnsi="宋体" w:cs="宋体"/>
        </w:rPr>
      </w:pPr>
      <w:r>
        <w:rPr>
          <w:rFonts w:hAnsi="宋体" w:cs="宋体"/>
        </w:rPr>
        <w:t>（四）正在监理和新承接的项目情况表</w:t>
      </w:r>
    </w:p>
    <w:tbl>
      <w:tblPr>
        <w:tblStyle w:val="26"/>
        <w:tblW w:w="0" w:type="auto"/>
        <w:tblInd w:w="156" w:type="dxa"/>
        <w:tblLayout w:type="fixed"/>
        <w:tblCellMar>
          <w:top w:w="0" w:type="dxa"/>
          <w:left w:w="0" w:type="dxa"/>
          <w:bottom w:w="0" w:type="dxa"/>
          <w:right w:w="0" w:type="dxa"/>
        </w:tblCellMar>
      </w:tblPr>
      <w:tblGrid>
        <w:gridCol w:w="2268"/>
        <w:gridCol w:w="6990"/>
      </w:tblGrid>
      <w:tr>
        <w:tblPrEx>
          <w:tblCellMar>
            <w:top w:w="0" w:type="dxa"/>
            <w:left w:w="0" w:type="dxa"/>
            <w:bottom w:w="0" w:type="dxa"/>
            <w:right w:w="0" w:type="dxa"/>
          </w:tblCellMar>
        </w:tblPrEx>
        <w:trPr>
          <w:trHeight w:val="679" w:hRule="exact"/>
        </w:trPr>
        <w:tc>
          <w:tcPr>
            <w:tcW w:w="2268"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65"/>
              <w:kinsoku w:val="0"/>
              <w:overflowPunct w:val="0"/>
              <w:jc w:val="center"/>
              <w:rPr>
                <w:sz w:val="24"/>
                <w:szCs w:val="24"/>
              </w:rPr>
            </w:pPr>
            <w:r>
              <w:rPr>
                <w:rFonts w:hint="eastAsia"/>
                <w:szCs w:val="24"/>
              </w:rPr>
              <w:t>项目名称</w:t>
            </w:r>
          </w:p>
        </w:tc>
        <w:tc>
          <w:tcPr>
            <w:tcW w:w="6990"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 w:val="24"/>
                <w:szCs w:val="24"/>
              </w:rPr>
            </w:pPr>
          </w:p>
        </w:tc>
      </w:tr>
      <w:tr>
        <w:tblPrEx>
          <w:tblCellMar>
            <w:top w:w="0" w:type="dxa"/>
            <w:left w:w="0" w:type="dxa"/>
            <w:bottom w:w="0" w:type="dxa"/>
            <w:right w:w="0" w:type="dxa"/>
          </w:tblCellMar>
        </w:tblPrEx>
        <w:trPr>
          <w:trHeight w:val="682" w:hRule="exact"/>
        </w:trPr>
        <w:tc>
          <w:tcPr>
            <w:tcW w:w="2268"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65"/>
              <w:kinsoku w:val="0"/>
              <w:overflowPunct w:val="0"/>
              <w:jc w:val="center"/>
              <w:rPr>
                <w:sz w:val="24"/>
                <w:szCs w:val="24"/>
              </w:rPr>
            </w:pPr>
            <w:r>
              <w:rPr>
                <w:rFonts w:hint="eastAsia"/>
                <w:szCs w:val="24"/>
              </w:rPr>
              <w:t>项目所在地</w:t>
            </w:r>
          </w:p>
        </w:tc>
        <w:tc>
          <w:tcPr>
            <w:tcW w:w="6990"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 w:val="24"/>
                <w:szCs w:val="24"/>
              </w:rPr>
            </w:pPr>
          </w:p>
        </w:tc>
      </w:tr>
      <w:tr>
        <w:tblPrEx>
          <w:tblCellMar>
            <w:top w:w="0" w:type="dxa"/>
            <w:left w:w="0" w:type="dxa"/>
            <w:bottom w:w="0" w:type="dxa"/>
            <w:right w:w="0" w:type="dxa"/>
          </w:tblCellMar>
        </w:tblPrEx>
        <w:trPr>
          <w:trHeight w:val="679" w:hRule="exact"/>
        </w:trPr>
        <w:tc>
          <w:tcPr>
            <w:tcW w:w="2268"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65"/>
              <w:kinsoku w:val="0"/>
              <w:overflowPunct w:val="0"/>
              <w:jc w:val="center"/>
              <w:rPr>
                <w:sz w:val="24"/>
                <w:szCs w:val="24"/>
              </w:rPr>
            </w:pPr>
            <w:r>
              <w:rPr>
                <w:rFonts w:hint="eastAsia"/>
                <w:szCs w:val="24"/>
              </w:rPr>
              <w:t>委托人名称</w:t>
            </w:r>
          </w:p>
        </w:tc>
        <w:tc>
          <w:tcPr>
            <w:tcW w:w="6990"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 w:val="24"/>
                <w:szCs w:val="24"/>
              </w:rPr>
            </w:pPr>
          </w:p>
        </w:tc>
      </w:tr>
      <w:tr>
        <w:tblPrEx>
          <w:tblCellMar>
            <w:top w:w="0" w:type="dxa"/>
            <w:left w:w="0" w:type="dxa"/>
            <w:bottom w:w="0" w:type="dxa"/>
            <w:right w:w="0" w:type="dxa"/>
          </w:tblCellMar>
        </w:tblPrEx>
        <w:trPr>
          <w:trHeight w:val="680" w:hRule="exact"/>
        </w:trPr>
        <w:tc>
          <w:tcPr>
            <w:tcW w:w="2268"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65"/>
              <w:kinsoku w:val="0"/>
              <w:overflowPunct w:val="0"/>
              <w:jc w:val="center"/>
              <w:rPr>
                <w:sz w:val="24"/>
                <w:szCs w:val="24"/>
              </w:rPr>
            </w:pPr>
            <w:r>
              <w:rPr>
                <w:rFonts w:hint="eastAsia"/>
                <w:szCs w:val="24"/>
              </w:rPr>
              <w:t>委托人地址</w:t>
            </w:r>
          </w:p>
        </w:tc>
        <w:tc>
          <w:tcPr>
            <w:tcW w:w="6990"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 w:val="24"/>
                <w:szCs w:val="24"/>
              </w:rPr>
            </w:pPr>
          </w:p>
        </w:tc>
      </w:tr>
      <w:tr>
        <w:tblPrEx>
          <w:tblCellMar>
            <w:top w:w="0" w:type="dxa"/>
            <w:left w:w="0" w:type="dxa"/>
            <w:bottom w:w="0" w:type="dxa"/>
            <w:right w:w="0" w:type="dxa"/>
          </w:tblCellMar>
        </w:tblPrEx>
        <w:trPr>
          <w:trHeight w:val="682" w:hRule="exact"/>
        </w:trPr>
        <w:tc>
          <w:tcPr>
            <w:tcW w:w="2268"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65"/>
              <w:kinsoku w:val="0"/>
              <w:overflowPunct w:val="0"/>
              <w:jc w:val="center"/>
              <w:rPr>
                <w:sz w:val="24"/>
                <w:szCs w:val="24"/>
              </w:rPr>
            </w:pPr>
            <w:r>
              <w:rPr>
                <w:rFonts w:hint="eastAsia"/>
                <w:szCs w:val="24"/>
              </w:rPr>
              <w:t>委托人电话</w:t>
            </w:r>
          </w:p>
        </w:tc>
        <w:tc>
          <w:tcPr>
            <w:tcW w:w="6990"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 w:val="24"/>
                <w:szCs w:val="24"/>
              </w:rPr>
            </w:pPr>
          </w:p>
        </w:tc>
      </w:tr>
      <w:tr>
        <w:tblPrEx>
          <w:tblCellMar>
            <w:top w:w="0" w:type="dxa"/>
            <w:left w:w="0" w:type="dxa"/>
            <w:bottom w:w="0" w:type="dxa"/>
            <w:right w:w="0" w:type="dxa"/>
          </w:tblCellMar>
        </w:tblPrEx>
        <w:trPr>
          <w:trHeight w:val="679" w:hRule="exact"/>
        </w:trPr>
        <w:tc>
          <w:tcPr>
            <w:tcW w:w="2268"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65"/>
              <w:kinsoku w:val="0"/>
              <w:overflowPunct w:val="0"/>
              <w:jc w:val="center"/>
              <w:rPr>
                <w:sz w:val="24"/>
                <w:szCs w:val="24"/>
              </w:rPr>
            </w:pPr>
            <w:r>
              <w:rPr>
                <w:rFonts w:hint="eastAsia"/>
                <w:szCs w:val="24"/>
              </w:rPr>
              <w:t>签约合同价</w:t>
            </w:r>
          </w:p>
        </w:tc>
        <w:tc>
          <w:tcPr>
            <w:tcW w:w="6990"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 w:val="24"/>
                <w:szCs w:val="24"/>
              </w:rPr>
            </w:pPr>
          </w:p>
        </w:tc>
      </w:tr>
      <w:tr>
        <w:tblPrEx>
          <w:tblCellMar>
            <w:top w:w="0" w:type="dxa"/>
            <w:left w:w="0" w:type="dxa"/>
            <w:bottom w:w="0" w:type="dxa"/>
            <w:right w:w="0" w:type="dxa"/>
          </w:tblCellMar>
        </w:tblPrEx>
        <w:trPr>
          <w:trHeight w:val="679" w:hRule="exact"/>
        </w:trPr>
        <w:tc>
          <w:tcPr>
            <w:tcW w:w="2268"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65"/>
              <w:kinsoku w:val="0"/>
              <w:overflowPunct w:val="0"/>
              <w:jc w:val="center"/>
              <w:rPr>
                <w:sz w:val="24"/>
                <w:szCs w:val="24"/>
              </w:rPr>
            </w:pPr>
            <w:r>
              <w:rPr>
                <w:rFonts w:hint="eastAsia"/>
                <w:szCs w:val="24"/>
              </w:rPr>
              <w:t>监理服务期限</w:t>
            </w:r>
          </w:p>
        </w:tc>
        <w:tc>
          <w:tcPr>
            <w:tcW w:w="6990"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 w:val="24"/>
                <w:szCs w:val="24"/>
              </w:rPr>
            </w:pPr>
          </w:p>
        </w:tc>
      </w:tr>
      <w:tr>
        <w:tblPrEx>
          <w:tblCellMar>
            <w:top w:w="0" w:type="dxa"/>
            <w:left w:w="0" w:type="dxa"/>
            <w:bottom w:w="0" w:type="dxa"/>
            <w:right w:w="0" w:type="dxa"/>
          </w:tblCellMar>
        </w:tblPrEx>
        <w:trPr>
          <w:trHeight w:val="682" w:hRule="exact"/>
        </w:trPr>
        <w:tc>
          <w:tcPr>
            <w:tcW w:w="2268"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65"/>
              <w:kinsoku w:val="0"/>
              <w:overflowPunct w:val="0"/>
              <w:jc w:val="center"/>
              <w:rPr>
                <w:sz w:val="24"/>
                <w:szCs w:val="24"/>
              </w:rPr>
            </w:pPr>
            <w:r>
              <w:rPr>
                <w:rFonts w:hint="eastAsia"/>
                <w:szCs w:val="24"/>
              </w:rPr>
              <w:t>监理内容</w:t>
            </w:r>
          </w:p>
        </w:tc>
        <w:tc>
          <w:tcPr>
            <w:tcW w:w="6990"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 w:val="24"/>
                <w:szCs w:val="24"/>
              </w:rPr>
            </w:pPr>
          </w:p>
        </w:tc>
      </w:tr>
      <w:tr>
        <w:tblPrEx>
          <w:tblCellMar>
            <w:top w:w="0" w:type="dxa"/>
            <w:left w:w="0" w:type="dxa"/>
            <w:bottom w:w="0" w:type="dxa"/>
            <w:right w:w="0" w:type="dxa"/>
          </w:tblCellMar>
        </w:tblPrEx>
        <w:trPr>
          <w:trHeight w:val="679" w:hRule="exact"/>
        </w:trPr>
        <w:tc>
          <w:tcPr>
            <w:tcW w:w="2268"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65"/>
              <w:kinsoku w:val="0"/>
              <w:overflowPunct w:val="0"/>
              <w:jc w:val="center"/>
              <w:rPr>
                <w:sz w:val="24"/>
                <w:szCs w:val="24"/>
              </w:rPr>
            </w:pPr>
            <w:r>
              <w:rPr>
                <w:rFonts w:hint="eastAsia"/>
                <w:szCs w:val="24"/>
              </w:rPr>
              <w:t>总监理工程师</w:t>
            </w:r>
          </w:p>
        </w:tc>
        <w:tc>
          <w:tcPr>
            <w:tcW w:w="6990"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 w:val="24"/>
                <w:szCs w:val="24"/>
              </w:rPr>
            </w:pPr>
          </w:p>
        </w:tc>
      </w:tr>
      <w:tr>
        <w:tblPrEx>
          <w:tblCellMar>
            <w:top w:w="0" w:type="dxa"/>
            <w:left w:w="0" w:type="dxa"/>
            <w:bottom w:w="0" w:type="dxa"/>
            <w:right w:w="0" w:type="dxa"/>
          </w:tblCellMar>
        </w:tblPrEx>
        <w:trPr>
          <w:trHeight w:val="3092" w:hRule="exact"/>
        </w:trPr>
        <w:tc>
          <w:tcPr>
            <w:tcW w:w="2268"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65"/>
              <w:kinsoku w:val="0"/>
              <w:overflowPunct w:val="0"/>
              <w:jc w:val="center"/>
              <w:rPr>
                <w:sz w:val="24"/>
                <w:szCs w:val="24"/>
              </w:rPr>
            </w:pPr>
            <w:r>
              <w:rPr>
                <w:rFonts w:hint="eastAsia"/>
                <w:szCs w:val="24"/>
              </w:rPr>
              <w:t>项目描述</w:t>
            </w:r>
          </w:p>
        </w:tc>
        <w:tc>
          <w:tcPr>
            <w:tcW w:w="6990"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 w:val="24"/>
                <w:szCs w:val="24"/>
              </w:rPr>
            </w:pPr>
          </w:p>
        </w:tc>
      </w:tr>
      <w:tr>
        <w:tblPrEx>
          <w:tblCellMar>
            <w:top w:w="0" w:type="dxa"/>
            <w:left w:w="0" w:type="dxa"/>
            <w:bottom w:w="0" w:type="dxa"/>
            <w:right w:w="0" w:type="dxa"/>
          </w:tblCellMar>
        </w:tblPrEx>
        <w:trPr>
          <w:trHeight w:val="679" w:hRule="exact"/>
        </w:trPr>
        <w:tc>
          <w:tcPr>
            <w:tcW w:w="2268" w:type="dxa"/>
            <w:tcBorders>
              <w:top w:val="single" w:color="000000" w:sz="4" w:space="0"/>
              <w:left w:val="single" w:color="000000" w:sz="4" w:space="0"/>
              <w:bottom w:val="single" w:color="000000" w:sz="4" w:space="0"/>
              <w:right w:val="single" w:color="000000" w:sz="4" w:space="0"/>
              <w:tl2br w:val="nil"/>
              <w:tr2bl w:val="nil"/>
            </w:tcBorders>
          </w:tcPr>
          <w:p>
            <w:pPr>
              <w:pStyle w:val="65"/>
              <w:kinsoku w:val="0"/>
              <w:overflowPunct w:val="0"/>
              <w:jc w:val="center"/>
              <w:rPr>
                <w:sz w:val="17"/>
                <w:szCs w:val="24"/>
              </w:rPr>
            </w:pPr>
          </w:p>
          <w:p>
            <w:pPr>
              <w:pStyle w:val="65"/>
              <w:kinsoku w:val="0"/>
              <w:overflowPunct w:val="0"/>
              <w:jc w:val="center"/>
              <w:rPr>
                <w:sz w:val="24"/>
                <w:szCs w:val="24"/>
              </w:rPr>
            </w:pPr>
            <w:r>
              <w:rPr>
                <w:rFonts w:hint="eastAsia"/>
                <w:szCs w:val="24"/>
              </w:rPr>
              <w:t>备注</w:t>
            </w:r>
          </w:p>
        </w:tc>
        <w:tc>
          <w:tcPr>
            <w:tcW w:w="6990" w:type="dxa"/>
            <w:tcBorders>
              <w:top w:val="single" w:color="000000" w:sz="4" w:space="0"/>
              <w:left w:val="single" w:color="000000" w:sz="4" w:space="0"/>
              <w:bottom w:val="single" w:color="000000" w:sz="4" w:space="0"/>
              <w:right w:val="single" w:color="000000" w:sz="4" w:space="0"/>
              <w:tl2br w:val="nil"/>
              <w:tr2bl w:val="nil"/>
            </w:tcBorders>
          </w:tcPr>
          <w:p>
            <w:pPr>
              <w:jc w:val="center"/>
              <w:rPr>
                <w:rFonts w:ascii="宋体" w:hAnsi="宋体" w:cs="宋体"/>
                <w:sz w:val="24"/>
                <w:szCs w:val="24"/>
              </w:rPr>
            </w:pPr>
          </w:p>
        </w:tc>
      </w:tr>
    </w:tbl>
    <w:p>
      <w:pPr>
        <w:pStyle w:val="2"/>
        <w:kinsoku w:val="0"/>
        <w:overflowPunct w:val="0"/>
        <w:spacing w:before="6"/>
        <w:rPr>
          <w:rFonts w:ascii="宋体" w:hAnsi="宋体" w:eastAsia="宋体" w:cs="宋体"/>
          <w:sz w:val="5"/>
          <w:szCs w:val="24"/>
        </w:rPr>
      </w:pPr>
    </w:p>
    <w:p>
      <w:pPr>
        <w:pStyle w:val="2"/>
        <w:kinsoku w:val="0"/>
        <w:overflowPunct w:val="0"/>
        <w:spacing w:before="36"/>
        <w:ind w:left="100"/>
        <w:rPr>
          <w:rFonts w:ascii="宋体" w:hAnsi="宋体" w:eastAsia="宋体" w:cs="宋体"/>
          <w:sz w:val="21"/>
          <w:szCs w:val="24"/>
        </w:rPr>
      </w:pPr>
      <w:r>
        <w:rPr>
          <w:rFonts w:hint="eastAsia" w:ascii="宋体" w:hAnsi="宋体" w:eastAsia="宋体" w:cs="宋体"/>
          <w:sz w:val="21"/>
          <w:szCs w:val="24"/>
        </w:rPr>
        <w:t>注：“正在监理和新承接的项目情况表”应附合同协议书扫描件。每张表格只填写一个项目，并标明序号。</w:t>
      </w:r>
    </w:p>
    <w:p>
      <w:pPr>
        <w:pStyle w:val="2"/>
        <w:kinsoku w:val="0"/>
        <w:overflowPunct w:val="0"/>
        <w:spacing w:before="36"/>
        <w:ind w:left="100"/>
        <w:rPr>
          <w:rFonts w:ascii="宋体" w:hAnsi="宋体" w:eastAsia="宋体" w:cs="宋体"/>
          <w:sz w:val="21"/>
          <w:szCs w:val="24"/>
        </w:rPr>
      </w:pPr>
    </w:p>
    <w:p>
      <w:pPr>
        <w:pStyle w:val="8"/>
        <w:pageBreakBefore/>
        <w:kinsoku w:val="0"/>
        <w:overflowPunct w:val="0"/>
        <w:spacing w:line="363" w:lineRule="exact"/>
        <w:ind w:left="215" w:right="176"/>
        <w:jc w:val="center"/>
        <w:rPr>
          <w:rFonts w:hint="default" w:hAnsi="宋体" w:cs="宋体"/>
        </w:rPr>
      </w:pPr>
      <w:bookmarkStart w:id="816" w:name="bookmark189"/>
      <w:bookmarkEnd w:id="816"/>
      <w:bookmarkStart w:id="817" w:name="bookmark190"/>
      <w:bookmarkEnd w:id="817"/>
      <w:r>
        <w:rPr>
          <w:rFonts w:hAnsi="宋体" w:cs="宋体"/>
        </w:rPr>
        <w:t>（六）拟投入本项目的主要试验检测仪器设备表</w:t>
      </w:r>
    </w:p>
    <w:tbl>
      <w:tblPr>
        <w:tblStyle w:val="26"/>
        <w:tblW w:w="0" w:type="auto"/>
        <w:tblInd w:w="340" w:type="dxa"/>
        <w:tblLayout w:type="fixed"/>
        <w:tblCellMar>
          <w:top w:w="0" w:type="dxa"/>
          <w:left w:w="0" w:type="dxa"/>
          <w:bottom w:w="0" w:type="dxa"/>
          <w:right w:w="0" w:type="dxa"/>
        </w:tblCellMar>
      </w:tblPr>
      <w:tblGrid>
        <w:gridCol w:w="729"/>
        <w:gridCol w:w="1275"/>
        <w:gridCol w:w="936"/>
        <w:gridCol w:w="882"/>
        <w:gridCol w:w="714"/>
        <w:gridCol w:w="994"/>
        <w:gridCol w:w="1419"/>
        <w:gridCol w:w="2113"/>
      </w:tblGrid>
      <w:tr>
        <w:tblPrEx>
          <w:tblCellMar>
            <w:top w:w="0" w:type="dxa"/>
            <w:left w:w="0" w:type="dxa"/>
            <w:bottom w:w="0" w:type="dxa"/>
            <w:right w:w="0" w:type="dxa"/>
          </w:tblCellMar>
        </w:tblPrEx>
        <w:trPr>
          <w:trHeight w:val="941" w:hRule="exact"/>
        </w:trPr>
        <w:tc>
          <w:tcPr>
            <w:tcW w:w="729"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65"/>
              <w:kinsoku w:val="0"/>
              <w:overflowPunct w:val="0"/>
              <w:jc w:val="center"/>
              <w:rPr>
                <w:szCs w:val="21"/>
              </w:rPr>
            </w:pPr>
            <w:r>
              <w:rPr>
                <w:rFonts w:hint="eastAsia"/>
                <w:szCs w:val="21"/>
              </w:rPr>
              <w:t>序号</w:t>
            </w:r>
          </w:p>
        </w:tc>
        <w:tc>
          <w:tcPr>
            <w:tcW w:w="1275"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65"/>
              <w:kinsoku w:val="0"/>
              <w:overflowPunct w:val="0"/>
              <w:jc w:val="center"/>
              <w:rPr>
                <w:szCs w:val="21"/>
              </w:rPr>
            </w:pPr>
            <w:r>
              <w:rPr>
                <w:rFonts w:hint="eastAsia"/>
                <w:szCs w:val="21"/>
              </w:rPr>
              <w:t>仪器设备名称</w:t>
            </w:r>
          </w:p>
        </w:tc>
        <w:tc>
          <w:tcPr>
            <w:tcW w:w="936"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65"/>
              <w:kinsoku w:val="0"/>
              <w:overflowPunct w:val="0"/>
              <w:jc w:val="center"/>
              <w:rPr>
                <w:szCs w:val="21"/>
              </w:rPr>
            </w:pPr>
            <w:r>
              <w:rPr>
                <w:rFonts w:hint="eastAsia"/>
                <w:szCs w:val="21"/>
              </w:rPr>
              <w:t>型号</w:t>
            </w:r>
            <w:r>
              <w:rPr>
                <w:rFonts w:hint="eastAsia"/>
                <w:spacing w:val="-103"/>
                <w:szCs w:val="21"/>
              </w:rPr>
              <w:t xml:space="preserve"> </w:t>
            </w:r>
            <w:r>
              <w:rPr>
                <w:rFonts w:hint="eastAsia"/>
                <w:szCs w:val="21"/>
              </w:rPr>
              <w:t>规格</w:t>
            </w:r>
          </w:p>
        </w:tc>
        <w:tc>
          <w:tcPr>
            <w:tcW w:w="882"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65"/>
              <w:kinsoku w:val="0"/>
              <w:overflowPunct w:val="0"/>
              <w:jc w:val="center"/>
              <w:rPr>
                <w:szCs w:val="21"/>
              </w:rPr>
            </w:pPr>
            <w:r>
              <w:rPr>
                <w:rFonts w:hint="eastAsia"/>
                <w:szCs w:val="21"/>
              </w:rPr>
              <w:t>数量</w:t>
            </w:r>
          </w:p>
        </w:tc>
        <w:tc>
          <w:tcPr>
            <w:tcW w:w="714"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65"/>
              <w:kinsoku w:val="0"/>
              <w:overflowPunct w:val="0"/>
              <w:jc w:val="center"/>
              <w:rPr>
                <w:szCs w:val="21"/>
              </w:rPr>
            </w:pPr>
            <w:r>
              <w:rPr>
                <w:rFonts w:hint="eastAsia"/>
                <w:szCs w:val="21"/>
              </w:rPr>
              <w:t>国别</w:t>
            </w:r>
            <w:r>
              <w:rPr>
                <w:rFonts w:hint="eastAsia"/>
                <w:spacing w:val="-103"/>
                <w:szCs w:val="21"/>
              </w:rPr>
              <w:t xml:space="preserve"> </w:t>
            </w:r>
            <w:r>
              <w:rPr>
                <w:rFonts w:hint="eastAsia"/>
                <w:szCs w:val="21"/>
              </w:rPr>
              <w:t>产地</w:t>
            </w:r>
          </w:p>
        </w:tc>
        <w:tc>
          <w:tcPr>
            <w:tcW w:w="994"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65"/>
              <w:kinsoku w:val="0"/>
              <w:overflowPunct w:val="0"/>
              <w:jc w:val="center"/>
              <w:rPr>
                <w:szCs w:val="21"/>
              </w:rPr>
            </w:pPr>
            <w:r>
              <w:rPr>
                <w:rFonts w:hint="eastAsia"/>
                <w:szCs w:val="21"/>
              </w:rPr>
              <w:t>制造</w:t>
            </w:r>
            <w:r>
              <w:rPr>
                <w:rFonts w:hint="eastAsia"/>
                <w:spacing w:val="-103"/>
                <w:szCs w:val="21"/>
              </w:rPr>
              <w:t xml:space="preserve"> </w:t>
            </w:r>
            <w:r>
              <w:rPr>
                <w:rFonts w:hint="eastAsia"/>
                <w:szCs w:val="21"/>
              </w:rPr>
              <w:t>年份</w:t>
            </w:r>
          </w:p>
        </w:tc>
        <w:tc>
          <w:tcPr>
            <w:tcW w:w="1419"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65"/>
              <w:kinsoku w:val="0"/>
              <w:overflowPunct w:val="0"/>
              <w:jc w:val="center"/>
              <w:rPr>
                <w:szCs w:val="21"/>
              </w:rPr>
            </w:pPr>
            <w:r>
              <w:rPr>
                <w:rFonts w:hint="eastAsia"/>
                <w:szCs w:val="21"/>
              </w:rPr>
              <w:t>用途</w:t>
            </w:r>
          </w:p>
        </w:tc>
        <w:tc>
          <w:tcPr>
            <w:tcW w:w="2113"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65"/>
              <w:kinsoku w:val="0"/>
              <w:overflowPunct w:val="0"/>
              <w:jc w:val="center"/>
              <w:rPr>
                <w:szCs w:val="21"/>
              </w:rPr>
            </w:pPr>
            <w:r>
              <w:rPr>
                <w:rFonts w:hint="eastAsia"/>
                <w:szCs w:val="21"/>
              </w:rPr>
              <w:t>备注</w:t>
            </w:r>
          </w:p>
        </w:tc>
      </w:tr>
      <w:tr>
        <w:tblPrEx>
          <w:tblCellMar>
            <w:top w:w="0" w:type="dxa"/>
            <w:left w:w="0" w:type="dxa"/>
            <w:bottom w:w="0" w:type="dxa"/>
            <w:right w:w="0" w:type="dxa"/>
          </w:tblCellMar>
        </w:tblPrEx>
        <w:trPr>
          <w:trHeight w:val="475" w:hRule="exact"/>
        </w:trPr>
        <w:tc>
          <w:tcPr>
            <w:tcW w:w="729"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1275"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936"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882"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714"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994"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1419"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2113"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r>
      <w:tr>
        <w:tblPrEx>
          <w:tblCellMar>
            <w:top w:w="0" w:type="dxa"/>
            <w:left w:w="0" w:type="dxa"/>
            <w:bottom w:w="0" w:type="dxa"/>
            <w:right w:w="0" w:type="dxa"/>
          </w:tblCellMar>
        </w:tblPrEx>
        <w:trPr>
          <w:trHeight w:val="475" w:hRule="exact"/>
        </w:trPr>
        <w:tc>
          <w:tcPr>
            <w:tcW w:w="729"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1275"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936"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882"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714"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994"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1419"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2113"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r>
      <w:tr>
        <w:tblPrEx>
          <w:tblCellMar>
            <w:top w:w="0" w:type="dxa"/>
            <w:left w:w="0" w:type="dxa"/>
            <w:bottom w:w="0" w:type="dxa"/>
            <w:right w:w="0" w:type="dxa"/>
          </w:tblCellMar>
        </w:tblPrEx>
        <w:trPr>
          <w:trHeight w:val="476" w:hRule="exact"/>
        </w:trPr>
        <w:tc>
          <w:tcPr>
            <w:tcW w:w="729"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1275"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936"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882"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714"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994"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1419"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2113"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r>
      <w:tr>
        <w:tblPrEx>
          <w:tblCellMar>
            <w:top w:w="0" w:type="dxa"/>
            <w:left w:w="0" w:type="dxa"/>
            <w:bottom w:w="0" w:type="dxa"/>
            <w:right w:w="0" w:type="dxa"/>
          </w:tblCellMar>
        </w:tblPrEx>
        <w:trPr>
          <w:trHeight w:val="475" w:hRule="exact"/>
        </w:trPr>
        <w:tc>
          <w:tcPr>
            <w:tcW w:w="729"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1275"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936"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882"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714"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994"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1419"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2113"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r>
      <w:tr>
        <w:tblPrEx>
          <w:tblCellMar>
            <w:top w:w="0" w:type="dxa"/>
            <w:left w:w="0" w:type="dxa"/>
            <w:bottom w:w="0" w:type="dxa"/>
            <w:right w:w="0" w:type="dxa"/>
          </w:tblCellMar>
        </w:tblPrEx>
        <w:trPr>
          <w:trHeight w:val="458" w:hRule="exact"/>
        </w:trPr>
        <w:tc>
          <w:tcPr>
            <w:tcW w:w="729"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1275"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936"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882"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714"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994"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1419"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2113"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r>
      <w:tr>
        <w:tblPrEx>
          <w:tblCellMar>
            <w:top w:w="0" w:type="dxa"/>
            <w:left w:w="0" w:type="dxa"/>
            <w:bottom w:w="0" w:type="dxa"/>
            <w:right w:w="0" w:type="dxa"/>
          </w:tblCellMar>
        </w:tblPrEx>
        <w:trPr>
          <w:trHeight w:val="475" w:hRule="exact"/>
        </w:trPr>
        <w:tc>
          <w:tcPr>
            <w:tcW w:w="729"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1275"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936"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882"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714"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994"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1419"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2113"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r>
      <w:tr>
        <w:tblPrEx>
          <w:tblCellMar>
            <w:top w:w="0" w:type="dxa"/>
            <w:left w:w="0" w:type="dxa"/>
            <w:bottom w:w="0" w:type="dxa"/>
            <w:right w:w="0" w:type="dxa"/>
          </w:tblCellMar>
        </w:tblPrEx>
        <w:trPr>
          <w:trHeight w:val="473" w:hRule="exact"/>
        </w:trPr>
        <w:tc>
          <w:tcPr>
            <w:tcW w:w="729"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1275"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936"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882"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714"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994"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1419"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2113"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r>
      <w:tr>
        <w:tblPrEx>
          <w:tblCellMar>
            <w:top w:w="0" w:type="dxa"/>
            <w:left w:w="0" w:type="dxa"/>
            <w:bottom w:w="0" w:type="dxa"/>
            <w:right w:w="0" w:type="dxa"/>
          </w:tblCellMar>
        </w:tblPrEx>
        <w:trPr>
          <w:trHeight w:val="475" w:hRule="exact"/>
        </w:trPr>
        <w:tc>
          <w:tcPr>
            <w:tcW w:w="729"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1275"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936"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882"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714"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994"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1419"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2113"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r>
      <w:tr>
        <w:tblPrEx>
          <w:tblCellMar>
            <w:top w:w="0" w:type="dxa"/>
            <w:left w:w="0" w:type="dxa"/>
            <w:bottom w:w="0" w:type="dxa"/>
            <w:right w:w="0" w:type="dxa"/>
          </w:tblCellMar>
        </w:tblPrEx>
        <w:trPr>
          <w:trHeight w:val="476" w:hRule="exact"/>
        </w:trPr>
        <w:tc>
          <w:tcPr>
            <w:tcW w:w="729"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1275"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936"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882"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714"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994"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1419"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2113"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r>
      <w:tr>
        <w:tblPrEx>
          <w:tblCellMar>
            <w:top w:w="0" w:type="dxa"/>
            <w:left w:w="0" w:type="dxa"/>
            <w:bottom w:w="0" w:type="dxa"/>
            <w:right w:w="0" w:type="dxa"/>
          </w:tblCellMar>
        </w:tblPrEx>
        <w:trPr>
          <w:trHeight w:val="475" w:hRule="exact"/>
        </w:trPr>
        <w:tc>
          <w:tcPr>
            <w:tcW w:w="729"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1275"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936"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882"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714"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994"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1419"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2113"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r>
      <w:tr>
        <w:tblPrEx>
          <w:tblCellMar>
            <w:top w:w="0" w:type="dxa"/>
            <w:left w:w="0" w:type="dxa"/>
            <w:bottom w:w="0" w:type="dxa"/>
            <w:right w:w="0" w:type="dxa"/>
          </w:tblCellMar>
        </w:tblPrEx>
        <w:trPr>
          <w:trHeight w:val="475" w:hRule="exact"/>
        </w:trPr>
        <w:tc>
          <w:tcPr>
            <w:tcW w:w="729"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1275"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936"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882"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714"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994"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1419"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2113"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r>
      <w:tr>
        <w:tblPrEx>
          <w:tblCellMar>
            <w:top w:w="0" w:type="dxa"/>
            <w:left w:w="0" w:type="dxa"/>
            <w:bottom w:w="0" w:type="dxa"/>
            <w:right w:w="0" w:type="dxa"/>
          </w:tblCellMar>
        </w:tblPrEx>
        <w:trPr>
          <w:trHeight w:val="475" w:hRule="exact"/>
        </w:trPr>
        <w:tc>
          <w:tcPr>
            <w:tcW w:w="729"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1275"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936"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882"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714"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994"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1419"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2113"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r>
      <w:tr>
        <w:tblPrEx>
          <w:tblCellMar>
            <w:top w:w="0" w:type="dxa"/>
            <w:left w:w="0" w:type="dxa"/>
            <w:bottom w:w="0" w:type="dxa"/>
            <w:right w:w="0" w:type="dxa"/>
          </w:tblCellMar>
        </w:tblPrEx>
        <w:trPr>
          <w:trHeight w:val="458" w:hRule="exact"/>
        </w:trPr>
        <w:tc>
          <w:tcPr>
            <w:tcW w:w="729"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1275"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936"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882"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714"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994"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1419"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2113"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r>
      <w:tr>
        <w:tblPrEx>
          <w:tblCellMar>
            <w:top w:w="0" w:type="dxa"/>
            <w:left w:w="0" w:type="dxa"/>
            <w:bottom w:w="0" w:type="dxa"/>
            <w:right w:w="0" w:type="dxa"/>
          </w:tblCellMar>
        </w:tblPrEx>
        <w:trPr>
          <w:trHeight w:val="475" w:hRule="exact"/>
        </w:trPr>
        <w:tc>
          <w:tcPr>
            <w:tcW w:w="729"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1275"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936"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882"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714"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994"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1419"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2113"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r>
      <w:tr>
        <w:tblPrEx>
          <w:tblCellMar>
            <w:top w:w="0" w:type="dxa"/>
            <w:left w:w="0" w:type="dxa"/>
            <w:bottom w:w="0" w:type="dxa"/>
            <w:right w:w="0" w:type="dxa"/>
          </w:tblCellMar>
        </w:tblPrEx>
        <w:trPr>
          <w:trHeight w:val="475" w:hRule="exact"/>
        </w:trPr>
        <w:tc>
          <w:tcPr>
            <w:tcW w:w="729"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1275"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936"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882"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714"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994"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1419"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2113"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r>
      <w:tr>
        <w:tblPrEx>
          <w:tblCellMar>
            <w:top w:w="0" w:type="dxa"/>
            <w:left w:w="0" w:type="dxa"/>
            <w:bottom w:w="0" w:type="dxa"/>
            <w:right w:w="0" w:type="dxa"/>
          </w:tblCellMar>
        </w:tblPrEx>
        <w:trPr>
          <w:trHeight w:val="476" w:hRule="exact"/>
        </w:trPr>
        <w:tc>
          <w:tcPr>
            <w:tcW w:w="729"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1275"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936"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882"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714"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994"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1419"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2113"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r>
      <w:tr>
        <w:tblPrEx>
          <w:tblCellMar>
            <w:top w:w="0" w:type="dxa"/>
            <w:left w:w="0" w:type="dxa"/>
            <w:bottom w:w="0" w:type="dxa"/>
            <w:right w:w="0" w:type="dxa"/>
          </w:tblCellMar>
        </w:tblPrEx>
        <w:trPr>
          <w:trHeight w:val="475" w:hRule="exact"/>
        </w:trPr>
        <w:tc>
          <w:tcPr>
            <w:tcW w:w="729"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1275"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936"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882"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714"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994"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1419"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2113"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r>
      <w:tr>
        <w:tblPrEx>
          <w:tblCellMar>
            <w:top w:w="0" w:type="dxa"/>
            <w:left w:w="0" w:type="dxa"/>
            <w:bottom w:w="0" w:type="dxa"/>
            <w:right w:w="0" w:type="dxa"/>
          </w:tblCellMar>
        </w:tblPrEx>
        <w:trPr>
          <w:trHeight w:val="473" w:hRule="exact"/>
        </w:trPr>
        <w:tc>
          <w:tcPr>
            <w:tcW w:w="729"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1275"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936"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882"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714"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994"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1419"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2113"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r>
      <w:tr>
        <w:tblPrEx>
          <w:tblCellMar>
            <w:top w:w="0" w:type="dxa"/>
            <w:left w:w="0" w:type="dxa"/>
            <w:bottom w:w="0" w:type="dxa"/>
            <w:right w:w="0" w:type="dxa"/>
          </w:tblCellMar>
        </w:tblPrEx>
        <w:trPr>
          <w:trHeight w:val="478" w:hRule="exact"/>
        </w:trPr>
        <w:tc>
          <w:tcPr>
            <w:tcW w:w="729"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1275"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936"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882"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714"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994"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1419"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c>
          <w:tcPr>
            <w:tcW w:w="2113"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ascii="宋体" w:hAnsi="宋体" w:cs="宋体"/>
                <w:szCs w:val="21"/>
              </w:rPr>
            </w:pPr>
          </w:p>
        </w:tc>
      </w:tr>
    </w:tbl>
    <w:p>
      <w:pPr>
        <w:rPr>
          <w:rFonts w:ascii="宋体" w:hAnsi="宋体" w:cs="宋体"/>
          <w:sz w:val="24"/>
          <w:szCs w:val="24"/>
        </w:rPr>
      </w:pPr>
    </w:p>
    <w:p>
      <w:pPr>
        <w:rPr>
          <w:rFonts w:ascii="宋体" w:hAnsi="宋体" w:cs="宋体"/>
          <w:sz w:val="24"/>
          <w:szCs w:val="24"/>
        </w:rPr>
      </w:pPr>
    </w:p>
    <w:p>
      <w:pPr>
        <w:pStyle w:val="64"/>
        <w:pageBreakBefore/>
        <w:jc w:val="center"/>
        <w:rPr>
          <w:rFonts w:ascii="宋体" w:cs="宋体"/>
          <w:color w:val="000000" w:themeColor="text1"/>
          <w:sz w:val="32"/>
          <w14:textFill>
            <w14:solidFill>
              <w14:schemeClr w14:val="tx1"/>
            </w14:solidFill>
          </w14:textFill>
        </w:rPr>
      </w:pPr>
      <w:bookmarkStart w:id="818" w:name="bookmark194"/>
      <w:bookmarkEnd w:id="818"/>
      <w:bookmarkStart w:id="819" w:name="bookmark193"/>
      <w:bookmarkEnd w:id="819"/>
      <w:bookmarkStart w:id="820" w:name="_Toc25425"/>
      <w:bookmarkStart w:id="821" w:name="_Toc20563"/>
      <w:bookmarkStart w:id="822" w:name="_Toc6720"/>
      <w:r>
        <w:rPr>
          <w:rFonts w:hint="eastAsia" w:ascii="宋体" w:cs="宋体"/>
          <w:color w:val="000000" w:themeColor="text1"/>
          <w:sz w:val="32"/>
          <w14:textFill>
            <w14:solidFill>
              <w14:schemeClr w14:val="tx1"/>
            </w14:solidFill>
          </w14:textFill>
        </w:rPr>
        <w:t>八、其他资料</w:t>
      </w:r>
      <w:bookmarkEnd w:id="820"/>
      <w:bookmarkEnd w:id="821"/>
      <w:bookmarkEnd w:id="822"/>
    </w:p>
    <w:p>
      <w:pPr>
        <w:spacing w:line="360" w:lineRule="auto"/>
        <w:rPr>
          <w:rFonts w:ascii="宋体" w:hAnsi="宋体" w:cs="宋体"/>
          <w:sz w:val="30"/>
        </w:rPr>
      </w:pPr>
      <w:r>
        <w:rPr>
          <w:rFonts w:hint="eastAsia" w:ascii="宋体" w:hAnsi="宋体" w:cs="宋体"/>
          <w:sz w:val="30"/>
        </w:rPr>
        <w:t>（一）反商业贿赂承诺书</w:t>
      </w:r>
    </w:p>
    <w:p>
      <w:pPr>
        <w:spacing w:line="360" w:lineRule="auto"/>
        <w:jc w:val="center"/>
        <w:rPr>
          <w:rFonts w:ascii="宋体" w:hAnsi="宋体" w:cs="宋体"/>
          <w:b/>
          <w:sz w:val="32"/>
        </w:rPr>
      </w:pPr>
      <w:r>
        <w:rPr>
          <w:rFonts w:hint="eastAsia" w:ascii="宋体" w:hAnsi="宋体" w:cs="宋体"/>
          <w:b/>
          <w:sz w:val="32"/>
        </w:rPr>
        <w:t>反商业贿赂承诺书</w:t>
      </w:r>
    </w:p>
    <w:p>
      <w:pPr>
        <w:spacing w:line="360" w:lineRule="auto"/>
        <w:rPr>
          <w:rFonts w:ascii="宋体" w:hAnsi="宋体" w:cs="宋体"/>
          <w:b/>
        </w:rPr>
      </w:pPr>
      <w:r>
        <w:rPr>
          <w:rFonts w:hint="eastAsia" w:ascii="宋体" w:hAnsi="宋体" w:cs="宋体"/>
          <w:b/>
        </w:rPr>
        <w:t>我公司承诺：</w:t>
      </w:r>
    </w:p>
    <w:p>
      <w:pPr>
        <w:spacing w:line="360" w:lineRule="auto"/>
        <w:ind w:firstLine="315" w:firstLineChars="150"/>
        <w:rPr>
          <w:rFonts w:ascii="宋体" w:hAnsi="宋体" w:cs="宋体"/>
        </w:rPr>
      </w:pPr>
      <w:r>
        <w:rPr>
          <w:rFonts w:hint="eastAsia" w:ascii="宋体" w:hAnsi="宋体" w:cs="宋体"/>
        </w:rPr>
        <w:t>在</w:t>
      </w:r>
      <w:r>
        <w:rPr>
          <w:rFonts w:hint="eastAsia" w:ascii="宋体" w:hAnsi="宋体" w:cs="宋体"/>
          <w:u w:val="single"/>
        </w:rPr>
        <w:t xml:space="preserve">                      （项目名称） </w:t>
      </w:r>
      <w:r>
        <w:rPr>
          <w:rFonts w:hint="eastAsia" w:ascii="宋体" w:hAnsi="宋体" w:cs="宋体"/>
        </w:rPr>
        <w:t>招标活动中，我公司保证做到：</w:t>
      </w:r>
    </w:p>
    <w:p>
      <w:pPr>
        <w:spacing w:line="360" w:lineRule="auto"/>
        <w:ind w:firstLine="315" w:firstLineChars="150"/>
        <w:rPr>
          <w:rFonts w:ascii="宋体" w:hAnsi="宋体" w:cs="宋体"/>
        </w:rPr>
      </w:pPr>
      <w:r>
        <w:rPr>
          <w:rFonts w:hint="eastAsia" w:ascii="宋体" w:hAnsi="宋体" w:cs="宋体"/>
        </w:rPr>
        <w:t>一、公平竞争参加本次招标活动。</w:t>
      </w:r>
    </w:p>
    <w:p>
      <w:pPr>
        <w:spacing w:line="360" w:lineRule="auto"/>
        <w:ind w:firstLine="315" w:firstLineChars="150"/>
        <w:rPr>
          <w:rFonts w:ascii="宋体" w:hAnsi="宋体" w:cs="宋体"/>
        </w:rPr>
      </w:pPr>
      <w:r>
        <w:rPr>
          <w:rFonts w:hint="eastAsia" w:ascii="宋体" w:hAnsi="宋体" w:cs="宋体"/>
        </w:rPr>
        <w:t>二、杜绝任何形式的商业贿赂行为。不向国家工作人员、政府采购代理机构工作人员、评审专家及亲属提供礼品礼金、有价证券、购物券、回扣、佣金、咨询费、劳务费、资助费、宣传费、宴请；不为其报销各种消费凭证，不支付其旅游、娱乐等费用。</w:t>
      </w:r>
    </w:p>
    <w:p>
      <w:pPr>
        <w:spacing w:line="360" w:lineRule="auto"/>
        <w:ind w:firstLine="315" w:firstLineChars="150"/>
        <w:rPr>
          <w:rFonts w:ascii="宋体" w:hAnsi="宋体" w:cs="宋体"/>
        </w:rPr>
      </w:pPr>
      <w:r>
        <w:rPr>
          <w:rFonts w:hint="eastAsia" w:ascii="宋体" w:hAnsi="宋体" w:cs="宋体"/>
        </w:rPr>
        <w:t>三、若出现上述行为，我公司及参与投标的工作人员愿意接受按照国家法律法规等有关规定给予的处罚。</w:t>
      </w:r>
    </w:p>
    <w:p>
      <w:pPr>
        <w:spacing w:line="360" w:lineRule="auto"/>
        <w:ind w:firstLine="5565" w:firstLineChars="2650"/>
        <w:rPr>
          <w:rFonts w:ascii="宋体" w:hAnsi="宋体" w:cs="宋体"/>
          <w:u w:val="single"/>
        </w:rPr>
      </w:pPr>
      <w:r>
        <w:rPr>
          <w:rFonts w:hint="eastAsia" w:ascii="宋体" w:hAnsi="宋体" w:cs="宋体"/>
        </w:rPr>
        <w:t>投标单位:(盖章)</w:t>
      </w:r>
      <w:r>
        <w:rPr>
          <w:rFonts w:hint="eastAsia" w:ascii="宋体" w:hAnsi="宋体" w:cs="宋体"/>
          <w:u w:val="single"/>
        </w:rPr>
        <w:t xml:space="preserve">               </w:t>
      </w:r>
    </w:p>
    <w:p>
      <w:pPr>
        <w:spacing w:line="360" w:lineRule="auto"/>
        <w:ind w:firstLine="5565" w:firstLineChars="2650"/>
        <w:rPr>
          <w:rFonts w:ascii="宋体" w:hAnsi="宋体" w:cs="宋体"/>
        </w:rPr>
      </w:pPr>
      <w:r>
        <w:rPr>
          <w:rFonts w:hint="eastAsia" w:ascii="宋体" w:hAnsi="宋体" w:cs="宋体"/>
        </w:rPr>
        <w:t xml:space="preserve">公司法人代表（签字）：         </w:t>
      </w:r>
    </w:p>
    <w:p>
      <w:pPr>
        <w:spacing w:line="360" w:lineRule="auto"/>
        <w:ind w:firstLine="5565" w:firstLineChars="2650"/>
        <w:rPr>
          <w:rFonts w:ascii="宋体" w:hAnsi="宋体" w:cs="宋体"/>
        </w:rPr>
      </w:pPr>
      <w:r>
        <w:rPr>
          <w:rFonts w:hint="eastAsia" w:ascii="宋体" w:hAnsi="宋体" w:cs="宋体"/>
        </w:rPr>
        <w:t>法人授权代表（签字）：</w:t>
      </w:r>
    </w:p>
    <w:p>
      <w:pPr>
        <w:spacing w:line="360" w:lineRule="auto"/>
        <w:ind w:firstLine="5460" w:firstLineChars="2600"/>
        <w:rPr>
          <w:rFonts w:ascii="宋体" w:hAnsi="宋体" w:cs="宋体"/>
        </w:rPr>
      </w:pPr>
    </w:p>
    <w:p>
      <w:pPr>
        <w:spacing w:line="360" w:lineRule="auto"/>
        <w:ind w:firstLine="6300" w:firstLineChars="3000"/>
        <w:rPr>
          <w:rFonts w:ascii="宋体" w:hAnsi="宋体" w:cs="宋体"/>
        </w:rPr>
      </w:pPr>
      <w:r>
        <w:rPr>
          <w:rFonts w:hint="eastAsia" w:ascii="宋体" w:hAnsi="宋体" w:cs="宋体"/>
        </w:rPr>
        <w:t>年   月   日</w:t>
      </w:r>
    </w:p>
    <w:p>
      <w:pPr>
        <w:spacing w:line="360" w:lineRule="auto"/>
        <w:rPr>
          <w:rFonts w:ascii="宋体" w:hAnsi="宋体" w:cs="宋体"/>
          <w:sz w:val="30"/>
        </w:rPr>
      </w:pPr>
    </w:p>
    <w:p>
      <w:pPr>
        <w:spacing w:line="360" w:lineRule="auto"/>
        <w:rPr>
          <w:rFonts w:ascii="宋体" w:hAnsi="宋体" w:cs="宋体"/>
          <w:sz w:val="30"/>
        </w:rPr>
      </w:pPr>
    </w:p>
    <w:p>
      <w:pPr>
        <w:keepNext w:val="0"/>
        <w:keepLines w:val="0"/>
        <w:pageBreakBefore/>
        <w:widowControl w:val="0"/>
        <w:kinsoku/>
        <w:wordWrap/>
        <w:overflowPunct/>
        <w:topLinePunct w:val="0"/>
        <w:autoSpaceDE/>
        <w:autoSpaceDN/>
        <w:bidi w:val="0"/>
        <w:adjustRightInd/>
        <w:snapToGrid/>
        <w:spacing w:line="360" w:lineRule="auto"/>
        <w:textAlignment w:val="auto"/>
        <w:rPr>
          <w:rFonts w:ascii="宋体" w:hAnsi="宋体" w:cs="宋体"/>
          <w:sz w:val="30"/>
        </w:rPr>
      </w:pPr>
      <w:r>
        <w:rPr>
          <w:rFonts w:hint="eastAsia" w:ascii="宋体" w:hAnsi="宋体" w:cs="宋体"/>
          <w:sz w:val="30"/>
        </w:rPr>
        <w:t>（二）全省房屋建筑和市政基础设施工程项目招标投标活动承诺书</w:t>
      </w:r>
    </w:p>
    <w:p>
      <w:pPr>
        <w:spacing w:line="360" w:lineRule="auto"/>
        <w:jc w:val="center"/>
        <w:rPr>
          <w:rStyle w:val="29"/>
          <w:rFonts w:hint="eastAsia" w:ascii="宋体" w:hAnsi="宋体" w:cs="宋体"/>
          <w:color w:val="auto"/>
          <w:sz w:val="24"/>
          <w:szCs w:val="44"/>
          <w:highlight w:val="none"/>
          <w:lang w:eastAsia="zh-CN"/>
        </w:rPr>
      </w:pPr>
      <w:r>
        <w:rPr>
          <w:rStyle w:val="29"/>
          <w:rFonts w:hint="eastAsia" w:ascii="宋体" w:hAnsi="宋体" w:cs="宋体"/>
          <w:color w:val="auto"/>
          <w:sz w:val="24"/>
          <w:szCs w:val="44"/>
          <w:highlight w:val="none"/>
          <w:lang w:eastAsia="zh-CN"/>
        </w:rPr>
        <w:t>全省房屋建筑和市政基础设施工程项目</w:t>
      </w:r>
    </w:p>
    <w:p>
      <w:pPr>
        <w:spacing w:line="360" w:lineRule="auto"/>
        <w:jc w:val="center"/>
        <w:rPr>
          <w:rStyle w:val="29"/>
          <w:rFonts w:hint="eastAsia" w:ascii="宋体" w:hAnsi="宋体" w:cs="宋体"/>
          <w:color w:val="auto"/>
          <w:sz w:val="24"/>
          <w:szCs w:val="44"/>
          <w:highlight w:val="none"/>
          <w:lang w:eastAsia="zh-CN"/>
        </w:rPr>
      </w:pPr>
      <w:r>
        <w:rPr>
          <w:rStyle w:val="29"/>
          <w:rFonts w:hint="eastAsia" w:ascii="宋体" w:hAnsi="宋体" w:cs="宋体"/>
          <w:color w:val="auto"/>
          <w:sz w:val="24"/>
          <w:szCs w:val="44"/>
          <w:highlight w:val="none"/>
          <w:lang w:eastAsia="zh-CN"/>
        </w:rPr>
        <w:t>招标投标活动承诺书</w:t>
      </w:r>
    </w:p>
    <w:p>
      <w:pPr>
        <w:jc w:val="center"/>
        <w:rPr>
          <w:rFonts w:eastAsia="方正小标宋简体"/>
          <w:color w:val="auto"/>
          <w:sz w:val="44"/>
          <w:szCs w:val="44"/>
          <w:highlight w:val="none"/>
        </w:rPr>
      </w:pPr>
    </w:p>
    <w:p>
      <w:pPr>
        <w:spacing w:line="580" w:lineRule="exact"/>
        <w:ind w:firstLine="621" w:firstLineChars="296"/>
        <w:rPr>
          <w:rFonts w:hint="eastAsia" w:ascii="宋体" w:hAnsi="宋体" w:cs="宋体"/>
          <w:color w:val="auto"/>
          <w:szCs w:val="21"/>
          <w:highlight w:val="none"/>
        </w:rPr>
      </w:pPr>
      <w:r>
        <w:rPr>
          <w:rFonts w:hint="eastAsia" w:ascii="宋体" w:hAnsi="宋体" w:cs="宋体"/>
          <w:color w:val="auto"/>
          <w:szCs w:val="21"/>
          <w:highlight w:val="none"/>
        </w:rPr>
        <w:t>我承诺，在</w:t>
      </w:r>
      <w:r>
        <w:rPr>
          <w:rFonts w:hint="eastAsia" w:ascii="宋体" w:hAnsi="宋体" w:cs="宋体"/>
          <w:color w:val="auto"/>
          <w:szCs w:val="21"/>
          <w:highlight w:val="none"/>
          <w:u w:val="single"/>
          <w:lang w:val="en-US" w:eastAsia="zh-CN"/>
        </w:rPr>
        <w:t xml:space="preserve">  </w:t>
      </w:r>
      <w:r>
        <w:rPr>
          <w:spacing w:val="-3"/>
          <w:sz w:val="21"/>
          <w:szCs w:val="21"/>
          <w:u w:val="single" w:color="auto"/>
        </w:rPr>
        <w:t>（项目名称）</w:t>
      </w:r>
      <w:r>
        <w:rPr>
          <w:rFonts w:hint="eastAsia"/>
          <w:spacing w:val="-3"/>
          <w:sz w:val="21"/>
          <w:szCs w:val="21"/>
          <w:u w:val="single" w:color="auto"/>
          <w:lang w:val="en-US" w:eastAsia="zh-CN"/>
        </w:rPr>
        <w:t xml:space="preserve">  </w:t>
      </w:r>
      <w:r>
        <w:rPr>
          <w:rFonts w:hint="eastAsia" w:ascii="宋体" w:hAnsi="宋体" w:cs="宋体"/>
          <w:color w:val="auto"/>
          <w:szCs w:val="21"/>
          <w:highlight w:val="none"/>
        </w:rPr>
        <w:t>招投标活动中，自觉遵守《中华人民共和国招标投标法》、《中华人民共和国招标投标法实施条例》、河南省实施《中华人民共和国招标投标法》办法等招标投标相关法律、法规和制度规定，如有违反，愿承担相关法律责任。</w:t>
      </w:r>
    </w:p>
    <w:p>
      <w:pPr>
        <w:rPr>
          <w:rFonts w:hint="eastAsia" w:ascii="宋体" w:hAnsi="宋体" w:cs="宋体"/>
          <w:color w:val="auto"/>
          <w:szCs w:val="21"/>
          <w:highlight w:val="none"/>
        </w:rPr>
      </w:pPr>
    </w:p>
    <w:p>
      <w:pPr>
        <w:ind w:firstLine="3150" w:firstLineChars="1500"/>
        <w:rPr>
          <w:rFonts w:hint="eastAsia" w:ascii="宋体" w:hAnsi="宋体" w:cs="宋体"/>
          <w:color w:val="auto"/>
          <w:szCs w:val="21"/>
          <w:highlight w:val="none"/>
        </w:rPr>
      </w:pPr>
    </w:p>
    <w:p>
      <w:pPr>
        <w:ind w:firstLine="3150" w:firstLineChars="1500"/>
        <w:rPr>
          <w:rFonts w:hint="eastAsia" w:ascii="宋体" w:hAnsi="宋体" w:cs="宋体"/>
          <w:color w:val="auto"/>
          <w:szCs w:val="21"/>
          <w:highlight w:val="none"/>
        </w:rPr>
      </w:pPr>
    </w:p>
    <w:p>
      <w:pPr>
        <w:ind w:firstLine="3150" w:firstLineChars="1500"/>
        <w:rPr>
          <w:rFonts w:hint="eastAsia" w:ascii="宋体" w:hAnsi="宋体" w:cs="宋体"/>
          <w:color w:val="auto"/>
          <w:szCs w:val="21"/>
          <w:highlight w:val="none"/>
          <w:u w:val="single"/>
        </w:rPr>
      </w:pPr>
      <w:r>
        <w:rPr>
          <w:rFonts w:hint="eastAsia" w:ascii="宋体" w:hAnsi="宋体" w:cs="宋体"/>
          <w:color w:val="auto"/>
          <w:szCs w:val="21"/>
          <w:highlight w:val="none"/>
        </w:rPr>
        <w:t>承诺人（</w:t>
      </w:r>
      <w:r>
        <w:rPr>
          <w:rFonts w:hint="eastAsia" w:ascii="宋体" w:hAnsi="宋体"/>
          <w:color w:val="auto"/>
          <w:szCs w:val="21"/>
          <w:highlight w:val="none"/>
        </w:rPr>
        <w:t>法定代表人</w:t>
      </w:r>
      <w:r>
        <w:rPr>
          <w:rFonts w:hint="eastAsia" w:ascii="宋体" w:hAnsi="宋体" w:cs="宋体"/>
          <w:color w:val="auto"/>
          <w:szCs w:val="21"/>
          <w:highlight w:val="none"/>
        </w:rPr>
        <w:t>或委托代理人）（签字）：</w:t>
      </w:r>
      <w:r>
        <w:rPr>
          <w:rFonts w:hint="eastAsia" w:ascii="宋体" w:hAnsi="宋体" w:cs="宋体"/>
          <w:color w:val="auto"/>
          <w:szCs w:val="21"/>
          <w:highlight w:val="none"/>
          <w:u w:val="single"/>
        </w:rPr>
        <w:t xml:space="preserve">              </w:t>
      </w:r>
    </w:p>
    <w:p>
      <w:pPr>
        <w:ind w:firstLine="2100" w:firstLineChars="1000"/>
        <w:rPr>
          <w:rFonts w:hint="eastAsia" w:ascii="宋体" w:hAnsi="宋体" w:cs="宋体"/>
          <w:color w:val="auto"/>
          <w:szCs w:val="21"/>
          <w:highlight w:val="none"/>
        </w:rPr>
      </w:pPr>
    </w:p>
    <w:p>
      <w:pPr>
        <w:ind w:firstLine="5670" w:firstLineChars="2700"/>
        <w:rPr>
          <w:rFonts w:hint="eastAsia" w:ascii="宋体" w:hAnsi="宋体" w:cs="宋体"/>
          <w:color w:val="auto"/>
          <w:szCs w:val="21"/>
          <w:highlight w:val="none"/>
          <w:u w:val="single"/>
        </w:rPr>
      </w:pPr>
      <w:r>
        <w:rPr>
          <w:rFonts w:hint="eastAsia" w:ascii="宋体" w:hAnsi="宋体" w:cs="宋体"/>
          <w:color w:val="auto"/>
          <w:szCs w:val="21"/>
          <w:highlight w:val="none"/>
        </w:rPr>
        <w:t>联   系   电   话 ：</w:t>
      </w:r>
      <w:r>
        <w:rPr>
          <w:rFonts w:hint="eastAsia" w:ascii="宋体" w:hAnsi="宋体" w:cs="宋体"/>
          <w:color w:val="auto"/>
          <w:szCs w:val="21"/>
          <w:highlight w:val="none"/>
          <w:u w:val="single"/>
        </w:rPr>
        <w:t xml:space="preserve">              </w:t>
      </w:r>
    </w:p>
    <w:p>
      <w:pPr>
        <w:spacing w:line="240" w:lineRule="exact"/>
        <w:rPr>
          <w:rFonts w:hint="eastAsia" w:ascii="宋体" w:hAnsi="宋体" w:cs="宋体"/>
          <w:color w:val="auto"/>
          <w:szCs w:val="21"/>
          <w:highlight w:val="none"/>
        </w:rPr>
      </w:pPr>
    </w:p>
    <w:p>
      <w:pPr>
        <w:rPr>
          <w:rFonts w:hint="eastAsia" w:ascii="宋体" w:hAnsi="宋体" w:cs="宋体"/>
          <w:color w:val="auto"/>
          <w:szCs w:val="21"/>
          <w:highlight w:val="none"/>
        </w:rPr>
      </w:pPr>
      <w:r>
        <w:rPr>
          <w:rFonts w:hint="eastAsia" w:ascii="宋体" w:hAnsi="宋体" w:cs="宋体"/>
          <w:color w:val="auto"/>
          <w:szCs w:val="21"/>
          <w:highlight w:val="none"/>
        </w:rPr>
        <w:t xml:space="preserve">                         </w:t>
      </w:r>
    </w:p>
    <w:p>
      <w:pPr>
        <w:rPr>
          <w:rFonts w:hint="eastAsia" w:ascii="宋体" w:hAnsi="宋体" w:cs="宋体"/>
          <w:color w:val="auto"/>
          <w:szCs w:val="21"/>
          <w:highlight w:val="none"/>
        </w:rPr>
      </w:pPr>
    </w:p>
    <w:p>
      <w:pPr>
        <w:ind w:firstLine="4725" w:firstLineChars="2250"/>
        <w:rPr>
          <w:rFonts w:hint="eastAsia" w:ascii="宋体" w:hAnsi="宋体" w:cs="宋体"/>
          <w:color w:val="auto"/>
          <w:szCs w:val="21"/>
          <w:highlight w:val="none"/>
        </w:rPr>
      </w:pPr>
      <w:r>
        <w:rPr>
          <w:rFonts w:hint="eastAsia" w:ascii="宋体" w:hAnsi="宋体" w:cs="宋体"/>
          <w:color w:val="auto"/>
          <w:szCs w:val="21"/>
          <w:highlight w:val="none"/>
        </w:rPr>
        <w:t xml:space="preserve"> 承诺人（盖章）</w:t>
      </w:r>
    </w:p>
    <w:p>
      <w:pPr>
        <w:rPr>
          <w:rFonts w:hint="eastAsia" w:ascii="宋体" w:hAnsi="宋体" w:cs="宋体"/>
          <w:color w:val="auto"/>
          <w:szCs w:val="21"/>
          <w:highlight w:val="none"/>
        </w:rPr>
      </w:pPr>
      <w:r>
        <w:rPr>
          <w:rFonts w:hint="eastAsia" w:ascii="宋体" w:hAnsi="宋体" w:cs="宋体"/>
          <w:color w:val="auto"/>
          <w:szCs w:val="21"/>
          <w:highlight w:val="none"/>
        </w:rPr>
        <w:t xml:space="preserve">                           </w:t>
      </w:r>
    </w:p>
    <w:p>
      <w:pPr>
        <w:ind w:firstLine="4830" w:firstLineChars="2300"/>
        <w:rPr>
          <w:rFonts w:hint="eastAsia"/>
          <w:color w:val="auto"/>
          <w:highlight w:val="none"/>
        </w:rPr>
      </w:pPr>
      <w:r>
        <w:rPr>
          <w:rFonts w:hint="eastAsia" w:ascii="宋体" w:hAnsi="宋体" w:cs="宋体"/>
          <w:color w:val="auto"/>
          <w:szCs w:val="21"/>
          <w:highlight w:val="none"/>
        </w:rPr>
        <w:t xml:space="preserve">年   月   日     </w:t>
      </w:r>
    </w:p>
    <w:p>
      <w:pPr>
        <w:spacing w:line="360" w:lineRule="auto"/>
        <w:rPr>
          <w:rFonts w:ascii="宋体" w:hAnsi="宋体" w:cs="宋体"/>
          <w:sz w:val="30"/>
        </w:rPr>
      </w:pPr>
    </w:p>
    <w:p>
      <w:pPr>
        <w:spacing w:line="360" w:lineRule="auto"/>
        <w:rPr>
          <w:rFonts w:ascii="宋体" w:hAnsi="宋体" w:cs="宋体"/>
          <w:sz w:val="30"/>
        </w:rPr>
      </w:pPr>
    </w:p>
    <w:p>
      <w:pPr>
        <w:spacing w:line="360" w:lineRule="auto"/>
        <w:rPr>
          <w:rFonts w:ascii="宋体" w:hAnsi="宋体" w:cs="宋体"/>
          <w:sz w:val="30"/>
        </w:rPr>
      </w:pPr>
    </w:p>
    <w:p>
      <w:pPr>
        <w:spacing w:line="360" w:lineRule="auto"/>
        <w:rPr>
          <w:rFonts w:ascii="宋体" w:hAnsi="宋体" w:cs="宋体"/>
          <w:sz w:val="30"/>
        </w:rPr>
      </w:pPr>
    </w:p>
    <w:p>
      <w:pPr>
        <w:pStyle w:val="24"/>
        <w:ind w:firstLine="300"/>
        <w:rPr>
          <w:rFonts w:ascii="宋体" w:hAnsi="宋体" w:eastAsia="宋体" w:cs="宋体"/>
          <w:sz w:val="30"/>
        </w:rPr>
      </w:pPr>
    </w:p>
    <w:p>
      <w:pPr>
        <w:pStyle w:val="25"/>
        <w:rPr>
          <w:rFonts w:ascii="宋体" w:hAnsi="宋体" w:cs="宋体"/>
        </w:rPr>
      </w:pPr>
    </w:p>
    <w:p>
      <w:pPr>
        <w:spacing w:line="360" w:lineRule="auto"/>
        <w:rPr>
          <w:rFonts w:ascii="宋体" w:hAnsi="宋体" w:cs="宋体"/>
          <w:sz w:val="30"/>
        </w:rPr>
      </w:pPr>
    </w:p>
    <w:p>
      <w:pPr>
        <w:keepNext w:val="0"/>
        <w:keepLines w:val="0"/>
        <w:pageBreakBefore/>
        <w:widowControl w:val="0"/>
        <w:kinsoku/>
        <w:wordWrap/>
        <w:overflowPunct/>
        <w:topLinePunct w:val="0"/>
        <w:autoSpaceDE/>
        <w:autoSpaceDN/>
        <w:bidi w:val="0"/>
        <w:adjustRightInd/>
        <w:snapToGrid/>
        <w:spacing w:line="360" w:lineRule="auto"/>
        <w:textAlignment w:val="auto"/>
        <w:rPr>
          <w:rFonts w:ascii="宋体" w:hAnsi="宋体" w:cs="宋体"/>
          <w:sz w:val="30"/>
        </w:rPr>
      </w:pPr>
      <w:r>
        <w:rPr>
          <w:rFonts w:hint="eastAsia" w:ascii="宋体" w:hAnsi="宋体" w:cs="宋体"/>
          <w:sz w:val="30"/>
        </w:rPr>
        <w:t>（</w:t>
      </w:r>
      <w:r>
        <w:rPr>
          <w:rFonts w:hint="eastAsia" w:ascii="宋体" w:hAnsi="宋体" w:cs="宋体"/>
          <w:sz w:val="30"/>
          <w:lang w:eastAsia="zh-CN"/>
        </w:rPr>
        <w:t>三</w:t>
      </w:r>
      <w:r>
        <w:rPr>
          <w:rFonts w:hint="eastAsia" w:ascii="宋体" w:hAnsi="宋体" w:cs="宋体"/>
          <w:sz w:val="30"/>
        </w:rPr>
        <w:t>）近年发生的诉讼及仲裁情况表</w:t>
      </w:r>
    </w:p>
    <w:p>
      <w:pPr>
        <w:spacing w:line="360" w:lineRule="auto"/>
        <w:rPr>
          <w:rFonts w:ascii="宋体" w:hAnsi="宋体" w:cs="宋体"/>
          <w:sz w:val="30"/>
        </w:rPr>
      </w:pPr>
    </w:p>
    <w:p>
      <w:pPr>
        <w:spacing w:line="360" w:lineRule="auto"/>
        <w:rPr>
          <w:rFonts w:ascii="宋体" w:hAnsi="宋体" w:cs="宋体"/>
          <w:sz w:val="30"/>
        </w:rPr>
      </w:pPr>
    </w:p>
    <w:p>
      <w:pPr>
        <w:spacing w:line="360" w:lineRule="auto"/>
        <w:rPr>
          <w:rFonts w:ascii="宋体" w:hAnsi="宋体" w:cs="宋体"/>
          <w:sz w:val="30"/>
        </w:rPr>
      </w:pPr>
    </w:p>
    <w:p>
      <w:pPr>
        <w:spacing w:line="360" w:lineRule="auto"/>
        <w:rPr>
          <w:rFonts w:ascii="宋体" w:hAnsi="宋体" w:cs="宋体"/>
          <w:sz w:val="30"/>
        </w:rPr>
      </w:pPr>
    </w:p>
    <w:p>
      <w:pPr>
        <w:spacing w:line="360" w:lineRule="auto"/>
        <w:rPr>
          <w:rFonts w:ascii="宋体" w:hAnsi="宋体" w:cs="宋体"/>
          <w:sz w:val="30"/>
        </w:rPr>
      </w:pPr>
    </w:p>
    <w:p>
      <w:pPr>
        <w:spacing w:line="360" w:lineRule="auto"/>
        <w:rPr>
          <w:rFonts w:ascii="宋体" w:hAnsi="宋体" w:cs="宋体"/>
          <w:sz w:val="30"/>
        </w:rPr>
      </w:pPr>
    </w:p>
    <w:p>
      <w:pPr>
        <w:spacing w:line="360" w:lineRule="auto"/>
        <w:rPr>
          <w:rFonts w:ascii="宋体" w:hAnsi="宋体" w:cs="宋体"/>
          <w:sz w:val="30"/>
        </w:rPr>
      </w:pPr>
    </w:p>
    <w:p>
      <w:pPr>
        <w:spacing w:line="360" w:lineRule="auto"/>
        <w:rPr>
          <w:rFonts w:ascii="宋体" w:hAnsi="宋体" w:cs="宋体"/>
          <w:sz w:val="30"/>
        </w:rPr>
      </w:pPr>
    </w:p>
    <w:p>
      <w:pPr>
        <w:spacing w:line="360" w:lineRule="auto"/>
        <w:rPr>
          <w:rFonts w:ascii="宋体" w:hAnsi="宋体" w:cs="宋体"/>
          <w:sz w:val="30"/>
        </w:rPr>
      </w:pPr>
    </w:p>
    <w:p>
      <w:pPr>
        <w:spacing w:line="360" w:lineRule="auto"/>
        <w:rPr>
          <w:rFonts w:ascii="宋体" w:hAnsi="宋体" w:cs="宋体"/>
          <w:sz w:val="30"/>
        </w:rPr>
      </w:pPr>
    </w:p>
    <w:p>
      <w:pPr>
        <w:spacing w:line="360" w:lineRule="auto"/>
        <w:rPr>
          <w:rFonts w:ascii="宋体" w:hAnsi="宋体" w:cs="宋体"/>
          <w:sz w:val="30"/>
        </w:rPr>
      </w:pPr>
    </w:p>
    <w:p>
      <w:pPr>
        <w:spacing w:line="360" w:lineRule="auto"/>
        <w:rPr>
          <w:rFonts w:ascii="宋体" w:hAnsi="宋体" w:cs="宋体"/>
          <w:sz w:val="30"/>
        </w:rPr>
      </w:pPr>
    </w:p>
    <w:p>
      <w:pPr>
        <w:spacing w:line="360" w:lineRule="auto"/>
        <w:rPr>
          <w:rFonts w:ascii="宋体" w:hAnsi="宋体" w:cs="宋体"/>
          <w:sz w:val="30"/>
        </w:rPr>
      </w:pPr>
    </w:p>
    <w:p>
      <w:pPr>
        <w:spacing w:line="360" w:lineRule="auto"/>
        <w:rPr>
          <w:rFonts w:ascii="宋体" w:hAnsi="宋体" w:cs="宋体"/>
          <w:sz w:val="30"/>
        </w:rPr>
      </w:pPr>
    </w:p>
    <w:p>
      <w:pPr>
        <w:spacing w:line="360" w:lineRule="auto"/>
        <w:rPr>
          <w:rFonts w:ascii="宋体" w:hAnsi="宋体" w:cs="宋体"/>
          <w:sz w:val="30"/>
        </w:rPr>
      </w:pPr>
    </w:p>
    <w:p>
      <w:pPr>
        <w:spacing w:line="360" w:lineRule="auto"/>
        <w:rPr>
          <w:rFonts w:ascii="宋体" w:hAnsi="宋体" w:cs="宋体"/>
          <w:sz w:val="30"/>
        </w:rPr>
      </w:pPr>
    </w:p>
    <w:p>
      <w:pPr>
        <w:spacing w:line="360" w:lineRule="auto"/>
        <w:rPr>
          <w:rFonts w:ascii="宋体" w:hAnsi="宋体" w:cs="宋体"/>
          <w:sz w:val="30"/>
        </w:rPr>
      </w:pPr>
    </w:p>
    <w:p>
      <w:pPr>
        <w:spacing w:line="360" w:lineRule="auto"/>
        <w:rPr>
          <w:rFonts w:ascii="宋体" w:hAnsi="宋体" w:cs="宋体"/>
          <w:sz w:val="30"/>
        </w:rPr>
      </w:pPr>
    </w:p>
    <w:p>
      <w:pPr>
        <w:spacing w:line="360" w:lineRule="auto"/>
        <w:rPr>
          <w:rFonts w:ascii="宋体" w:hAnsi="宋体" w:cs="宋体"/>
          <w:sz w:val="30"/>
        </w:rPr>
      </w:pPr>
    </w:p>
    <w:p>
      <w:pPr>
        <w:pStyle w:val="5"/>
      </w:pPr>
    </w:p>
    <w:p>
      <w:pPr>
        <w:spacing w:line="360" w:lineRule="auto"/>
        <w:rPr>
          <w:rFonts w:ascii="宋体" w:hAnsi="宋体" w:cs="宋体"/>
          <w:sz w:val="30"/>
        </w:rPr>
      </w:pPr>
    </w:p>
    <w:p>
      <w:pPr>
        <w:spacing w:line="360" w:lineRule="auto"/>
        <w:rPr>
          <w:rFonts w:ascii="宋体" w:hAnsi="宋体" w:cs="宋体"/>
          <w:sz w:val="30"/>
        </w:rPr>
      </w:pPr>
    </w:p>
    <w:p>
      <w:pPr>
        <w:spacing w:line="360" w:lineRule="auto"/>
        <w:rPr>
          <w:rFonts w:ascii="宋体" w:hAnsi="宋体" w:cs="宋体"/>
          <w:sz w:val="30"/>
        </w:rPr>
      </w:pPr>
      <w:r>
        <w:rPr>
          <w:rFonts w:hint="eastAsia" w:ascii="宋体" w:hAnsi="宋体" w:cs="宋体"/>
          <w:sz w:val="30"/>
        </w:rPr>
        <w:t>（</w:t>
      </w:r>
      <w:r>
        <w:rPr>
          <w:rFonts w:hint="eastAsia" w:ascii="宋体" w:hAnsi="宋体" w:cs="宋体"/>
          <w:sz w:val="30"/>
          <w:lang w:eastAsia="zh-CN"/>
        </w:rPr>
        <w:t>四</w:t>
      </w:r>
      <w:r>
        <w:rPr>
          <w:rFonts w:hint="eastAsia" w:ascii="宋体" w:hAnsi="宋体" w:cs="宋体"/>
          <w:sz w:val="30"/>
        </w:rPr>
        <w:t>）投标人认为应附的其它材料</w:t>
      </w:r>
    </w:p>
    <w:p>
      <w:pPr>
        <w:rPr>
          <w:rFonts w:ascii="宋体" w:hAnsi="宋体" w:cs="宋体"/>
        </w:rPr>
      </w:pPr>
    </w:p>
    <w:p>
      <w:pPr>
        <w:rPr>
          <w:rFonts w:ascii="宋体" w:hAnsi="宋体" w:cs="宋体"/>
        </w:rPr>
      </w:pPr>
    </w:p>
    <w:p>
      <w:pPr>
        <w:rPr>
          <w:rFonts w:ascii="宋体" w:hAnsi="宋体" w:cs="宋体"/>
        </w:rPr>
      </w:pPr>
    </w:p>
    <w:sectPr>
      <w:headerReference r:id="rId6" w:type="first"/>
      <w:footerReference r:id="rId9" w:type="first"/>
      <w:headerReference r:id="rId5" w:type="default"/>
      <w:footerReference r:id="rId7" w:type="default"/>
      <w:footerReference r:id="rId8" w:type="even"/>
      <w:pgSz w:w="11906" w:h="16838"/>
      <w:pgMar w:top="1134" w:right="1134" w:bottom="1134" w:left="1134"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monospace">
    <w:altName w:val="Segoe Print"/>
    <w:panose1 w:val="00000000000000000000"/>
    <w:charset w:val="00"/>
    <w:family w:val="auto"/>
    <w:pitch w:val="default"/>
    <w:sig w:usb0="00000000" w:usb1="00000000" w:usb2="00000000" w:usb3="00000000" w:csb0="00000000" w:csb1="00000000"/>
  </w:font>
  <w:font w:name="仿宋_GB2312">
    <w:altName w:val="仿宋"/>
    <w:panose1 w:val="00000000000000000000"/>
    <w:charset w:val="86"/>
    <w:family w:val="modern"/>
    <w:pitch w:val="default"/>
    <w:sig w:usb0="00000000" w:usb1="00000000" w:usb2="00000000" w:usb3="00000000" w:csb0="00040000" w:csb1="00000000"/>
  </w:font>
  <w:font w:name="¨¦?????">
    <w:altName w:val="Times New Roman"/>
    <w:panose1 w:val="00000000000000000000"/>
    <w:charset w:val="00"/>
    <w:family w:val="auto"/>
    <w:pitch w:val="default"/>
    <w:sig w:usb0="00000000" w:usb1="00000000" w:usb2="00000000" w:usb3="00000000" w:csb0="0000009F" w:csb1="00000000"/>
  </w:font>
  <w:font w:name="方正小标宋简体">
    <w:altName w:val="黑体"/>
    <w:panose1 w:val="03000509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
    <w:pP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framePr w:wrap="around" w:vAnchor="text" w:hAnchor="margin" w:xAlign="right" w:yAlign="top"/>
    </w:pPr>
    <w:r>
      <w:fldChar w:fldCharType="begin"/>
    </w:r>
    <w:r>
      <w:instrText xml:space="preserve"> PAGE  </w:instrText>
    </w:r>
    <w:r>
      <w:fldChar w:fldCharType="end"/>
    </w:r>
  </w:p>
  <w:p>
    <w:pPr>
      <w:pStyle w:val="17"/>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framePr w:wrap="around" w:vAnchor="text" w:hAnchor="margin" w:xAlign="right" w:y="1"/>
      <w:rPr>
        <w:rStyle w:val="30"/>
      </w:rPr>
    </w:pPr>
    <w:r>
      <w:rPr>
        <w:rStyle w:val="30"/>
      </w:rPr>
      <w:fldChar w:fldCharType="begin"/>
    </w:r>
    <w:r>
      <w:rPr>
        <w:rStyle w:val="30"/>
      </w:rPr>
      <w:instrText xml:space="preserve">PAGE  </w:instrText>
    </w:r>
    <w:r>
      <w:rPr>
        <w:rStyle w:val="30"/>
      </w:rPr>
      <w:fldChar w:fldCharType="end"/>
    </w:r>
  </w:p>
  <w:p>
    <w:pPr>
      <w:pStyle w:val="17"/>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framePr w:wrap="around" w:vAnchor="text" w:hAnchor="margin" w:xAlign="right" w:yAlign="top"/>
    </w:pPr>
    <w:r>
      <w:fldChar w:fldCharType="begin"/>
    </w:r>
    <w:r>
      <w:instrText xml:space="preserve"> PAGE  </w:instrText>
    </w:r>
    <w:r>
      <w:fldChar w:fldCharType="end"/>
    </w:r>
  </w:p>
  <w:p>
    <w:pPr>
      <w:pStyle w:val="17"/>
      <w:tabs>
        <w:tab w:val="right" w:pos="9040"/>
        <w:tab w:val="clear" w:pos="4153"/>
        <w:tab w:val="clear" w:pos="8306"/>
      </w:tabs>
      <w:ind w:right="360"/>
    </w:pPr>
    <w:r>
      <w:rPr>
        <w:rFonts w:hint="eastAsia"/>
      </w:rPr>
      <w:t>中兴豫建设管理有限公司</w:t>
    </w:r>
    <w:r>
      <w:t xml:space="preserve">                                                                             95</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left"/>
    </w:pPr>
    <w:r>
      <w:rPr>
        <w:rFonts w:hint="eastAsia" w:ascii="宋体" w:hAnsi="宋体"/>
        <w:kern w:val="0"/>
      </w:rPr>
      <w:t>郑州市贾鲁河截污工程</w:t>
    </w:r>
    <w:r>
      <w:rPr>
        <w:rFonts w:ascii="宋体"/>
        <w:kern w:val="0"/>
      </w:rPr>
      <w:t>-</w:t>
    </w:r>
    <w:r>
      <w:rPr>
        <w:rFonts w:hint="eastAsia" w:ascii="宋体" w:hAnsi="宋体"/>
        <w:kern w:val="0"/>
      </w:rPr>
      <w:t>穿越铁路部分</w:t>
    </w:r>
    <w:r>
      <w:rPr>
        <w:rFonts w:ascii="宋体" w:hAnsi="宋体"/>
        <w:kern w:val="0"/>
      </w:rPr>
      <w:t>EPC</w:t>
    </w:r>
    <w:r>
      <w:rPr>
        <w:rFonts w:hint="eastAsia" w:ascii="宋体" w:hAnsi="宋体"/>
        <w:kern w:val="0"/>
      </w:rPr>
      <w:t>（勘察、设计、施工）总承包项目</w:t>
    </w:r>
    <w:r>
      <w:rPr>
        <w:rFonts w:ascii="宋体" w:hAnsi="宋体"/>
        <w:kern w:val="0"/>
      </w:rPr>
      <w:t xml:space="preserve">                           </w:t>
    </w:r>
    <w:r>
      <w:rPr>
        <w:rFonts w:hint="eastAsia" w:ascii="宋体" w:hAnsi="宋体"/>
        <w:kern w:val="0"/>
      </w:rPr>
      <w:t>招标文件</w:t>
    </w:r>
    <w:r>
      <w:rPr>
        <w:rFonts w:ascii="宋体" w:hAnsi="宋体"/>
        <w:kern w:val="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C"/>
    <w:multiLevelType w:val="singleLevel"/>
    <w:tmpl w:val="0000000C"/>
    <w:lvl w:ilvl="0" w:tentative="0">
      <w:start w:val="8"/>
      <w:numFmt w:val="decimal"/>
      <w:suff w:val="space"/>
      <w:lvlText w:val="%1."/>
      <w:lvlJc w:val="left"/>
      <w:rPr>
        <w:rFonts w:cs="Times New Roman"/>
      </w:rPr>
    </w:lvl>
  </w:abstractNum>
  <w:abstractNum w:abstractNumId="1">
    <w:nsid w:val="59B15948"/>
    <w:multiLevelType w:val="singleLevel"/>
    <w:tmpl w:val="59B15948"/>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I2YjY1OWFmZDQzZDlhZmYxYzgzY2Y0ZDE3Zjg3NzAifQ=="/>
  </w:docVars>
  <w:rsids>
    <w:rsidRoot w:val="00FB2530"/>
    <w:rsid w:val="00024BEA"/>
    <w:rsid w:val="0003409E"/>
    <w:rsid w:val="00051A7E"/>
    <w:rsid w:val="0006669B"/>
    <w:rsid w:val="00074FB5"/>
    <w:rsid w:val="000B20BA"/>
    <w:rsid w:val="000C68C9"/>
    <w:rsid w:val="000D7BDA"/>
    <w:rsid w:val="00117EF3"/>
    <w:rsid w:val="00123DA3"/>
    <w:rsid w:val="001741C7"/>
    <w:rsid w:val="00180988"/>
    <w:rsid w:val="001815FE"/>
    <w:rsid w:val="002018D7"/>
    <w:rsid w:val="00237020"/>
    <w:rsid w:val="00274AB6"/>
    <w:rsid w:val="00275EC0"/>
    <w:rsid w:val="00286920"/>
    <w:rsid w:val="0029217C"/>
    <w:rsid w:val="002B2C16"/>
    <w:rsid w:val="002C7869"/>
    <w:rsid w:val="002D2A47"/>
    <w:rsid w:val="002D2CC4"/>
    <w:rsid w:val="0031690D"/>
    <w:rsid w:val="003250FD"/>
    <w:rsid w:val="003503C7"/>
    <w:rsid w:val="0037609A"/>
    <w:rsid w:val="00386449"/>
    <w:rsid w:val="003A3F9B"/>
    <w:rsid w:val="003B0AF3"/>
    <w:rsid w:val="003E1BD9"/>
    <w:rsid w:val="003F42F7"/>
    <w:rsid w:val="004044AF"/>
    <w:rsid w:val="00425523"/>
    <w:rsid w:val="00466989"/>
    <w:rsid w:val="00476068"/>
    <w:rsid w:val="004A75D8"/>
    <w:rsid w:val="004A7B00"/>
    <w:rsid w:val="004C0422"/>
    <w:rsid w:val="004C333F"/>
    <w:rsid w:val="004D7808"/>
    <w:rsid w:val="004E4A3D"/>
    <w:rsid w:val="004F7E36"/>
    <w:rsid w:val="0050706F"/>
    <w:rsid w:val="0052518E"/>
    <w:rsid w:val="00576B11"/>
    <w:rsid w:val="00590D96"/>
    <w:rsid w:val="005B4EE2"/>
    <w:rsid w:val="00603B58"/>
    <w:rsid w:val="0060678E"/>
    <w:rsid w:val="0061087F"/>
    <w:rsid w:val="0061252A"/>
    <w:rsid w:val="00622019"/>
    <w:rsid w:val="00697CA1"/>
    <w:rsid w:val="006B0B93"/>
    <w:rsid w:val="006B1184"/>
    <w:rsid w:val="006C0A37"/>
    <w:rsid w:val="006E4739"/>
    <w:rsid w:val="00701315"/>
    <w:rsid w:val="00762567"/>
    <w:rsid w:val="0076589C"/>
    <w:rsid w:val="00796250"/>
    <w:rsid w:val="007A7C76"/>
    <w:rsid w:val="007B4159"/>
    <w:rsid w:val="007D3310"/>
    <w:rsid w:val="007E4E24"/>
    <w:rsid w:val="008126F1"/>
    <w:rsid w:val="00822250"/>
    <w:rsid w:val="008447E6"/>
    <w:rsid w:val="00844EBA"/>
    <w:rsid w:val="008B0EBE"/>
    <w:rsid w:val="008C367D"/>
    <w:rsid w:val="008D4EF1"/>
    <w:rsid w:val="00904D0F"/>
    <w:rsid w:val="00911A40"/>
    <w:rsid w:val="0091343C"/>
    <w:rsid w:val="00947D06"/>
    <w:rsid w:val="009556D7"/>
    <w:rsid w:val="009B5837"/>
    <w:rsid w:val="009D016F"/>
    <w:rsid w:val="009F43BE"/>
    <w:rsid w:val="00A0430B"/>
    <w:rsid w:val="00A11F8A"/>
    <w:rsid w:val="00A42641"/>
    <w:rsid w:val="00A70AD7"/>
    <w:rsid w:val="00A95AB0"/>
    <w:rsid w:val="00AA2E8C"/>
    <w:rsid w:val="00AC0E4E"/>
    <w:rsid w:val="00AD2DC2"/>
    <w:rsid w:val="00AF2B4C"/>
    <w:rsid w:val="00B01222"/>
    <w:rsid w:val="00B073EB"/>
    <w:rsid w:val="00B36FB5"/>
    <w:rsid w:val="00B416B5"/>
    <w:rsid w:val="00B45202"/>
    <w:rsid w:val="00B51AF3"/>
    <w:rsid w:val="00B55985"/>
    <w:rsid w:val="00B57BB9"/>
    <w:rsid w:val="00B856BE"/>
    <w:rsid w:val="00BA31A2"/>
    <w:rsid w:val="00BC5EC6"/>
    <w:rsid w:val="00BD36E6"/>
    <w:rsid w:val="00BD491B"/>
    <w:rsid w:val="00BD7DD9"/>
    <w:rsid w:val="00C03930"/>
    <w:rsid w:val="00C1490A"/>
    <w:rsid w:val="00C24A22"/>
    <w:rsid w:val="00C41976"/>
    <w:rsid w:val="00C75718"/>
    <w:rsid w:val="00C86929"/>
    <w:rsid w:val="00C928F0"/>
    <w:rsid w:val="00CA0928"/>
    <w:rsid w:val="00CC1144"/>
    <w:rsid w:val="00D04BF0"/>
    <w:rsid w:val="00D074ED"/>
    <w:rsid w:val="00D37EE2"/>
    <w:rsid w:val="00D56B5D"/>
    <w:rsid w:val="00D66E3A"/>
    <w:rsid w:val="00D83BAB"/>
    <w:rsid w:val="00D9022B"/>
    <w:rsid w:val="00D96EB1"/>
    <w:rsid w:val="00DA0AF4"/>
    <w:rsid w:val="00DA4592"/>
    <w:rsid w:val="00DC1818"/>
    <w:rsid w:val="00DD155A"/>
    <w:rsid w:val="00DD1CE4"/>
    <w:rsid w:val="00DD282E"/>
    <w:rsid w:val="00DE31DD"/>
    <w:rsid w:val="00E34495"/>
    <w:rsid w:val="00E66106"/>
    <w:rsid w:val="00E70AB1"/>
    <w:rsid w:val="00E9065D"/>
    <w:rsid w:val="00E93989"/>
    <w:rsid w:val="00EA488F"/>
    <w:rsid w:val="00EC6A2E"/>
    <w:rsid w:val="00ED5292"/>
    <w:rsid w:val="00EF5A6B"/>
    <w:rsid w:val="00F02DDF"/>
    <w:rsid w:val="00F076A1"/>
    <w:rsid w:val="00F50639"/>
    <w:rsid w:val="00F82F88"/>
    <w:rsid w:val="00F83A68"/>
    <w:rsid w:val="00F85BF0"/>
    <w:rsid w:val="00F95280"/>
    <w:rsid w:val="00FB2530"/>
    <w:rsid w:val="00FD04F6"/>
    <w:rsid w:val="00FE179A"/>
    <w:rsid w:val="00FF0184"/>
    <w:rsid w:val="0148791C"/>
    <w:rsid w:val="014B5DEF"/>
    <w:rsid w:val="01590EB2"/>
    <w:rsid w:val="015B4AA4"/>
    <w:rsid w:val="01814321"/>
    <w:rsid w:val="01EB1BFC"/>
    <w:rsid w:val="020403A9"/>
    <w:rsid w:val="02054F52"/>
    <w:rsid w:val="023F2212"/>
    <w:rsid w:val="02656C44"/>
    <w:rsid w:val="027A5940"/>
    <w:rsid w:val="02C86600"/>
    <w:rsid w:val="02CC30D8"/>
    <w:rsid w:val="02E35293"/>
    <w:rsid w:val="02E61D6D"/>
    <w:rsid w:val="030A6185"/>
    <w:rsid w:val="03114781"/>
    <w:rsid w:val="03F16993"/>
    <w:rsid w:val="0491530D"/>
    <w:rsid w:val="04C904B8"/>
    <w:rsid w:val="04E0668E"/>
    <w:rsid w:val="05137986"/>
    <w:rsid w:val="055C132D"/>
    <w:rsid w:val="0560706F"/>
    <w:rsid w:val="05767FA1"/>
    <w:rsid w:val="059960DD"/>
    <w:rsid w:val="063C0598"/>
    <w:rsid w:val="064771C1"/>
    <w:rsid w:val="0651509F"/>
    <w:rsid w:val="06557528"/>
    <w:rsid w:val="06583005"/>
    <w:rsid w:val="06D33870"/>
    <w:rsid w:val="06E32738"/>
    <w:rsid w:val="06E76045"/>
    <w:rsid w:val="070167C6"/>
    <w:rsid w:val="071404E6"/>
    <w:rsid w:val="071A4FFB"/>
    <w:rsid w:val="071B4C6E"/>
    <w:rsid w:val="0730481F"/>
    <w:rsid w:val="073E6F3C"/>
    <w:rsid w:val="074C0AFA"/>
    <w:rsid w:val="07984C64"/>
    <w:rsid w:val="07AF7E3A"/>
    <w:rsid w:val="080B392B"/>
    <w:rsid w:val="080D1526"/>
    <w:rsid w:val="081F0C0A"/>
    <w:rsid w:val="0876507A"/>
    <w:rsid w:val="08CE0B51"/>
    <w:rsid w:val="08F42573"/>
    <w:rsid w:val="091837BC"/>
    <w:rsid w:val="093326AF"/>
    <w:rsid w:val="0A1C108A"/>
    <w:rsid w:val="0A261948"/>
    <w:rsid w:val="0A69548B"/>
    <w:rsid w:val="0A7D6E41"/>
    <w:rsid w:val="0A7E1D45"/>
    <w:rsid w:val="0A886720"/>
    <w:rsid w:val="0AB956C2"/>
    <w:rsid w:val="0B4936FA"/>
    <w:rsid w:val="0B7418E3"/>
    <w:rsid w:val="0B75067A"/>
    <w:rsid w:val="0B766AA4"/>
    <w:rsid w:val="0B8B5FA5"/>
    <w:rsid w:val="0BBE064B"/>
    <w:rsid w:val="0BE90399"/>
    <w:rsid w:val="0C2E598F"/>
    <w:rsid w:val="0C870868"/>
    <w:rsid w:val="0C956B5B"/>
    <w:rsid w:val="0CA5332B"/>
    <w:rsid w:val="0CE13E4D"/>
    <w:rsid w:val="0D4C1A56"/>
    <w:rsid w:val="0D4C7ED9"/>
    <w:rsid w:val="0D7F2363"/>
    <w:rsid w:val="0DB37936"/>
    <w:rsid w:val="0DB8556E"/>
    <w:rsid w:val="0DBA4CB5"/>
    <w:rsid w:val="0DBC04D7"/>
    <w:rsid w:val="0DC35E0F"/>
    <w:rsid w:val="0DC7755F"/>
    <w:rsid w:val="0DF965E9"/>
    <w:rsid w:val="0E116922"/>
    <w:rsid w:val="0E622E48"/>
    <w:rsid w:val="0E7E4BA0"/>
    <w:rsid w:val="0E8552E3"/>
    <w:rsid w:val="0EA16002"/>
    <w:rsid w:val="0EBC212A"/>
    <w:rsid w:val="0EC54BCF"/>
    <w:rsid w:val="0ECF57CF"/>
    <w:rsid w:val="0ED64F9D"/>
    <w:rsid w:val="0F0A3929"/>
    <w:rsid w:val="0F531306"/>
    <w:rsid w:val="0F866E67"/>
    <w:rsid w:val="0F8D6B6B"/>
    <w:rsid w:val="0FFF64D0"/>
    <w:rsid w:val="100D1BA1"/>
    <w:rsid w:val="102F7D69"/>
    <w:rsid w:val="104E3B20"/>
    <w:rsid w:val="108F46C1"/>
    <w:rsid w:val="10A51F9A"/>
    <w:rsid w:val="10E33C30"/>
    <w:rsid w:val="114A251F"/>
    <w:rsid w:val="118606DB"/>
    <w:rsid w:val="11A007F3"/>
    <w:rsid w:val="11BA77E3"/>
    <w:rsid w:val="12137C87"/>
    <w:rsid w:val="12192A7F"/>
    <w:rsid w:val="12C22387"/>
    <w:rsid w:val="135400EC"/>
    <w:rsid w:val="135B79E5"/>
    <w:rsid w:val="137D5290"/>
    <w:rsid w:val="139A108B"/>
    <w:rsid w:val="13A26AA4"/>
    <w:rsid w:val="13A81E89"/>
    <w:rsid w:val="13BE1D3F"/>
    <w:rsid w:val="13EE1CEA"/>
    <w:rsid w:val="142E08ED"/>
    <w:rsid w:val="143A6CDD"/>
    <w:rsid w:val="14534461"/>
    <w:rsid w:val="145F6743"/>
    <w:rsid w:val="14847F31"/>
    <w:rsid w:val="149716EC"/>
    <w:rsid w:val="14A5715B"/>
    <w:rsid w:val="14D1401E"/>
    <w:rsid w:val="14D230A6"/>
    <w:rsid w:val="14FC3F92"/>
    <w:rsid w:val="15AA37C4"/>
    <w:rsid w:val="15D679C2"/>
    <w:rsid w:val="15DC0703"/>
    <w:rsid w:val="15EB18E4"/>
    <w:rsid w:val="15F555B1"/>
    <w:rsid w:val="161726A4"/>
    <w:rsid w:val="163034CC"/>
    <w:rsid w:val="16A3640F"/>
    <w:rsid w:val="16D76A65"/>
    <w:rsid w:val="16EA58CF"/>
    <w:rsid w:val="16FF6446"/>
    <w:rsid w:val="174F168A"/>
    <w:rsid w:val="1752433D"/>
    <w:rsid w:val="1757126A"/>
    <w:rsid w:val="175F605E"/>
    <w:rsid w:val="177C142C"/>
    <w:rsid w:val="17AC7AAE"/>
    <w:rsid w:val="17B55743"/>
    <w:rsid w:val="17D6012E"/>
    <w:rsid w:val="182A2E7C"/>
    <w:rsid w:val="183600A2"/>
    <w:rsid w:val="183723F4"/>
    <w:rsid w:val="18567C9F"/>
    <w:rsid w:val="186F4FE5"/>
    <w:rsid w:val="187C5B16"/>
    <w:rsid w:val="188B015F"/>
    <w:rsid w:val="189D5A8C"/>
    <w:rsid w:val="18F740CF"/>
    <w:rsid w:val="192D38EB"/>
    <w:rsid w:val="199325AC"/>
    <w:rsid w:val="199A4EC0"/>
    <w:rsid w:val="19C14702"/>
    <w:rsid w:val="19D45612"/>
    <w:rsid w:val="19FA54BC"/>
    <w:rsid w:val="1A0D03C5"/>
    <w:rsid w:val="1AD127B7"/>
    <w:rsid w:val="1ADB4A5D"/>
    <w:rsid w:val="1B0A58DA"/>
    <w:rsid w:val="1B0A6513"/>
    <w:rsid w:val="1B1D3C75"/>
    <w:rsid w:val="1B2239DD"/>
    <w:rsid w:val="1B504B1E"/>
    <w:rsid w:val="1B6922A5"/>
    <w:rsid w:val="1B7307F8"/>
    <w:rsid w:val="1B962ABC"/>
    <w:rsid w:val="1BD115FB"/>
    <w:rsid w:val="1BE614F8"/>
    <w:rsid w:val="1BE67B1E"/>
    <w:rsid w:val="1CCB25A2"/>
    <w:rsid w:val="1D4024FA"/>
    <w:rsid w:val="1D4B39C7"/>
    <w:rsid w:val="1D712AFF"/>
    <w:rsid w:val="1DB37FF9"/>
    <w:rsid w:val="1DCF66E8"/>
    <w:rsid w:val="1DD90E66"/>
    <w:rsid w:val="1DE859FC"/>
    <w:rsid w:val="1DF83E91"/>
    <w:rsid w:val="1E091925"/>
    <w:rsid w:val="1E1F7290"/>
    <w:rsid w:val="1E63223D"/>
    <w:rsid w:val="1E6D3147"/>
    <w:rsid w:val="1E7279F2"/>
    <w:rsid w:val="1E8C6387"/>
    <w:rsid w:val="1F0846AA"/>
    <w:rsid w:val="1F0B19A2"/>
    <w:rsid w:val="1F61340A"/>
    <w:rsid w:val="1F93767B"/>
    <w:rsid w:val="1FBE1367"/>
    <w:rsid w:val="1FCD5433"/>
    <w:rsid w:val="1FD83E03"/>
    <w:rsid w:val="20016FF3"/>
    <w:rsid w:val="200C59D1"/>
    <w:rsid w:val="20254CE5"/>
    <w:rsid w:val="203D4237"/>
    <w:rsid w:val="20411BD6"/>
    <w:rsid w:val="208512E0"/>
    <w:rsid w:val="209A2AFD"/>
    <w:rsid w:val="2120195D"/>
    <w:rsid w:val="21820602"/>
    <w:rsid w:val="21842753"/>
    <w:rsid w:val="21AB33D9"/>
    <w:rsid w:val="21F37F51"/>
    <w:rsid w:val="227531E3"/>
    <w:rsid w:val="228F7F3F"/>
    <w:rsid w:val="22A06DBD"/>
    <w:rsid w:val="22BE2F28"/>
    <w:rsid w:val="22D179FE"/>
    <w:rsid w:val="22DE2530"/>
    <w:rsid w:val="22F46A22"/>
    <w:rsid w:val="230809F0"/>
    <w:rsid w:val="2308746C"/>
    <w:rsid w:val="2309372A"/>
    <w:rsid w:val="23220E5B"/>
    <w:rsid w:val="235F60CF"/>
    <w:rsid w:val="23D034D3"/>
    <w:rsid w:val="23D24ABD"/>
    <w:rsid w:val="244B6B9B"/>
    <w:rsid w:val="246833F2"/>
    <w:rsid w:val="24A64E3C"/>
    <w:rsid w:val="24EF42CC"/>
    <w:rsid w:val="2561612C"/>
    <w:rsid w:val="25E8210C"/>
    <w:rsid w:val="25F97ABB"/>
    <w:rsid w:val="25FD5DBC"/>
    <w:rsid w:val="264E6E20"/>
    <w:rsid w:val="2670658E"/>
    <w:rsid w:val="267409A0"/>
    <w:rsid w:val="27B9048C"/>
    <w:rsid w:val="27BB2D65"/>
    <w:rsid w:val="27EF10B6"/>
    <w:rsid w:val="27FA3DF0"/>
    <w:rsid w:val="28275D84"/>
    <w:rsid w:val="283C1BEA"/>
    <w:rsid w:val="286510D6"/>
    <w:rsid w:val="28763103"/>
    <w:rsid w:val="28C553F7"/>
    <w:rsid w:val="28C67949"/>
    <w:rsid w:val="28CE4DDA"/>
    <w:rsid w:val="28F04B60"/>
    <w:rsid w:val="292673D8"/>
    <w:rsid w:val="298545D5"/>
    <w:rsid w:val="298D4F32"/>
    <w:rsid w:val="29E33E45"/>
    <w:rsid w:val="2A0E1578"/>
    <w:rsid w:val="2A4C7DD1"/>
    <w:rsid w:val="2A584F83"/>
    <w:rsid w:val="2A877271"/>
    <w:rsid w:val="2AC63F5F"/>
    <w:rsid w:val="2ADE67A9"/>
    <w:rsid w:val="2ADF6D89"/>
    <w:rsid w:val="2B5F57FA"/>
    <w:rsid w:val="2BA220C0"/>
    <w:rsid w:val="2BB65430"/>
    <w:rsid w:val="2BC605C2"/>
    <w:rsid w:val="2C20458C"/>
    <w:rsid w:val="2C355707"/>
    <w:rsid w:val="2C4C35F9"/>
    <w:rsid w:val="2C6F2510"/>
    <w:rsid w:val="2CA97C90"/>
    <w:rsid w:val="2CAE09EE"/>
    <w:rsid w:val="2CBF0FE1"/>
    <w:rsid w:val="2D287E9F"/>
    <w:rsid w:val="2D5B163F"/>
    <w:rsid w:val="2D8B55F9"/>
    <w:rsid w:val="2DA17031"/>
    <w:rsid w:val="2DB92EDF"/>
    <w:rsid w:val="2DEF06E0"/>
    <w:rsid w:val="2E1046C2"/>
    <w:rsid w:val="2E2E2FB7"/>
    <w:rsid w:val="2E516161"/>
    <w:rsid w:val="2E73568A"/>
    <w:rsid w:val="2E76495E"/>
    <w:rsid w:val="2E95522E"/>
    <w:rsid w:val="2EAB3861"/>
    <w:rsid w:val="2EAB5287"/>
    <w:rsid w:val="2F0604EC"/>
    <w:rsid w:val="2F1E7C4A"/>
    <w:rsid w:val="2F25260C"/>
    <w:rsid w:val="2F2A3D5D"/>
    <w:rsid w:val="2F6F1C51"/>
    <w:rsid w:val="2F882B55"/>
    <w:rsid w:val="2F940650"/>
    <w:rsid w:val="2F990904"/>
    <w:rsid w:val="2FF62DF9"/>
    <w:rsid w:val="300F0BC6"/>
    <w:rsid w:val="30216E7B"/>
    <w:rsid w:val="30230DCD"/>
    <w:rsid w:val="3043160B"/>
    <w:rsid w:val="30C01A0A"/>
    <w:rsid w:val="30E339AA"/>
    <w:rsid w:val="31580B98"/>
    <w:rsid w:val="316E7B6E"/>
    <w:rsid w:val="31C95D58"/>
    <w:rsid w:val="31DB16A7"/>
    <w:rsid w:val="31FB58A6"/>
    <w:rsid w:val="32382D84"/>
    <w:rsid w:val="32625925"/>
    <w:rsid w:val="327C1E25"/>
    <w:rsid w:val="32C36DD3"/>
    <w:rsid w:val="32E76849"/>
    <w:rsid w:val="33175D15"/>
    <w:rsid w:val="33226E62"/>
    <w:rsid w:val="337463DF"/>
    <w:rsid w:val="33881127"/>
    <w:rsid w:val="33A930DF"/>
    <w:rsid w:val="33F5554A"/>
    <w:rsid w:val="33FC67AA"/>
    <w:rsid w:val="340908BC"/>
    <w:rsid w:val="348B2938"/>
    <w:rsid w:val="34A573E2"/>
    <w:rsid w:val="35235204"/>
    <w:rsid w:val="3523606C"/>
    <w:rsid w:val="35521C81"/>
    <w:rsid w:val="356447EA"/>
    <w:rsid w:val="358E647B"/>
    <w:rsid w:val="35CB37E1"/>
    <w:rsid w:val="35E40D72"/>
    <w:rsid w:val="35E46651"/>
    <w:rsid w:val="360E0429"/>
    <w:rsid w:val="363C0705"/>
    <w:rsid w:val="36474247"/>
    <w:rsid w:val="366819F5"/>
    <w:rsid w:val="366F23BE"/>
    <w:rsid w:val="3680484F"/>
    <w:rsid w:val="368C4D1E"/>
    <w:rsid w:val="369C23EC"/>
    <w:rsid w:val="36A47F89"/>
    <w:rsid w:val="36A77DAA"/>
    <w:rsid w:val="372E6B97"/>
    <w:rsid w:val="37550700"/>
    <w:rsid w:val="376C2E6C"/>
    <w:rsid w:val="37734130"/>
    <w:rsid w:val="379A790F"/>
    <w:rsid w:val="37A77D7D"/>
    <w:rsid w:val="37EF51A7"/>
    <w:rsid w:val="383876E5"/>
    <w:rsid w:val="384A6714"/>
    <w:rsid w:val="387E0FDF"/>
    <w:rsid w:val="389B45F1"/>
    <w:rsid w:val="38A879D8"/>
    <w:rsid w:val="38AA0C64"/>
    <w:rsid w:val="38F01B24"/>
    <w:rsid w:val="392A5822"/>
    <w:rsid w:val="3958480F"/>
    <w:rsid w:val="398921E1"/>
    <w:rsid w:val="39BF4708"/>
    <w:rsid w:val="39D07B76"/>
    <w:rsid w:val="39D41265"/>
    <w:rsid w:val="39E3734B"/>
    <w:rsid w:val="39E651DF"/>
    <w:rsid w:val="39FB62FB"/>
    <w:rsid w:val="39FE13D4"/>
    <w:rsid w:val="3A2160C5"/>
    <w:rsid w:val="3A2B2AA0"/>
    <w:rsid w:val="3A4B4EF0"/>
    <w:rsid w:val="3A5241FC"/>
    <w:rsid w:val="3A8A620C"/>
    <w:rsid w:val="3A8F458A"/>
    <w:rsid w:val="3AB70D5D"/>
    <w:rsid w:val="3AE172D6"/>
    <w:rsid w:val="3B2B6F61"/>
    <w:rsid w:val="3B477448"/>
    <w:rsid w:val="3B742225"/>
    <w:rsid w:val="3BC2134B"/>
    <w:rsid w:val="3BED49E1"/>
    <w:rsid w:val="3C3430D2"/>
    <w:rsid w:val="3C99499C"/>
    <w:rsid w:val="3CE12CD7"/>
    <w:rsid w:val="3D2263DC"/>
    <w:rsid w:val="3D2E67EE"/>
    <w:rsid w:val="3D505106"/>
    <w:rsid w:val="3D65276D"/>
    <w:rsid w:val="3D6E0095"/>
    <w:rsid w:val="3D88597B"/>
    <w:rsid w:val="3D8A5D30"/>
    <w:rsid w:val="3D8F55A1"/>
    <w:rsid w:val="3DFE1E68"/>
    <w:rsid w:val="3E41149A"/>
    <w:rsid w:val="3E6E181F"/>
    <w:rsid w:val="3EC86B10"/>
    <w:rsid w:val="3EF679EF"/>
    <w:rsid w:val="3EFD6405"/>
    <w:rsid w:val="3F34377A"/>
    <w:rsid w:val="3F3858AD"/>
    <w:rsid w:val="3F546C30"/>
    <w:rsid w:val="3F824BBE"/>
    <w:rsid w:val="400973E0"/>
    <w:rsid w:val="4024421A"/>
    <w:rsid w:val="40387CC5"/>
    <w:rsid w:val="40521D5E"/>
    <w:rsid w:val="40602724"/>
    <w:rsid w:val="40B01F51"/>
    <w:rsid w:val="40D70303"/>
    <w:rsid w:val="412F3775"/>
    <w:rsid w:val="41752343"/>
    <w:rsid w:val="41914D25"/>
    <w:rsid w:val="41A55881"/>
    <w:rsid w:val="426B31E3"/>
    <w:rsid w:val="428124B7"/>
    <w:rsid w:val="42985594"/>
    <w:rsid w:val="42C41660"/>
    <w:rsid w:val="42D635B0"/>
    <w:rsid w:val="430A2804"/>
    <w:rsid w:val="433911B6"/>
    <w:rsid w:val="433922B6"/>
    <w:rsid w:val="434343AC"/>
    <w:rsid w:val="435943FD"/>
    <w:rsid w:val="4385725D"/>
    <w:rsid w:val="43F30B07"/>
    <w:rsid w:val="440026D2"/>
    <w:rsid w:val="44245F23"/>
    <w:rsid w:val="446C1438"/>
    <w:rsid w:val="44745B63"/>
    <w:rsid w:val="447D1ED7"/>
    <w:rsid w:val="448750D5"/>
    <w:rsid w:val="44A26055"/>
    <w:rsid w:val="44AB426E"/>
    <w:rsid w:val="44F12CF1"/>
    <w:rsid w:val="453308FD"/>
    <w:rsid w:val="453E2A4D"/>
    <w:rsid w:val="45543C81"/>
    <w:rsid w:val="456B4E44"/>
    <w:rsid w:val="45700309"/>
    <w:rsid w:val="458547BE"/>
    <w:rsid w:val="45872FF2"/>
    <w:rsid w:val="458B6AE9"/>
    <w:rsid w:val="4590762F"/>
    <w:rsid w:val="45BF318E"/>
    <w:rsid w:val="45C6092A"/>
    <w:rsid w:val="45DB48FA"/>
    <w:rsid w:val="45FD1795"/>
    <w:rsid w:val="4642234C"/>
    <w:rsid w:val="46571B63"/>
    <w:rsid w:val="46866FB0"/>
    <w:rsid w:val="46CD0C62"/>
    <w:rsid w:val="470B16FE"/>
    <w:rsid w:val="471619E7"/>
    <w:rsid w:val="478172CE"/>
    <w:rsid w:val="478B0AFB"/>
    <w:rsid w:val="478B79A2"/>
    <w:rsid w:val="47A143A2"/>
    <w:rsid w:val="47A5051F"/>
    <w:rsid w:val="47AF1C45"/>
    <w:rsid w:val="47C72318"/>
    <w:rsid w:val="47E226C7"/>
    <w:rsid w:val="480138D1"/>
    <w:rsid w:val="482716E0"/>
    <w:rsid w:val="4872358A"/>
    <w:rsid w:val="48A26E35"/>
    <w:rsid w:val="48BD4BA4"/>
    <w:rsid w:val="48CE5466"/>
    <w:rsid w:val="48FD5F50"/>
    <w:rsid w:val="491C2F0E"/>
    <w:rsid w:val="492509CD"/>
    <w:rsid w:val="49FD10F3"/>
    <w:rsid w:val="4A266DE0"/>
    <w:rsid w:val="4A3368AC"/>
    <w:rsid w:val="4A3B2D46"/>
    <w:rsid w:val="4A68531E"/>
    <w:rsid w:val="4ABD681A"/>
    <w:rsid w:val="4AD54A8E"/>
    <w:rsid w:val="4ADA7553"/>
    <w:rsid w:val="4B1935FF"/>
    <w:rsid w:val="4B6776B0"/>
    <w:rsid w:val="4B6A4691"/>
    <w:rsid w:val="4B77759C"/>
    <w:rsid w:val="4C1603E0"/>
    <w:rsid w:val="4C227B84"/>
    <w:rsid w:val="4C2F4672"/>
    <w:rsid w:val="4C99450B"/>
    <w:rsid w:val="4CAE7A26"/>
    <w:rsid w:val="4D07739D"/>
    <w:rsid w:val="4D2E2B7B"/>
    <w:rsid w:val="4D6855DF"/>
    <w:rsid w:val="4DA72544"/>
    <w:rsid w:val="4DC13902"/>
    <w:rsid w:val="4DC31D41"/>
    <w:rsid w:val="4DDE1EAC"/>
    <w:rsid w:val="4DE4121E"/>
    <w:rsid w:val="4DF571F5"/>
    <w:rsid w:val="4E051089"/>
    <w:rsid w:val="4E056C19"/>
    <w:rsid w:val="4E282B16"/>
    <w:rsid w:val="4E2F6BAB"/>
    <w:rsid w:val="4E357D41"/>
    <w:rsid w:val="4E531A4D"/>
    <w:rsid w:val="4E5A0E12"/>
    <w:rsid w:val="4E5C7274"/>
    <w:rsid w:val="4E6653E0"/>
    <w:rsid w:val="4E9541A7"/>
    <w:rsid w:val="4E9A4142"/>
    <w:rsid w:val="4EA12ED9"/>
    <w:rsid w:val="4EB726FD"/>
    <w:rsid w:val="4F22401A"/>
    <w:rsid w:val="4F2514C1"/>
    <w:rsid w:val="4F676698"/>
    <w:rsid w:val="4FA113E3"/>
    <w:rsid w:val="4FAC64F5"/>
    <w:rsid w:val="5006393C"/>
    <w:rsid w:val="501B55E1"/>
    <w:rsid w:val="5047788C"/>
    <w:rsid w:val="507E695D"/>
    <w:rsid w:val="50E66C84"/>
    <w:rsid w:val="50F7024B"/>
    <w:rsid w:val="51113D3F"/>
    <w:rsid w:val="511B4B78"/>
    <w:rsid w:val="512D70AA"/>
    <w:rsid w:val="515663BA"/>
    <w:rsid w:val="516E5D2A"/>
    <w:rsid w:val="51AE7DE7"/>
    <w:rsid w:val="51B81CB4"/>
    <w:rsid w:val="51FC0A11"/>
    <w:rsid w:val="523F3073"/>
    <w:rsid w:val="52517102"/>
    <w:rsid w:val="525C143D"/>
    <w:rsid w:val="529F2055"/>
    <w:rsid w:val="52B4142D"/>
    <w:rsid w:val="52BB6C5F"/>
    <w:rsid w:val="52EE1715"/>
    <w:rsid w:val="531F0D5A"/>
    <w:rsid w:val="532F31A9"/>
    <w:rsid w:val="53684117"/>
    <w:rsid w:val="53935379"/>
    <w:rsid w:val="539E16D4"/>
    <w:rsid w:val="53C370CB"/>
    <w:rsid w:val="53E3560F"/>
    <w:rsid w:val="542F0AA8"/>
    <w:rsid w:val="544F3B03"/>
    <w:rsid w:val="54A61249"/>
    <w:rsid w:val="54BE2A37"/>
    <w:rsid w:val="55150F1E"/>
    <w:rsid w:val="554742D9"/>
    <w:rsid w:val="55667C00"/>
    <w:rsid w:val="557B317A"/>
    <w:rsid w:val="557D7B97"/>
    <w:rsid w:val="55AD1B58"/>
    <w:rsid w:val="55B5674A"/>
    <w:rsid w:val="561C08DF"/>
    <w:rsid w:val="5627217E"/>
    <w:rsid w:val="56772E9D"/>
    <w:rsid w:val="56EE0C86"/>
    <w:rsid w:val="57376AD1"/>
    <w:rsid w:val="576F0C45"/>
    <w:rsid w:val="579F1B33"/>
    <w:rsid w:val="57AA7397"/>
    <w:rsid w:val="58296419"/>
    <w:rsid w:val="58330580"/>
    <w:rsid w:val="58426A50"/>
    <w:rsid w:val="58724BEF"/>
    <w:rsid w:val="58CA1924"/>
    <w:rsid w:val="58EF353A"/>
    <w:rsid w:val="58F33CB6"/>
    <w:rsid w:val="58F81F6E"/>
    <w:rsid w:val="591F669D"/>
    <w:rsid w:val="5933012A"/>
    <w:rsid w:val="5933769B"/>
    <w:rsid w:val="596679E1"/>
    <w:rsid w:val="59814CBE"/>
    <w:rsid w:val="59875AED"/>
    <w:rsid w:val="59976235"/>
    <w:rsid w:val="59983688"/>
    <w:rsid w:val="5A0A735E"/>
    <w:rsid w:val="5A427C66"/>
    <w:rsid w:val="5AC94D6C"/>
    <w:rsid w:val="5ADB5896"/>
    <w:rsid w:val="5AF2601B"/>
    <w:rsid w:val="5B330DB9"/>
    <w:rsid w:val="5B646F55"/>
    <w:rsid w:val="5B77749C"/>
    <w:rsid w:val="5B934E43"/>
    <w:rsid w:val="5BA67D81"/>
    <w:rsid w:val="5C19779C"/>
    <w:rsid w:val="5CD32DF8"/>
    <w:rsid w:val="5CD70CB9"/>
    <w:rsid w:val="5CE111BC"/>
    <w:rsid w:val="5D190DA1"/>
    <w:rsid w:val="5D4A1633"/>
    <w:rsid w:val="5D5B76D9"/>
    <w:rsid w:val="5D740137"/>
    <w:rsid w:val="5DED7EE9"/>
    <w:rsid w:val="5DF71CE0"/>
    <w:rsid w:val="5E021CC5"/>
    <w:rsid w:val="5E2A6ADD"/>
    <w:rsid w:val="5E652E56"/>
    <w:rsid w:val="5E79730D"/>
    <w:rsid w:val="5EA467FA"/>
    <w:rsid w:val="5F120738"/>
    <w:rsid w:val="5F271FEA"/>
    <w:rsid w:val="5F4D75A7"/>
    <w:rsid w:val="5F6F3DEC"/>
    <w:rsid w:val="5F7D6417"/>
    <w:rsid w:val="600339F4"/>
    <w:rsid w:val="602C4CF9"/>
    <w:rsid w:val="606B3CD8"/>
    <w:rsid w:val="60A725D1"/>
    <w:rsid w:val="60FB6E17"/>
    <w:rsid w:val="61272AC8"/>
    <w:rsid w:val="61916734"/>
    <w:rsid w:val="619A1C61"/>
    <w:rsid w:val="61B47728"/>
    <w:rsid w:val="61D90736"/>
    <w:rsid w:val="621F4BD0"/>
    <w:rsid w:val="62481E88"/>
    <w:rsid w:val="6270294D"/>
    <w:rsid w:val="62792BC7"/>
    <w:rsid w:val="62AD1323"/>
    <w:rsid w:val="62D47B8A"/>
    <w:rsid w:val="62EE1A02"/>
    <w:rsid w:val="63164321"/>
    <w:rsid w:val="63B7451C"/>
    <w:rsid w:val="63E46C62"/>
    <w:rsid w:val="64042EFE"/>
    <w:rsid w:val="640D5438"/>
    <w:rsid w:val="64213565"/>
    <w:rsid w:val="643D042F"/>
    <w:rsid w:val="644256A7"/>
    <w:rsid w:val="64447584"/>
    <w:rsid w:val="64510634"/>
    <w:rsid w:val="64591E34"/>
    <w:rsid w:val="645F1E3C"/>
    <w:rsid w:val="64BB61F2"/>
    <w:rsid w:val="64F658D5"/>
    <w:rsid w:val="651E4844"/>
    <w:rsid w:val="6524467E"/>
    <w:rsid w:val="65A672FB"/>
    <w:rsid w:val="65CE3CB6"/>
    <w:rsid w:val="65D75707"/>
    <w:rsid w:val="6649596B"/>
    <w:rsid w:val="66C8177B"/>
    <w:rsid w:val="671A5B7D"/>
    <w:rsid w:val="67546406"/>
    <w:rsid w:val="67631172"/>
    <w:rsid w:val="67952F15"/>
    <w:rsid w:val="67CF7009"/>
    <w:rsid w:val="67DE3F4F"/>
    <w:rsid w:val="67EE7408"/>
    <w:rsid w:val="680328C8"/>
    <w:rsid w:val="681317B4"/>
    <w:rsid w:val="681C2915"/>
    <w:rsid w:val="68571A30"/>
    <w:rsid w:val="686F7E78"/>
    <w:rsid w:val="687E4DB2"/>
    <w:rsid w:val="68C44831"/>
    <w:rsid w:val="68CA77A4"/>
    <w:rsid w:val="68EB37CD"/>
    <w:rsid w:val="6907414F"/>
    <w:rsid w:val="6956041B"/>
    <w:rsid w:val="698415F7"/>
    <w:rsid w:val="69CA267F"/>
    <w:rsid w:val="69CD5F85"/>
    <w:rsid w:val="69CF4947"/>
    <w:rsid w:val="69F44B7B"/>
    <w:rsid w:val="69FC4045"/>
    <w:rsid w:val="69FE19CC"/>
    <w:rsid w:val="6A235A40"/>
    <w:rsid w:val="6A3051BE"/>
    <w:rsid w:val="6A583CA2"/>
    <w:rsid w:val="6A6E6CFE"/>
    <w:rsid w:val="6B4D04D5"/>
    <w:rsid w:val="6B6623BD"/>
    <w:rsid w:val="6B6C0DA2"/>
    <w:rsid w:val="6BCB2B14"/>
    <w:rsid w:val="6C2C5E42"/>
    <w:rsid w:val="6C5710E6"/>
    <w:rsid w:val="6CE36A9C"/>
    <w:rsid w:val="6D2A0DAC"/>
    <w:rsid w:val="6D4F0278"/>
    <w:rsid w:val="6D6E7A17"/>
    <w:rsid w:val="6D8268A1"/>
    <w:rsid w:val="6DA06D26"/>
    <w:rsid w:val="6DA3362D"/>
    <w:rsid w:val="6DB66549"/>
    <w:rsid w:val="6E092E08"/>
    <w:rsid w:val="6E476147"/>
    <w:rsid w:val="6E83719F"/>
    <w:rsid w:val="6ED64757"/>
    <w:rsid w:val="6F0619E6"/>
    <w:rsid w:val="6F166B2E"/>
    <w:rsid w:val="6F46226A"/>
    <w:rsid w:val="6F8B7FB3"/>
    <w:rsid w:val="6FCD45DA"/>
    <w:rsid w:val="6FEE2589"/>
    <w:rsid w:val="6FFC052E"/>
    <w:rsid w:val="703C3F1C"/>
    <w:rsid w:val="704959A6"/>
    <w:rsid w:val="70614B37"/>
    <w:rsid w:val="70827CE9"/>
    <w:rsid w:val="708F4AB1"/>
    <w:rsid w:val="7099175E"/>
    <w:rsid w:val="70C24374"/>
    <w:rsid w:val="70CD518B"/>
    <w:rsid w:val="70CF4200"/>
    <w:rsid w:val="70EE6C27"/>
    <w:rsid w:val="70FD7FEB"/>
    <w:rsid w:val="711249AA"/>
    <w:rsid w:val="711B15BF"/>
    <w:rsid w:val="713A4BD1"/>
    <w:rsid w:val="71485CEC"/>
    <w:rsid w:val="71511D5E"/>
    <w:rsid w:val="715278CE"/>
    <w:rsid w:val="717F6C52"/>
    <w:rsid w:val="71834994"/>
    <w:rsid w:val="71880F0F"/>
    <w:rsid w:val="71C72A20"/>
    <w:rsid w:val="71E24EBC"/>
    <w:rsid w:val="727D3192"/>
    <w:rsid w:val="72833651"/>
    <w:rsid w:val="7287285A"/>
    <w:rsid w:val="72A66B8C"/>
    <w:rsid w:val="72BE679E"/>
    <w:rsid w:val="72C8445F"/>
    <w:rsid w:val="72D33D62"/>
    <w:rsid w:val="73137F9A"/>
    <w:rsid w:val="73240701"/>
    <w:rsid w:val="735545C1"/>
    <w:rsid w:val="73C137AD"/>
    <w:rsid w:val="73E66E29"/>
    <w:rsid w:val="73EC59F8"/>
    <w:rsid w:val="742650CC"/>
    <w:rsid w:val="742D4AAC"/>
    <w:rsid w:val="743447EB"/>
    <w:rsid w:val="74A06189"/>
    <w:rsid w:val="74B27A2A"/>
    <w:rsid w:val="74BE7B01"/>
    <w:rsid w:val="75273889"/>
    <w:rsid w:val="75294A8A"/>
    <w:rsid w:val="75731D81"/>
    <w:rsid w:val="75DA4E62"/>
    <w:rsid w:val="75E4177A"/>
    <w:rsid w:val="760B0C66"/>
    <w:rsid w:val="765E0CBF"/>
    <w:rsid w:val="768E7D49"/>
    <w:rsid w:val="770C71DA"/>
    <w:rsid w:val="77316C41"/>
    <w:rsid w:val="77907953"/>
    <w:rsid w:val="77C45690"/>
    <w:rsid w:val="77E2725C"/>
    <w:rsid w:val="77E4723A"/>
    <w:rsid w:val="78067755"/>
    <w:rsid w:val="780D07B9"/>
    <w:rsid w:val="78263C16"/>
    <w:rsid w:val="783928BE"/>
    <w:rsid w:val="78880AE2"/>
    <w:rsid w:val="792066EC"/>
    <w:rsid w:val="794C6494"/>
    <w:rsid w:val="79544AAA"/>
    <w:rsid w:val="796442E4"/>
    <w:rsid w:val="799534B7"/>
    <w:rsid w:val="79BD47BC"/>
    <w:rsid w:val="79D474A3"/>
    <w:rsid w:val="79DC10E6"/>
    <w:rsid w:val="79E71584"/>
    <w:rsid w:val="79E75577"/>
    <w:rsid w:val="7A0A6957"/>
    <w:rsid w:val="7A0D63E1"/>
    <w:rsid w:val="7A607061"/>
    <w:rsid w:val="7A6D7A0B"/>
    <w:rsid w:val="7AF67DA8"/>
    <w:rsid w:val="7AFB4872"/>
    <w:rsid w:val="7B427F3E"/>
    <w:rsid w:val="7B660372"/>
    <w:rsid w:val="7B6B5ECA"/>
    <w:rsid w:val="7BA326F7"/>
    <w:rsid w:val="7BEB7000"/>
    <w:rsid w:val="7BF637EE"/>
    <w:rsid w:val="7C7E19B9"/>
    <w:rsid w:val="7CA6449C"/>
    <w:rsid w:val="7D3F0D09"/>
    <w:rsid w:val="7D902913"/>
    <w:rsid w:val="7DA74D45"/>
    <w:rsid w:val="7E362441"/>
    <w:rsid w:val="7E97297D"/>
    <w:rsid w:val="7EF706F3"/>
    <w:rsid w:val="7F14453B"/>
    <w:rsid w:val="7F4A4F2C"/>
    <w:rsid w:val="7F8D69DE"/>
    <w:rsid w:val="7F922ED8"/>
    <w:rsid w:val="7FA8164A"/>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1" w:semiHidden="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semiHidden="0" w:name="toc 1"/>
    <w:lsdException w:qFormat="1" w:unhideWhenUsed="0" w:uiPriority="99" w:semiHidden="0" w:name="toc 2"/>
    <w:lsdException w:qFormat="1" w:unhideWhenUsed="0" w:uiPriority="9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iPriority="99" w:name="footnote text" w:locked="1"/>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qFormat="1" w:unhideWhenUsed="0" w:uiPriority="0" w:semiHidden="0" w:name="envelope return" w:locked="1"/>
    <w:lsdException w:uiPriority="99" w:name="footnote reference" w:locked="1"/>
    <w:lsdException w:qFormat="1" w:unhideWhenUsed="0" w:uiPriority="99" w:semiHidden="0" w:name="annotation reference"/>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0" w:semiHidden="0" w:name="Title"/>
    <w:lsdException w:uiPriority="99" w:name="Closing" w:locked="1"/>
    <w:lsdException w:uiPriority="99" w:name="Signature" w:locked="1"/>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qFormat="1" w:unhideWhenUsed="0" w:uiPriority="0" w:semiHidden="0" w:name="Message Header" w:locked="1"/>
    <w:lsdException w:qFormat="1" w:unhideWhenUsed="0" w:uiPriority="0" w:semiHidden="0" w:name="Subtitle"/>
    <w:lsdException w:uiPriority="99" w:name="Salutation" w:locked="1"/>
    <w:lsdException w:uiPriority="99" w:name="Date" w:locked="1"/>
    <w:lsdException w:qFormat="1" w:unhideWhenUsed="0" w:uiPriority="99" w:semiHidden="0" w:name="Body Text First Indent"/>
    <w:lsdException w:qFormat="1" w:unhideWhenUsed="0" w:uiPriority="0" w:semiHidden="0" w:name="Body Text First Indent 2"/>
    <w:lsdException w:uiPriority="99" w:name="Note Heading" w:locked="1"/>
    <w:lsdException w:qFormat="1" w:unhideWhenUsed="0" w:uiPriority="0" w:semiHidden="0" w:name="Body Text 2" w:locked="1"/>
    <w:lsdException w:qFormat="1" w:unhideWhenUsed="0" w:uiPriority="0" w:semiHidden="0" w:name="Body Text 3"/>
    <w:lsdException w:uiPriority="99" w:name="Body Text Indent 2" w:locked="1"/>
    <w:lsdException w:qFormat="1" w:unhideWhenUsed="0" w:uiPriority="99" w:semiHidden="0" w:name="Body Text Indent 3"/>
    <w:lsdException w:uiPriority="99" w:name="Block Text" w:locked="1"/>
    <w:lsdException w:qFormat="1" w:unhideWhenUsed="0" w:uiPriority="99" w:semiHidden="0" w:name="Hyperlink"/>
    <w:lsdException w:qFormat="1" w:uiPriority="99" w:name="FollowedHyperlink" w:locked="1"/>
    <w:lsdException w:qFormat="1" w:unhideWhenUsed="0" w:uiPriority="0" w:semiHidden="0" w:name="Strong"/>
    <w:lsdException w:qFormat="1" w:unhideWhenUsed="0" w:uiPriority="0" w:semiHidden="0" w:name="Emphasis"/>
    <w:lsdException w:uiPriority="99" w:name="Document Map" w:locked="1"/>
    <w:lsdException w:qFormat="1" w:uiPriority="99" w:semiHidden="0" w:name="Plain Text" w:locked="1"/>
    <w:lsdException w:uiPriority="99" w:name="E-mail Signature" w:locked="1"/>
    <w:lsdException w:qFormat="1" w:unhideWhenUsed="0" w:uiPriority="0" w:semiHidden="0" w:name="Normal (Web)"/>
    <w:lsdException w:qFormat="1" w:uiPriority="99" w:name="HTML Acronym" w:locked="1"/>
    <w:lsdException w:uiPriority="99" w:name="HTML Address" w:locked="1"/>
    <w:lsdException w:qFormat="1" w:uiPriority="99" w:name="HTML Cite" w:locked="1"/>
    <w:lsdException w:qFormat="1" w:uiPriority="99" w:name="HTML Code" w:locked="1"/>
    <w:lsdException w:qFormat="1" w:uiPriority="99" w:name="HTML Definition" w:locked="1"/>
    <w:lsdException w:qFormat="1" w:uiPriority="99" w:name="HTML Keyboard" w:locked="1"/>
    <w:lsdException w:uiPriority="99" w:name="HTML Preformatted" w:locked="1"/>
    <w:lsdException w:qFormat="1" w:uiPriority="99" w:name="HTML Sample" w:locked="1"/>
    <w:lsdException w:qFormat="1" w:uiPriority="99" w:name="HTML Typewriter" w:locked="1"/>
    <w:lsdException w:qFormat="1"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qFormat="1" w:unhideWhenUsed="0" w:uiPriority="0"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lang w:val="en-US" w:eastAsia="zh-CN" w:bidi="ar-SA"/>
    </w:rPr>
  </w:style>
  <w:style w:type="paragraph" w:styleId="4">
    <w:name w:val="heading 1"/>
    <w:basedOn w:val="1"/>
    <w:next w:val="1"/>
    <w:link w:val="45"/>
    <w:autoRedefine/>
    <w:qFormat/>
    <w:uiPriority w:val="0"/>
    <w:pPr>
      <w:keepNext/>
      <w:keepLines/>
      <w:spacing w:line="360" w:lineRule="auto"/>
      <w:outlineLvl w:val="0"/>
    </w:pPr>
    <w:rPr>
      <w:b/>
      <w:kern w:val="44"/>
      <w:sz w:val="32"/>
    </w:rPr>
  </w:style>
  <w:style w:type="paragraph" w:styleId="5">
    <w:name w:val="heading 2"/>
    <w:basedOn w:val="1"/>
    <w:next w:val="1"/>
    <w:link w:val="46"/>
    <w:autoRedefine/>
    <w:qFormat/>
    <w:uiPriority w:val="0"/>
    <w:pPr>
      <w:keepNext/>
      <w:keepLines/>
      <w:spacing w:before="260" w:after="260" w:line="413" w:lineRule="auto"/>
      <w:outlineLvl w:val="1"/>
    </w:pPr>
    <w:rPr>
      <w:rFonts w:ascii="Arial" w:hAnsi="Arial" w:eastAsia="黑体"/>
      <w:b/>
      <w:sz w:val="32"/>
    </w:rPr>
  </w:style>
  <w:style w:type="paragraph" w:styleId="6">
    <w:name w:val="heading 3"/>
    <w:basedOn w:val="1"/>
    <w:next w:val="1"/>
    <w:link w:val="68"/>
    <w:autoRedefine/>
    <w:qFormat/>
    <w:uiPriority w:val="0"/>
    <w:pPr>
      <w:keepNext/>
      <w:keepLines/>
      <w:spacing w:line="360" w:lineRule="auto"/>
      <w:outlineLvl w:val="2"/>
    </w:pPr>
    <w:rPr>
      <w:b/>
      <w:sz w:val="24"/>
    </w:rPr>
  </w:style>
  <w:style w:type="paragraph" w:styleId="7">
    <w:name w:val="heading 4"/>
    <w:basedOn w:val="1"/>
    <w:next w:val="1"/>
    <w:autoRedefine/>
    <w:qFormat/>
    <w:uiPriority w:val="0"/>
    <w:pPr>
      <w:keepNext/>
      <w:keepLines/>
      <w:spacing w:before="280" w:after="290" w:line="376" w:lineRule="auto"/>
      <w:outlineLvl w:val="3"/>
    </w:pPr>
    <w:rPr>
      <w:rFonts w:ascii="Arial" w:hAnsi="Arial" w:eastAsia="黑体"/>
      <w:b/>
      <w:bCs/>
      <w:sz w:val="28"/>
      <w:szCs w:val="28"/>
    </w:rPr>
  </w:style>
  <w:style w:type="paragraph" w:styleId="8">
    <w:name w:val="heading 5"/>
    <w:basedOn w:val="1"/>
    <w:next w:val="1"/>
    <w:autoRedefine/>
    <w:unhideWhenUsed/>
    <w:qFormat/>
    <w:uiPriority w:val="1"/>
    <w:pPr>
      <w:ind w:left="237"/>
      <w:outlineLvl w:val="4"/>
    </w:pPr>
    <w:rPr>
      <w:rFonts w:hint="eastAsia" w:ascii="宋体"/>
      <w:sz w:val="28"/>
      <w:szCs w:val="24"/>
    </w:rPr>
  </w:style>
  <w:style w:type="character" w:default="1" w:styleId="28">
    <w:name w:val="Default Paragraph Font"/>
    <w:autoRedefine/>
    <w:semiHidden/>
    <w:unhideWhenUsed/>
    <w:qFormat/>
    <w:uiPriority w:val="1"/>
  </w:style>
  <w:style w:type="table" w:default="1" w:styleId="26">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next w:val="3"/>
    <w:link w:val="50"/>
    <w:autoRedefine/>
    <w:qFormat/>
    <w:uiPriority w:val="99"/>
    <w:rPr>
      <w:rFonts w:eastAsia="楷体_GB2312"/>
      <w:sz w:val="32"/>
    </w:rPr>
  </w:style>
  <w:style w:type="paragraph" w:styleId="3">
    <w:name w:val="Body Text 2"/>
    <w:basedOn w:val="1"/>
    <w:next w:val="1"/>
    <w:autoRedefine/>
    <w:qFormat/>
    <w:locked/>
    <w:uiPriority w:val="0"/>
    <w:rPr>
      <w:rFonts w:ascii="宋体" w:hAnsi="宋体"/>
      <w:b/>
      <w:sz w:val="30"/>
      <w:szCs w:val="20"/>
    </w:rPr>
  </w:style>
  <w:style w:type="paragraph" w:styleId="9">
    <w:name w:val="Normal Indent"/>
    <w:basedOn w:val="1"/>
    <w:autoRedefine/>
    <w:qFormat/>
    <w:uiPriority w:val="99"/>
    <w:pPr>
      <w:ind w:firstLine="420" w:firstLineChars="200"/>
    </w:pPr>
  </w:style>
  <w:style w:type="paragraph" w:styleId="10">
    <w:name w:val="annotation text"/>
    <w:basedOn w:val="1"/>
    <w:link w:val="48"/>
    <w:autoRedefine/>
    <w:qFormat/>
    <w:uiPriority w:val="99"/>
    <w:pPr>
      <w:jc w:val="left"/>
    </w:pPr>
  </w:style>
  <w:style w:type="paragraph" w:styleId="11">
    <w:name w:val="Body Text 3"/>
    <w:basedOn w:val="1"/>
    <w:link w:val="49"/>
    <w:autoRedefine/>
    <w:qFormat/>
    <w:uiPriority w:val="0"/>
    <w:rPr>
      <w:rFonts w:ascii="宋体"/>
      <w:sz w:val="24"/>
    </w:rPr>
  </w:style>
  <w:style w:type="paragraph" w:styleId="12">
    <w:name w:val="Body Text Indent"/>
    <w:basedOn w:val="1"/>
    <w:next w:val="13"/>
    <w:link w:val="51"/>
    <w:autoRedefine/>
    <w:qFormat/>
    <w:uiPriority w:val="99"/>
    <w:pPr>
      <w:spacing w:after="120"/>
      <w:ind w:left="420" w:leftChars="200"/>
    </w:pPr>
  </w:style>
  <w:style w:type="paragraph" w:styleId="13">
    <w:name w:val="envelope return"/>
    <w:basedOn w:val="1"/>
    <w:autoRedefine/>
    <w:qFormat/>
    <w:locked/>
    <w:uiPriority w:val="0"/>
    <w:pPr>
      <w:snapToGrid w:val="0"/>
    </w:pPr>
    <w:rPr>
      <w:rFonts w:ascii="Arial" w:hAnsi="Arial"/>
    </w:rPr>
  </w:style>
  <w:style w:type="paragraph" w:styleId="14">
    <w:name w:val="toc 3"/>
    <w:basedOn w:val="1"/>
    <w:next w:val="1"/>
    <w:autoRedefine/>
    <w:qFormat/>
    <w:uiPriority w:val="99"/>
    <w:pPr>
      <w:ind w:left="840" w:leftChars="400"/>
    </w:pPr>
  </w:style>
  <w:style w:type="paragraph" w:styleId="15">
    <w:name w:val="Plain Text"/>
    <w:basedOn w:val="1"/>
    <w:autoRedefine/>
    <w:unhideWhenUsed/>
    <w:qFormat/>
    <w:locked/>
    <w:uiPriority w:val="99"/>
    <w:rPr>
      <w:rFonts w:hint="eastAsia" w:ascii="宋体" w:hAnsi="Courier New"/>
      <w:szCs w:val="24"/>
    </w:rPr>
  </w:style>
  <w:style w:type="paragraph" w:styleId="16">
    <w:name w:val="Balloon Text"/>
    <w:basedOn w:val="1"/>
    <w:link w:val="52"/>
    <w:autoRedefine/>
    <w:qFormat/>
    <w:uiPriority w:val="99"/>
    <w:rPr>
      <w:sz w:val="18"/>
      <w:szCs w:val="18"/>
    </w:rPr>
  </w:style>
  <w:style w:type="paragraph" w:styleId="17">
    <w:name w:val="footer"/>
    <w:basedOn w:val="1"/>
    <w:link w:val="53"/>
    <w:autoRedefine/>
    <w:qFormat/>
    <w:uiPriority w:val="99"/>
    <w:pPr>
      <w:tabs>
        <w:tab w:val="center" w:pos="4153"/>
        <w:tab w:val="right" w:pos="8306"/>
      </w:tabs>
      <w:snapToGrid w:val="0"/>
      <w:jc w:val="left"/>
    </w:pPr>
    <w:rPr>
      <w:sz w:val="18"/>
      <w:szCs w:val="18"/>
    </w:rPr>
  </w:style>
  <w:style w:type="paragraph" w:styleId="18">
    <w:name w:val="header"/>
    <w:basedOn w:val="1"/>
    <w:link w:val="54"/>
    <w:autoRedefine/>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autoRedefine/>
    <w:qFormat/>
    <w:uiPriority w:val="99"/>
  </w:style>
  <w:style w:type="paragraph" w:styleId="20">
    <w:name w:val="Body Text Indent 3"/>
    <w:basedOn w:val="1"/>
    <w:link w:val="55"/>
    <w:autoRedefine/>
    <w:qFormat/>
    <w:uiPriority w:val="99"/>
    <w:pPr>
      <w:spacing w:after="120"/>
      <w:ind w:left="420" w:leftChars="200"/>
    </w:pPr>
    <w:rPr>
      <w:sz w:val="16"/>
    </w:rPr>
  </w:style>
  <w:style w:type="paragraph" w:styleId="21">
    <w:name w:val="toc 2"/>
    <w:basedOn w:val="1"/>
    <w:next w:val="1"/>
    <w:autoRedefine/>
    <w:qFormat/>
    <w:uiPriority w:val="99"/>
    <w:pPr>
      <w:ind w:left="420" w:leftChars="200"/>
    </w:pPr>
  </w:style>
  <w:style w:type="paragraph" w:styleId="22">
    <w:name w:val="Message Header"/>
    <w:basedOn w:val="1"/>
    <w:autoRedefine/>
    <w:qFormat/>
    <w:locked/>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sz w:val="24"/>
    </w:rPr>
  </w:style>
  <w:style w:type="paragraph" w:styleId="23">
    <w:name w:val="Normal (Web)"/>
    <w:basedOn w:val="1"/>
    <w:autoRedefine/>
    <w:qFormat/>
    <w:uiPriority w:val="0"/>
    <w:pPr>
      <w:widowControl/>
      <w:spacing w:before="100" w:beforeAutospacing="1" w:after="100" w:afterAutospacing="1"/>
      <w:jc w:val="left"/>
    </w:pPr>
    <w:rPr>
      <w:rFonts w:ascii="宋体" w:hAnsi="宋体" w:cs="宋体"/>
      <w:kern w:val="0"/>
      <w:sz w:val="24"/>
    </w:rPr>
  </w:style>
  <w:style w:type="paragraph" w:styleId="24">
    <w:name w:val="Body Text First Indent"/>
    <w:basedOn w:val="2"/>
    <w:next w:val="25"/>
    <w:link w:val="56"/>
    <w:autoRedefine/>
    <w:qFormat/>
    <w:uiPriority w:val="99"/>
    <w:pPr>
      <w:ind w:firstLine="420" w:firstLineChars="100"/>
    </w:pPr>
  </w:style>
  <w:style w:type="paragraph" w:styleId="25">
    <w:name w:val="Body Text First Indent 2"/>
    <w:basedOn w:val="12"/>
    <w:next w:val="1"/>
    <w:link w:val="57"/>
    <w:autoRedefine/>
    <w:qFormat/>
    <w:uiPriority w:val="0"/>
    <w:pPr>
      <w:ind w:firstLine="420" w:firstLineChars="200"/>
    </w:pPr>
  </w:style>
  <w:style w:type="table" w:styleId="27">
    <w:name w:val="Table Grid"/>
    <w:basedOn w:val="2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basedOn w:val="28"/>
    <w:autoRedefine/>
    <w:qFormat/>
    <w:uiPriority w:val="0"/>
    <w:rPr>
      <w:b/>
      <w:bCs/>
    </w:rPr>
  </w:style>
  <w:style w:type="character" w:styleId="30">
    <w:name w:val="page number"/>
    <w:autoRedefine/>
    <w:qFormat/>
    <w:uiPriority w:val="99"/>
    <w:rPr>
      <w:rFonts w:cs="Times New Roman"/>
    </w:rPr>
  </w:style>
  <w:style w:type="character" w:styleId="31">
    <w:name w:val="FollowedHyperlink"/>
    <w:basedOn w:val="28"/>
    <w:autoRedefine/>
    <w:semiHidden/>
    <w:unhideWhenUsed/>
    <w:qFormat/>
    <w:locked/>
    <w:uiPriority w:val="99"/>
    <w:rPr>
      <w:color w:val="800080"/>
      <w:u w:val="none"/>
    </w:rPr>
  </w:style>
  <w:style w:type="character" w:styleId="32">
    <w:name w:val="Emphasis"/>
    <w:basedOn w:val="28"/>
    <w:autoRedefine/>
    <w:qFormat/>
    <w:uiPriority w:val="0"/>
    <w:rPr>
      <w:b/>
      <w:bCs/>
    </w:rPr>
  </w:style>
  <w:style w:type="character" w:styleId="33">
    <w:name w:val="HTML Definition"/>
    <w:basedOn w:val="28"/>
    <w:autoRedefine/>
    <w:semiHidden/>
    <w:unhideWhenUsed/>
    <w:qFormat/>
    <w:locked/>
    <w:uiPriority w:val="99"/>
  </w:style>
  <w:style w:type="character" w:styleId="34">
    <w:name w:val="HTML Typewriter"/>
    <w:basedOn w:val="28"/>
    <w:autoRedefine/>
    <w:semiHidden/>
    <w:unhideWhenUsed/>
    <w:qFormat/>
    <w:locked/>
    <w:uiPriority w:val="99"/>
    <w:rPr>
      <w:rFonts w:ascii="monospace" w:hAnsi="monospace" w:eastAsia="monospace" w:cs="monospace"/>
      <w:sz w:val="20"/>
    </w:rPr>
  </w:style>
  <w:style w:type="character" w:styleId="35">
    <w:name w:val="HTML Acronym"/>
    <w:basedOn w:val="28"/>
    <w:autoRedefine/>
    <w:semiHidden/>
    <w:unhideWhenUsed/>
    <w:qFormat/>
    <w:locked/>
    <w:uiPriority w:val="99"/>
    <w:rPr>
      <w:color w:val="5C5C5C"/>
      <w:u w:val="none"/>
      <w:bdr w:val="single" w:color="7CBCF3" w:sz="2" w:space="0"/>
      <w:shd w:val="clear" w:fill="FFFFFF"/>
    </w:rPr>
  </w:style>
  <w:style w:type="character" w:styleId="36">
    <w:name w:val="HTML Variable"/>
    <w:basedOn w:val="28"/>
    <w:autoRedefine/>
    <w:semiHidden/>
    <w:unhideWhenUsed/>
    <w:qFormat/>
    <w:locked/>
    <w:uiPriority w:val="99"/>
  </w:style>
  <w:style w:type="character" w:styleId="37">
    <w:name w:val="Hyperlink"/>
    <w:autoRedefine/>
    <w:qFormat/>
    <w:uiPriority w:val="99"/>
    <w:rPr>
      <w:rFonts w:cs="Times New Roman"/>
      <w:color w:val="0000FF"/>
      <w:u w:val="single"/>
    </w:rPr>
  </w:style>
  <w:style w:type="character" w:styleId="38">
    <w:name w:val="HTML Code"/>
    <w:basedOn w:val="28"/>
    <w:autoRedefine/>
    <w:semiHidden/>
    <w:unhideWhenUsed/>
    <w:qFormat/>
    <w:locked/>
    <w:uiPriority w:val="99"/>
    <w:rPr>
      <w:rFonts w:hint="default" w:ascii="monospace" w:hAnsi="monospace" w:eastAsia="monospace" w:cs="monospace"/>
      <w:sz w:val="20"/>
    </w:rPr>
  </w:style>
  <w:style w:type="character" w:styleId="39">
    <w:name w:val="annotation reference"/>
    <w:autoRedefine/>
    <w:qFormat/>
    <w:uiPriority w:val="99"/>
    <w:rPr>
      <w:rFonts w:cs="Times New Roman"/>
      <w:sz w:val="21"/>
    </w:rPr>
  </w:style>
  <w:style w:type="character" w:styleId="40">
    <w:name w:val="HTML Cite"/>
    <w:basedOn w:val="28"/>
    <w:autoRedefine/>
    <w:semiHidden/>
    <w:unhideWhenUsed/>
    <w:qFormat/>
    <w:locked/>
    <w:uiPriority w:val="99"/>
  </w:style>
  <w:style w:type="character" w:styleId="41">
    <w:name w:val="HTML Keyboard"/>
    <w:basedOn w:val="28"/>
    <w:autoRedefine/>
    <w:semiHidden/>
    <w:unhideWhenUsed/>
    <w:qFormat/>
    <w:locked/>
    <w:uiPriority w:val="99"/>
    <w:rPr>
      <w:rFonts w:hint="default" w:ascii="monospace" w:hAnsi="monospace" w:eastAsia="monospace" w:cs="monospace"/>
      <w:sz w:val="20"/>
    </w:rPr>
  </w:style>
  <w:style w:type="character" w:styleId="42">
    <w:name w:val="HTML Sample"/>
    <w:basedOn w:val="28"/>
    <w:autoRedefine/>
    <w:semiHidden/>
    <w:unhideWhenUsed/>
    <w:qFormat/>
    <w:locked/>
    <w:uiPriority w:val="99"/>
    <w:rPr>
      <w:rFonts w:hint="default" w:ascii="monospace" w:hAnsi="monospace" w:eastAsia="monospace" w:cs="monospace"/>
    </w:rPr>
  </w:style>
  <w:style w:type="paragraph" w:customStyle="1" w:styleId="43">
    <w:name w:val="样式 正文001 + 首行缩进:  2 字符1"/>
    <w:basedOn w:val="1"/>
    <w:autoRedefine/>
    <w:qFormat/>
    <w:uiPriority w:val="0"/>
    <w:pPr>
      <w:spacing w:before="60" w:line="460" w:lineRule="exact"/>
      <w:ind w:firstLine="480" w:firstLineChars="200"/>
    </w:pPr>
    <w:rPr>
      <w:sz w:val="24"/>
    </w:rPr>
  </w:style>
  <w:style w:type="paragraph" w:customStyle="1" w:styleId="44">
    <w:name w:val="Default"/>
    <w:autoRedefine/>
    <w:qFormat/>
    <w:uiPriority w:val="0"/>
    <w:pPr>
      <w:widowControl w:val="0"/>
      <w:autoSpaceDE w:val="0"/>
      <w:autoSpaceDN w:val="0"/>
      <w:adjustRightInd w:val="0"/>
    </w:pPr>
    <w:rPr>
      <w:rFonts w:ascii="宋体" w:hAnsi="Times New Roman" w:eastAsia="宋体" w:cs="Times New Roman"/>
      <w:color w:val="000000"/>
      <w:sz w:val="24"/>
      <w:lang w:val="en-US" w:eastAsia="zh-CN" w:bidi="ar-SA"/>
    </w:rPr>
  </w:style>
  <w:style w:type="character" w:customStyle="1" w:styleId="45">
    <w:name w:val="标题 1 字符"/>
    <w:link w:val="4"/>
    <w:autoRedefine/>
    <w:qFormat/>
    <w:locked/>
    <w:uiPriority w:val="0"/>
    <w:rPr>
      <w:rFonts w:ascii="Times New Roman" w:hAnsi="Times New Roman" w:eastAsia="宋体" w:cs="Times New Roman"/>
      <w:b/>
      <w:kern w:val="44"/>
      <w:sz w:val="20"/>
      <w:szCs w:val="20"/>
    </w:rPr>
  </w:style>
  <w:style w:type="character" w:customStyle="1" w:styleId="46">
    <w:name w:val="标题 2 字符"/>
    <w:link w:val="5"/>
    <w:autoRedefine/>
    <w:qFormat/>
    <w:locked/>
    <w:uiPriority w:val="0"/>
    <w:rPr>
      <w:rFonts w:ascii="Arial" w:hAnsi="Arial" w:eastAsia="黑体" w:cs="Times New Roman"/>
      <w:b/>
      <w:sz w:val="20"/>
      <w:szCs w:val="20"/>
    </w:rPr>
  </w:style>
  <w:style w:type="character" w:customStyle="1" w:styleId="47">
    <w:name w:val="标题 3 字符"/>
    <w:autoRedefine/>
    <w:qFormat/>
    <w:locked/>
    <w:uiPriority w:val="0"/>
    <w:rPr>
      <w:rFonts w:ascii="Times New Roman" w:hAnsi="Times New Roman" w:eastAsia="宋体" w:cs="Times New Roman"/>
      <w:b/>
      <w:sz w:val="20"/>
      <w:szCs w:val="20"/>
    </w:rPr>
  </w:style>
  <w:style w:type="character" w:customStyle="1" w:styleId="48">
    <w:name w:val="批注文字 字符"/>
    <w:link w:val="10"/>
    <w:autoRedefine/>
    <w:qFormat/>
    <w:locked/>
    <w:uiPriority w:val="99"/>
    <w:rPr>
      <w:rFonts w:ascii="Times New Roman" w:hAnsi="Times New Roman" w:eastAsia="宋体" w:cs="Times New Roman"/>
      <w:sz w:val="20"/>
      <w:szCs w:val="20"/>
    </w:rPr>
  </w:style>
  <w:style w:type="character" w:customStyle="1" w:styleId="49">
    <w:name w:val="正文文本 3 字符"/>
    <w:link w:val="11"/>
    <w:autoRedefine/>
    <w:qFormat/>
    <w:locked/>
    <w:uiPriority w:val="0"/>
    <w:rPr>
      <w:rFonts w:ascii="宋体" w:hAnsi="Times New Roman" w:eastAsia="宋体" w:cs="Times New Roman"/>
      <w:sz w:val="20"/>
      <w:szCs w:val="20"/>
    </w:rPr>
  </w:style>
  <w:style w:type="character" w:customStyle="1" w:styleId="50">
    <w:name w:val="正文文本 字符"/>
    <w:link w:val="2"/>
    <w:autoRedefine/>
    <w:qFormat/>
    <w:locked/>
    <w:uiPriority w:val="99"/>
    <w:rPr>
      <w:rFonts w:ascii="Times New Roman" w:hAnsi="Times New Roman" w:eastAsia="楷体_GB2312" w:cs="Times New Roman"/>
      <w:sz w:val="20"/>
      <w:szCs w:val="20"/>
    </w:rPr>
  </w:style>
  <w:style w:type="character" w:customStyle="1" w:styleId="51">
    <w:name w:val="正文文本缩进 字符"/>
    <w:link w:val="12"/>
    <w:autoRedefine/>
    <w:qFormat/>
    <w:locked/>
    <w:uiPriority w:val="99"/>
    <w:rPr>
      <w:rFonts w:ascii="Times New Roman" w:hAnsi="Times New Roman" w:eastAsia="宋体" w:cs="Times New Roman"/>
      <w:sz w:val="20"/>
      <w:szCs w:val="20"/>
    </w:rPr>
  </w:style>
  <w:style w:type="character" w:customStyle="1" w:styleId="52">
    <w:name w:val="批注框文本 字符"/>
    <w:link w:val="16"/>
    <w:autoRedefine/>
    <w:qFormat/>
    <w:locked/>
    <w:uiPriority w:val="99"/>
    <w:rPr>
      <w:rFonts w:ascii="Times New Roman" w:hAnsi="Times New Roman" w:eastAsia="宋体" w:cs="Times New Roman"/>
      <w:sz w:val="18"/>
      <w:szCs w:val="18"/>
    </w:rPr>
  </w:style>
  <w:style w:type="character" w:customStyle="1" w:styleId="53">
    <w:name w:val="页脚 字符"/>
    <w:link w:val="17"/>
    <w:autoRedefine/>
    <w:qFormat/>
    <w:locked/>
    <w:uiPriority w:val="99"/>
    <w:rPr>
      <w:rFonts w:cs="Times New Roman"/>
      <w:sz w:val="18"/>
      <w:szCs w:val="18"/>
    </w:rPr>
  </w:style>
  <w:style w:type="character" w:customStyle="1" w:styleId="54">
    <w:name w:val="页眉 字符"/>
    <w:link w:val="18"/>
    <w:autoRedefine/>
    <w:qFormat/>
    <w:locked/>
    <w:uiPriority w:val="99"/>
    <w:rPr>
      <w:rFonts w:cs="Times New Roman"/>
      <w:sz w:val="18"/>
      <w:szCs w:val="18"/>
    </w:rPr>
  </w:style>
  <w:style w:type="character" w:customStyle="1" w:styleId="55">
    <w:name w:val="正文文本缩进 3 字符"/>
    <w:link w:val="20"/>
    <w:autoRedefine/>
    <w:qFormat/>
    <w:locked/>
    <w:uiPriority w:val="99"/>
    <w:rPr>
      <w:rFonts w:ascii="Times New Roman" w:hAnsi="Times New Roman" w:eastAsia="宋体" w:cs="Times New Roman"/>
      <w:sz w:val="20"/>
      <w:szCs w:val="20"/>
    </w:rPr>
  </w:style>
  <w:style w:type="character" w:customStyle="1" w:styleId="56">
    <w:name w:val="正文文本首行缩进 字符"/>
    <w:link w:val="24"/>
    <w:autoRedefine/>
    <w:semiHidden/>
    <w:qFormat/>
    <w:locked/>
    <w:uiPriority w:val="99"/>
    <w:rPr>
      <w:rFonts w:ascii="Times New Roman" w:hAnsi="Times New Roman" w:eastAsia="楷体_GB2312" w:cs="Times New Roman"/>
      <w:sz w:val="20"/>
      <w:szCs w:val="20"/>
    </w:rPr>
  </w:style>
  <w:style w:type="character" w:customStyle="1" w:styleId="57">
    <w:name w:val="正文文本首行缩进 2 字符"/>
    <w:link w:val="25"/>
    <w:autoRedefine/>
    <w:qFormat/>
    <w:locked/>
    <w:uiPriority w:val="0"/>
    <w:rPr>
      <w:rFonts w:ascii="Times New Roman" w:hAnsi="Times New Roman" w:eastAsia="宋体" w:cs="Times New Roman"/>
      <w:sz w:val="20"/>
      <w:szCs w:val="20"/>
    </w:rPr>
  </w:style>
  <w:style w:type="character" w:customStyle="1" w:styleId="58">
    <w:name w:val="wg正文 仿宋_GB2312 四号"/>
    <w:autoRedefine/>
    <w:qFormat/>
    <w:uiPriority w:val="99"/>
    <w:rPr>
      <w:rFonts w:ascii="仿宋_GB2312" w:hAnsi="仿宋_GB2312" w:eastAsia="仿宋_GB2312"/>
      <w:sz w:val="28"/>
    </w:rPr>
  </w:style>
  <w:style w:type="paragraph" w:customStyle="1" w:styleId="59">
    <w:name w:val="样式 标题 2 + Times New Roman 四号 非加粗 段前: 5 磅 段后: 0 磅 行距: 固定值 20..."/>
    <w:basedOn w:val="5"/>
    <w:autoRedefine/>
    <w:qFormat/>
    <w:uiPriority w:val="0"/>
    <w:pPr>
      <w:spacing w:before="100" w:after="0" w:line="400" w:lineRule="exact"/>
    </w:pPr>
    <w:rPr>
      <w:rFonts w:ascii="Times New Roman" w:hAnsi="Times New Roman"/>
      <w:b w:val="0"/>
      <w:sz w:val="28"/>
    </w:rPr>
  </w:style>
  <w:style w:type="paragraph" w:customStyle="1" w:styleId="60">
    <w:name w:val="样式 WG标题3居中 + 行距: 固定值 18 磅"/>
    <w:basedOn w:val="61"/>
    <w:autoRedefine/>
    <w:qFormat/>
    <w:uiPriority w:val="99"/>
    <w:pPr>
      <w:spacing w:line="360" w:lineRule="exact"/>
      <w:outlineLvl w:val="2"/>
    </w:pPr>
  </w:style>
  <w:style w:type="paragraph" w:customStyle="1" w:styleId="61">
    <w:name w:val="WG标题4居中"/>
    <w:basedOn w:val="1"/>
    <w:autoRedefine/>
    <w:qFormat/>
    <w:uiPriority w:val="99"/>
    <w:pPr>
      <w:spacing w:before="100" w:beforeAutospacing="1" w:after="100" w:afterAutospacing="1"/>
      <w:jc w:val="center"/>
      <w:outlineLvl w:val="3"/>
    </w:pPr>
    <w:rPr>
      <w:b/>
      <w:sz w:val="32"/>
    </w:rPr>
  </w:style>
  <w:style w:type="paragraph" w:styleId="62">
    <w:name w:val="List Paragraph"/>
    <w:basedOn w:val="1"/>
    <w:autoRedefine/>
    <w:qFormat/>
    <w:uiPriority w:val="99"/>
    <w:pPr>
      <w:ind w:firstLine="420" w:firstLineChars="200"/>
    </w:pPr>
    <w:rPr>
      <w:rFonts w:ascii="Calibri" w:hAnsi="Calibri"/>
    </w:rPr>
  </w:style>
  <w:style w:type="paragraph" w:customStyle="1" w:styleId="63">
    <w:name w:val="样式 WG标题3 + 行距: 固定值 18 磅"/>
    <w:basedOn w:val="1"/>
    <w:autoRedefine/>
    <w:qFormat/>
    <w:uiPriority w:val="99"/>
    <w:pPr>
      <w:autoSpaceDE w:val="0"/>
      <w:autoSpaceDN w:val="0"/>
      <w:adjustRightInd w:val="0"/>
      <w:spacing w:line="360" w:lineRule="exact"/>
      <w:textAlignment w:val="baseline"/>
      <w:outlineLvl w:val="2"/>
    </w:pPr>
    <w:rPr>
      <w:rFonts w:ascii="宋体" w:hAnsi="宋体"/>
      <w:b/>
      <w:color w:val="000000"/>
      <w:kern w:val="20"/>
    </w:rPr>
  </w:style>
  <w:style w:type="paragraph" w:customStyle="1" w:styleId="64">
    <w:name w:val="样式 WG标题2 + 行距: 固定值 18 磅1"/>
    <w:basedOn w:val="1"/>
    <w:autoRedefine/>
    <w:qFormat/>
    <w:uiPriority w:val="99"/>
    <w:pPr>
      <w:autoSpaceDE w:val="0"/>
      <w:autoSpaceDN w:val="0"/>
      <w:adjustRightInd w:val="0"/>
      <w:spacing w:line="360" w:lineRule="exact"/>
      <w:textAlignment w:val="baseline"/>
      <w:outlineLvl w:val="1"/>
    </w:pPr>
    <w:rPr>
      <w:rFonts w:ascii="仿宋_GB2312" w:hAnsi="宋体"/>
      <w:b/>
      <w:color w:val="000000"/>
      <w:kern w:val="20"/>
      <w:sz w:val="24"/>
    </w:rPr>
  </w:style>
  <w:style w:type="paragraph" w:customStyle="1" w:styleId="65">
    <w:name w:val="Table Paragraph"/>
    <w:basedOn w:val="1"/>
    <w:autoRedefine/>
    <w:qFormat/>
    <w:uiPriority w:val="99"/>
    <w:rPr>
      <w:rFonts w:ascii="宋体" w:hAnsi="宋体" w:cs="宋体"/>
      <w:lang w:val="zh-CN"/>
    </w:rPr>
  </w:style>
  <w:style w:type="table" w:customStyle="1" w:styleId="66">
    <w:name w:val="Table Normal"/>
    <w:autoRedefine/>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paragraph" w:customStyle="1" w:styleId="67">
    <w:name w:val="无间隔1"/>
    <w:basedOn w:val="1"/>
    <w:autoRedefine/>
    <w:qFormat/>
    <w:uiPriority w:val="1"/>
    <w:pPr>
      <w:spacing w:line="400" w:lineRule="exact"/>
    </w:pPr>
    <w:rPr>
      <w:sz w:val="24"/>
    </w:rPr>
  </w:style>
  <w:style w:type="character" w:customStyle="1" w:styleId="68">
    <w:name w:val="标题 3 字符1"/>
    <w:link w:val="6"/>
    <w:autoRedefine/>
    <w:qFormat/>
    <w:uiPriority w:val="0"/>
    <w:rPr>
      <w:b/>
      <w:bCs/>
      <w:sz w:val="28"/>
      <w:szCs w:val="28"/>
    </w:rPr>
  </w:style>
  <w:style w:type="paragraph" w:customStyle="1" w:styleId="69">
    <w:name w:val="Blockquote"/>
    <w:basedOn w:val="1"/>
    <w:autoRedefine/>
    <w:unhideWhenUsed/>
    <w:qFormat/>
    <w:uiPriority w:val="0"/>
    <w:pPr>
      <w:spacing w:before="100" w:after="100"/>
      <w:ind w:left="360" w:right="360"/>
    </w:pPr>
    <w:rPr>
      <w:rFonts w:hint="eastAsia"/>
      <w:sz w:val="24"/>
      <w:szCs w:val="24"/>
    </w:rPr>
  </w:style>
  <w:style w:type="character" w:customStyle="1" w:styleId="70">
    <w:name w:val="hover"/>
    <w:basedOn w:val="28"/>
    <w:autoRedefine/>
    <w:qFormat/>
    <w:uiPriority w:val="0"/>
  </w:style>
  <w:style w:type="character" w:customStyle="1" w:styleId="71">
    <w:name w:val="hover1"/>
    <w:basedOn w:val="28"/>
    <w:autoRedefine/>
    <w:qFormat/>
    <w:uiPriority w:val="0"/>
    <w:rPr>
      <w:color w:val="2590EB"/>
    </w:rPr>
  </w:style>
  <w:style w:type="character" w:customStyle="1" w:styleId="72">
    <w:name w:val="hover2"/>
    <w:basedOn w:val="28"/>
    <w:autoRedefine/>
    <w:qFormat/>
    <w:uiPriority w:val="0"/>
    <w:rPr>
      <w:color w:val="2590EB"/>
    </w:rPr>
  </w:style>
  <w:style w:type="character" w:customStyle="1" w:styleId="73">
    <w:name w:val="hover3"/>
    <w:basedOn w:val="28"/>
    <w:autoRedefine/>
    <w:qFormat/>
    <w:uiPriority w:val="0"/>
    <w:rPr>
      <w:color w:val="2590EB"/>
      <w:shd w:val="clear" w:color="auto" w:fill="E9F4FD"/>
    </w:rPr>
  </w:style>
  <w:style w:type="paragraph" w:customStyle="1" w:styleId="74">
    <w:name w:val="列出段落1"/>
    <w:basedOn w:val="1"/>
    <w:autoRedefine/>
    <w:qFormat/>
    <w:uiPriority w:val="1"/>
    <w:pPr>
      <w:ind w:left="232" w:firstLine="418"/>
    </w:pPr>
    <w:rPr>
      <w:rFonts w:ascii="Calibri" w:hAnsi="Calibri"/>
      <w:szCs w:val="24"/>
    </w:rPr>
  </w:style>
  <w:style w:type="character" w:customStyle="1" w:styleId="75">
    <w:name w:val="CharAttribute10"/>
    <w:autoRedefine/>
    <w:qFormat/>
    <w:uiPriority w:val="0"/>
    <w:rPr>
      <w:rFonts w:ascii="¨¦?????" w:hAnsi="¨¦?????" w:eastAsia="¨¦?????"/>
      <w:sz w:val="28"/>
    </w:rPr>
  </w:style>
  <w:style w:type="paragraph" w:customStyle="1" w:styleId="76">
    <w:name w:val="Other|1"/>
    <w:basedOn w:val="1"/>
    <w:autoRedefine/>
    <w:qFormat/>
    <w:uiPriority w:val="0"/>
    <w:pPr>
      <w:spacing w:line="432" w:lineRule="auto"/>
      <w:ind w:firstLine="400"/>
    </w:pPr>
    <w:rPr>
      <w:rFonts w:ascii="宋体" w:hAnsi="宋体" w:cs="宋体"/>
      <w:sz w:val="20"/>
      <w:lang w:val="zh-TW" w:eastAsia="zh-TW" w:bidi="zh-TW"/>
    </w:rPr>
  </w:style>
  <w:style w:type="character" w:customStyle="1" w:styleId="77">
    <w:name w:val="hover4"/>
    <w:basedOn w:val="28"/>
    <w:autoRedefine/>
    <w:qFormat/>
    <w:uiPriority w:val="0"/>
    <w:rPr>
      <w:color w:val="2590EB"/>
      <w:shd w:val="clear" w:fill="E9F4FD"/>
    </w:rPr>
  </w:style>
  <w:style w:type="character" w:customStyle="1" w:styleId="78">
    <w:name w:val="edui-clickable"/>
    <w:basedOn w:val="28"/>
    <w:autoRedefine/>
    <w:qFormat/>
    <w:uiPriority w:val="0"/>
    <w:rPr>
      <w:color w:val="0000FF"/>
      <w:u w:val="single"/>
    </w:rPr>
  </w:style>
  <w:style w:type="character" w:customStyle="1" w:styleId="79">
    <w:name w:val="edui-unclickable"/>
    <w:basedOn w:val="28"/>
    <w:autoRedefine/>
    <w:qFormat/>
    <w:uiPriority w:val="0"/>
    <w:rPr>
      <w:color w:val="808080"/>
    </w:rPr>
  </w:style>
  <w:style w:type="character" w:customStyle="1" w:styleId="80">
    <w:name w:val="edui-clickable2"/>
    <w:basedOn w:val="28"/>
    <w:autoRedefine/>
    <w:qFormat/>
    <w:uiPriority w:val="0"/>
    <w:rPr>
      <w:color w:val="0000FF"/>
      <w:u w:val="single"/>
    </w:rPr>
  </w:style>
  <w:style w:type="character" w:customStyle="1" w:styleId="81">
    <w:name w:val="mini-outputtext1"/>
    <w:basedOn w:val="28"/>
    <w:autoRedefine/>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70</Pages>
  <Words>31233</Words>
  <Characters>33578</Characters>
  <Lines>275</Lines>
  <Paragraphs>77</Paragraphs>
  <TotalTime>9</TotalTime>
  <ScaleCrop>false</ScaleCrop>
  <LinksUpToDate>false</LinksUpToDate>
  <CharactersWithSpaces>36616</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2023-06-19T07:16:00Z</dcterms:created>
  <dc:creator>QL</dc:creator>
  <cp:lastModifiedBy>Administrator</cp:lastModifiedBy>
  <cp:lastPrinted>2024-03-15T02:15:00Z</cp:lastPrinted>
  <dcterms:modified xsi:type="dcterms:W3CDTF">2024-03-15T03:32:51Z</dcterms:modified>
  <cp:revision>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CDE00FC9E7D24ADDAAA272E7EE33C28B_13</vt:lpwstr>
  </property>
</Properties>
</file>