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jc w:val="center"/>
        <w:rPr>
          <w:rFonts w:hint="eastAsia" w:hAnsi="宋体" w:eastAsia="宋体" w:cs="宋体"/>
          <w:b/>
          <w:color w:val="auto"/>
          <w:sz w:val="48"/>
          <w:lang w:eastAsia="zh-CN"/>
        </w:rPr>
      </w:pPr>
      <w:r>
        <w:rPr>
          <w:rFonts w:hint="eastAsia" w:hAnsi="宋体" w:eastAsia="宋体" w:cs="宋体"/>
          <w:b/>
          <w:color w:val="auto"/>
          <w:sz w:val="48"/>
          <w:lang w:eastAsia="zh-CN"/>
        </w:rPr>
        <w:drawing>
          <wp:inline distT="0" distB="0" distL="114300" distR="114300">
            <wp:extent cx="5958205" cy="8195945"/>
            <wp:effectExtent l="0" t="0" r="4445" b="14605"/>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9"/>
                    <a:stretch>
                      <a:fillRect/>
                    </a:stretch>
                  </pic:blipFill>
                  <pic:spPr>
                    <a:xfrm>
                      <a:off x="0" y="0"/>
                      <a:ext cx="5958205" cy="8195945"/>
                    </a:xfrm>
                    <a:prstGeom prst="rect">
                      <a:avLst/>
                    </a:prstGeom>
                  </pic:spPr>
                </pic:pic>
              </a:graphicData>
            </a:graphic>
          </wp:inline>
        </w:drawing>
      </w:r>
    </w:p>
    <w:p>
      <w:pPr>
        <w:jc w:val="center"/>
        <w:rPr>
          <w:rFonts w:hint="eastAsia" w:ascii="宋体" w:hAnsi="宋体" w:cs="宋体"/>
          <w:b/>
          <w:sz w:val="32"/>
        </w:rPr>
      </w:pPr>
      <w:bookmarkStart w:id="0" w:name="_Toc247527532"/>
      <w:bookmarkStart w:id="1" w:name="_Toc300834926"/>
      <w:bookmarkStart w:id="2" w:name="_Toc144974478"/>
      <w:bookmarkStart w:id="3" w:name="_Toc152042286"/>
    </w:p>
    <w:p>
      <w:pPr>
        <w:jc w:val="center"/>
        <w:rPr>
          <w:rFonts w:ascii="宋体" w:hAnsi="宋体" w:cs="宋体"/>
          <w:b/>
          <w:sz w:val="36"/>
        </w:rPr>
      </w:pPr>
      <w:bookmarkStart w:id="823" w:name="_GoBack"/>
      <w:bookmarkEnd w:id="823"/>
      <w:r>
        <w:rPr>
          <w:rFonts w:hint="eastAsia" w:ascii="宋体" w:hAnsi="宋体" w:cs="宋体"/>
          <w:b/>
          <w:sz w:val="32"/>
        </w:rPr>
        <w:t>目     录</w:t>
      </w:r>
      <w:bookmarkEnd w:id="0"/>
      <w:bookmarkEnd w:id="1"/>
      <w:bookmarkEnd w:id="2"/>
      <w:bookmarkEnd w:id="3"/>
    </w:p>
    <w:p>
      <w:pPr>
        <w:pStyle w:val="19"/>
        <w:tabs>
          <w:tab w:val="right" w:leader="dot" w:pos="8306"/>
        </w:tabs>
      </w:pPr>
      <w:bookmarkStart w:id="4" w:name="_Toc11604"/>
      <w:bookmarkStart w:id="5" w:name="_Toc1670"/>
      <w:bookmarkStart w:id="6" w:name="_Toc24983"/>
      <w:r>
        <w:fldChar w:fldCharType="begin"/>
      </w:r>
      <w:r>
        <w:instrText xml:space="preserve">TOC \o "1-1" \h \u </w:instrText>
      </w:r>
      <w:r>
        <w:fldChar w:fldCharType="separate"/>
      </w:r>
      <w:r>
        <w:fldChar w:fldCharType="begin"/>
      </w:r>
      <w:r>
        <w:instrText xml:space="preserve"> HYPERLINK \l _Toc17477 </w:instrText>
      </w:r>
      <w:r>
        <w:fldChar w:fldCharType="separate"/>
      </w:r>
      <w:r>
        <w:rPr>
          <w:rFonts w:hint="eastAsia" w:ascii="宋体" w:hAnsi="宋体" w:cs="宋体"/>
        </w:rPr>
        <w:t>第一章 招标公告</w:t>
      </w:r>
      <w:r>
        <w:tab/>
      </w:r>
      <w:r>
        <w:fldChar w:fldCharType="begin"/>
      </w:r>
      <w:r>
        <w:instrText xml:space="preserve"> PAGEREF _Toc17477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_Toc4403 </w:instrText>
      </w:r>
      <w:r>
        <w:fldChar w:fldCharType="separate"/>
      </w:r>
      <w:r>
        <w:rPr>
          <w:rFonts w:hint="eastAsia" w:ascii="宋体" w:hAnsi="宋体" w:cs="宋体"/>
        </w:rPr>
        <w:t>第二章 投标人须知</w:t>
      </w:r>
      <w:r>
        <w:tab/>
      </w:r>
      <w:r>
        <w:fldChar w:fldCharType="begin"/>
      </w:r>
      <w:r>
        <w:instrText xml:space="preserve"> PAGEREF _Toc4403 \h </w:instrText>
      </w:r>
      <w:r>
        <w:fldChar w:fldCharType="separate"/>
      </w:r>
      <w:r>
        <w:t>3</w:t>
      </w:r>
      <w:r>
        <w:fldChar w:fldCharType="end"/>
      </w:r>
      <w:r>
        <w:fldChar w:fldCharType="end"/>
      </w:r>
    </w:p>
    <w:p>
      <w:pPr>
        <w:pStyle w:val="19"/>
        <w:tabs>
          <w:tab w:val="right" w:leader="dot" w:pos="8306"/>
        </w:tabs>
      </w:pPr>
      <w:r>
        <w:fldChar w:fldCharType="begin"/>
      </w:r>
      <w:r>
        <w:instrText xml:space="preserve"> HYPERLINK \l _Toc4757 </w:instrText>
      </w:r>
      <w:r>
        <w:fldChar w:fldCharType="separate"/>
      </w:r>
      <w:r>
        <w:rPr>
          <w:rFonts w:hint="eastAsia" w:ascii="宋体" w:hAnsi="宋体" w:cs="宋体"/>
        </w:rPr>
        <w:t>第三章 评标办法（综合评估法）</w:t>
      </w:r>
      <w:r>
        <w:tab/>
      </w:r>
      <w:r>
        <w:fldChar w:fldCharType="begin"/>
      </w:r>
      <w:r>
        <w:instrText xml:space="preserve"> PAGEREF _Toc4757 \h </w:instrText>
      </w:r>
      <w:r>
        <w:fldChar w:fldCharType="separate"/>
      </w:r>
      <w:r>
        <w:t>26</w:t>
      </w:r>
      <w:r>
        <w:fldChar w:fldCharType="end"/>
      </w:r>
      <w:r>
        <w:fldChar w:fldCharType="end"/>
      </w:r>
    </w:p>
    <w:p>
      <w:pPr>
        <w:pStyle w:val="19"/>
        <w:tabs>
          <w:tab w:val="right" w:leader="dot" w:pos="8306"/>
        </w:tabs>
      </w:pPr>
      <w:r>
        <w:fldChar w:fldCharType="begin"/>
      </w:r>
      <w:r>
        <w:instrText xml:space="preserve"> HYPERLINK \l _Toc31582 </w:instrText>
      </w:r>
      <w:r>
        <w:fldChar w:fldCharType="separate"/>
      </w:r>
      <w:r>
        <w:rPr>
          <w:rFonts w:hint="eastAsia" w:ascii="宋体" w:hAnsi="宋体" w:cs="宋体"/>
        </w:rPr>
        <w:t>第四章 技术条件和技术规范</w:t>
      </w:r>
      <w:r>
        <w:tab/>
      </w:r>
      <w:r>
        <w:fldChar w:fldCharType="begin"/>
      </w:r>
      <w:r>
        <w:instrText xml:space="preserve"> PAGEREF _Toc31582 \h </w:instrText>
      </w:r>
      <w:r>
        <w:fldChar w:fldCharType="separate"/>
      </w:r>
      <w:r>
        <w:t>32</w:t>
      </w:r>
      <w:r>
        <w:fldChar w:fldCharType="end"/>
      </w:r>
      <w:r>
        <w:fldChar w:fldCharType="end"/>
      </w:r>
    </w:p>
    <w:p>
      <w:pPr>
        <w:pStyle w:val="19"/>
        <w:tabs>
          <w:tab w:val="right" w:leader="dot" w:pos="8306"/>
        </w:tabs>
      </w:pPr>
      <w:r>
        <w:fldChar w:fldCharType="begin"/>
      </w:r>
      <w:r>
        <w:instrText xml:space="preserve"> HYPERLINK \l _Toc18914 </w:instrText>
      </w:r>
      <w:r>
        <w:fldChar w:fldCharType="separate"/>
      </w:r>
      <w:r>
        <w:rPr>
          <w:rFonts w:hint="eastAsia" w:ascii="宋体" w:hAnsi="宋体" w:cs="宋体"/>
        </w:rPr>
        <w:t>第五章 合同条款及格式（参考）</w:t>
      </w:r>
      <w:r>
        <w:tab/>
      </w:r>
      <w:r>
        <w:fldChar w:fldCharType="begin"/>
      </w:r>
      <w:r>
        <w:instrText xml:space="preserve"> PAGEREF _Toc18914 \h </w:instrText>
      </w:r>
      <w:r>
        <w:fldChar w:fldCharType="separate"/>
      </w:r>
      <w:r>
        <w:t>34</w:t>
      </w:r>
      <w:r>
        <w:fldChar w:fldCharType="end"/>
      </w:r>
      <w:r>
        <w:fldChar w:fldCharType="end"/>
      </w:r>
    </w:p>
    <w:p>
      <w:pPr>
        <w:pStyle w:val="19"/>
        <w:tabs>
          <w:tab w:val="right" w:leader="dot" w:pos="8306"/>
        </w:tabs>
      </w:pPr>
      <w:r>
        <w:fldChar w:fldCharType="begin"/>
      </w:r>
      <w:r>
        <w:instrText xml:space="preserve"> HYPERLINK \l _Toc5289 </w:instrText>
      </w:r>
      <w:r>
        <w:fldChar w:fldCharType="separate"/>
      </w:r>
      <w:r>
        <w:rPr>
          <w:rFonts w:ascii="宋体" w:hAnsi="宋体"/>
        </w:rPr>
        <w:t>第</w:t>
      </w:r>
      <w:r>
        <w:rPr>
          <w:rFonts w:hint="eastAsia" w:ascii="宋体" w:hAnsi="宋体"/>
        </w:rPr>
        <w:t>六</w:t>
      </w:r>
      <w:r>
        <w:rPr>
          <w:rFonts w:ascii="宋体" w:hAnsi="宋体"/>
        </w:rPr>
        <w:t>章</w:t>
      </w:r>
      <w:r>
        <w:rPr>
          <w:rFonts w:hint="eastAsia" w:ascii="宋体" w:hAnsi="宋体"/>
        </w:rPr>
        <w:t xml:space="preserve"> </w:t>
      </w:r>
      <w:r>
        <w:rPr>
          <w:rFonts w:hint="eastAsia" w:ascii="宋体" w:hAnsi="宋体" w:cs="宋体"/>
        </w:rPr>
        <w:t>投标文件格式</w:t>
      </w:r>
      <w:r>
        <w:tab/>
      </w:r>
      <w:r>
        <w:fldChar w:fldCharType="begin"/>
      </w:r>
      <w:r>
        <w:instrText xml:space="preserve"> PAGEREF _Toc5289 \h </w:instrText>
      </w:r>
      <w:r>
        <w:fldChar w:fldCharType="separate"/>
      </w:r>
      <w:r>
        <w:t>53</w:t>
      </w:r>
      <w:r>
        <w:fldChar w:fldCharType="end"/>
      </w:r>
      <w:r>
        <w:fldChar w:fldCharType="end"/>
      </w:r>
    </w:p>
    <w:p>
      <w:r>
        <w:fldChar w:fldCharType="end"/>
      </w:r>
    </w:p>
    <w:bookmarkEnd w:id="4"/>
    <w:bookmarkEnd w:id="5"/>
    <w:bookmarkEnd w:id="6"/>
    <w:p>
      <w:pPr>
        <w:pStyle w:val="2"/>
        <w:keepNext w:val="0"/>
        <w:keepLines w:val="0"/>
        <w:pageBreakBefore/>
        <w:spacing w:before="120" w:after="120" w:line="400" w:lineRule="exact"/>
        <w:jc w:val="center"/>
        <w:rPr>
          <w:rFonts w:ascii="宋体" w:hAnsi="宋体" w:cs="宋体"/>
        </w:rPr>
      </w:pPr>
      <w:bookmarkStart w:id="7" w:name="_Toc17477"/>
      <w:bookmarkStart w:id="8" w:name="_Toc13123"/>
      <w:bookmarkStart w:id="9" w:name="_Toc17314"/>
      <w:bookmarkStart w:id="10" w:name="_Toc26911"/>
      <w:bookmarkStart w:id="11" w:name="_Toc4403"/>
      <w:bookmarkStart w:id="12" w:name="_Toc152042303"/>
      <w:bookmarkStart w:id="13" w:name="_Toc247527551"/>
      <w:bookmarkStart w:id="14" w:name="_Toc11484"/>
      <w:bookmarkStart w:id="15" w:name="_Toc144974495"/>
      <w:bookmarkStart w:id="16" w:name="_Toc247513950"/>
      <w:bookmarkStart w:id="17" w:name="_Toc22544"/>
      <w:bookmarkStart w:id="18" w:name="_Toc152045527"/>
      <w:r>
        <w:rPr>
          <w:rFonts w:hint="eastAsia" w:ascii="宋体" w:hAnsi="宋体" w:cs="宋体"/>
        </w:rPr>
        <w:t>第一章 招标公告</w:t>
      </w:r>
      <w:bookmarkEnd w:id="7"/>
      <w:bookmarkEnd w:id="8"/>
    </w:p>
    <w:p>
      <w:pPr>
        <w:pStyle w:val="44"/>
        <w:jc w:val="center"/>
        <w:rPr>
          <w:rFonts w:ascii="宋体" w:hAnsi="宋体" w:cs="宋体"/>
          <w:b/>
          <w:sz w:val="24"/>
        </w:rPr>
      </w:pPr>
      <w:bookmarkStart w:id="19" w:name="_Toc9573"/>
      <w:bookmarkStart w:id="20" w:name="_Toc13133"/>
      <w:r>
        <w:rPr>
          <w:rFonts w:hint="eastAsia" w:ascii="宋体" w:hAnsi="宋体" w:eastAsia="宋体" w:cs="宋体"/>
          <w:b/>
          <w:color w:val="auto"/>
          <w:kern w:val="2"/>
          <w:sz w:val="24"/>
          <w:lang w:val="en-US" w:eastAsia="zh-CN" w:bidi="ar-SA"/>
        </w:rPr>
        <w:t>焦作市解放区超级云计算数字经济产业园项目监理</w:t>
      </w:r>
      <w:r>
        <w:rPr>
          <w:rFonts w:hint="eastAsia" w:ascii="宋体" w:hAnsi="宋体" w:cs="宋体"/>
          <w:b/>
          <w:sz w:val="24"/>
        </w:rPr>
        <w:t>招标公告（不见面开标）</w:t>
      </w:r>
      <w:bookmarkEnd w:id="19"/>
      <w:bookmarkEnd w:id="20"/>
    </w:p>
    <w:p>
      <w:pPr>
        <w:keepNext w:val="0"/>
        <w:keepLines w:val="0"/>
        <w:pageBreakBefore w:val="0"/>
        <w:widowControl w:val="0"/>
        <w:topLinePunct w:val="0"/>
        <w:autoSpaceDE/>
        <w:autoSpaceDN/>
        <w:bidi w:val="0"/>
        <w:adjustRightInd w:val="0"/>
        <w:snapToGrid w:val="0"/>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招标编号：</w:t>
      </w:r>
      <w:r>
        <w:rPr>
          <w:rFonts w:hint="eastAsia" w:ascii="宋体" w:hAnsi="宋体" w:cs="宋体"/>
          <w:sz w:val="24"/>
          <w:szCs w:val="24"/>
          <w:highlight w:val="none"/>
          <w:lang w:eastAsia="zh-CN"/>
        </w:rPr>
        <w:t>焦招[2024]</w:t>
      </w:r>
      <w:r>
        <w:rPr>
          <w:rFonts w:hint="eastAsia" w:ascii="宋体" w:hAnsi="宋体" w:cs="宋体"/>
          <w:sz w:val="24"/>
          <w:szCs w:val="24"/>
          <w:highlight w:val="none"/>
          <w:lang w:val="en-US" w:eastAsia="zh-CN"/>
        </w:rPr>
        <w:t xml:space="preserve">-017 </w:t>
      </w:r>
      <w:r>
        <w:rPr>
          <w:rFonts w:hint="eastAsia" w:ascii="宋体" w:hAnsi="宋体" w:cs="宋体"/>
          <w:sz w:val="24"/>
          <w:szCs w:val="24"/>
          <w:highlight w:val="none"/>
        </w:rPr>
        <w:t xml:space="preserve">         项目编号：</w:t>
      </w:r>
      <w:r>
        <w:rPr>
          <w:rFonts w:hint="default" w:ascii="宋体" w:hAnsi="宋体" w:cs="宋体"/>
          <w:sz w:val="24"/>
          <w:szCs w:val="24"/>
          <w:highlight w:val="none"/>
          <w:lang w:eastAsia="zh-CN"/>
        </w:rPr>
        <w:t>焦公资工程J2024-002</w:t>
      </w:r>
      <w:r>
        <w:rPr>
          <w:rFonts w:hint="eastAsia" w:ascii="宋体" w:hAnsi="宋体" w:cs="宋体"/>
          <w:sz w:val="24"/>
          <w:szCs w:val="24"/>
          <w:highlight w:val="none"/>
          <w:lang w:val="en-US" w:eastAsia="zh-CN"/>
        </w:rPr>
        <w:t xml:space="preserve"> </w:t>
      </w:r>
    </w:p>
    <w:p>
      <w:pPr>
        <w:keepNext w:val="0"/>
        <w:keepLines w:val="0"/>
        <w:pageBreakBefore w:val="0"/>
        <w:widowControl w:val="0"/>
        <w:topLinePunct w:val="0"/>
        <w:autoSpaceDE/>
        <w:autoSpaceDN/>
        <w:bidi w:val="0"/>
        <w:adjustRightInd w:val="0"/>
        <w:snapToGrid w:val="0"/>
        <w:spacing w:line="440" w:lineRule="exact"/>
        <w:textAlignment w:val="auto"/>
        <w:rPr>
          <w:rFonts w:ascii="宋体" w:hAnsi="宋体" w:cs="宋体"/>
          <w:sz w:val="24"/>
          <w:szCs w:val="24"/>
        </w:rPr>
      </w:pPr>
      <w:r>
        <w:rPr>
          <w:rFonts w:hint="eastAsia" w:ascii="宋体" w:hAnsi="宋体" w:cs="宋体"/>
          <w:b/>
          <w:kern w:val="0"/>
          <w:sz w:val="24"/>
          <w:szCs w:val="24"/>
        </w:rPr>
        <w:t>1、招标条件：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Cs/>
          <w:sz w:val="24"/>
          <w:szCs w:val="24"/>
          <w:highlight w:val="none"/>
        </w:rPr>
      </w:pPr>
      <w:r>
        <w:rPr>
          <w:rFonts w:hint="eastAsia" w:ascii="宋体" w:hAnsi="宋体" w:eastAsia="宋体" w:cs="宋体"/>
          <w:bCs/>
          <w:sz w:val="24"/>
          <w:szCs w:val="24"/>
        </w:rPr>
        <w:t>本招标项目</w:t>
      </w:r>
      <w:r>
        <w:rPr>
          <w:rFonts w:hint="eastAsia" w:ascii="宋体" w:hAnsi="宋体" w:eastAsia="宋体" w:cs="宋体"/>
          <w:bCs/>
          <w:color w:val="auto"/>
          <w:kern w:val="2"/>
          <w:sz w:val="24"/>
          <w:szCs w:val="24"/>
          <w:u w:val="single"/>
          <w:lang w:val="en-US" w:eastAsia="zh-CN" w:bidi="ar-SA"/>
        </w:rPr>
        <w:t>焦作市解放区超级云计算数字经济产业园项目监理</w:t>
      </w:r>
      <w:r>
        <w:rPr>
          <w:rFonts w:hint="eastAsia" w:ascii="宋体" w:hAnsi="宋体" w:eastAsia="宋体" w:cs="宋体"/>
          <w:bCs/>
          <w:color w:val="auto"/>
          <w:kern w:val="2"/>
          <w:sz w:val="24"/>
          <w:szCs w:val="24"/>
          <w:u w:val="none"/>
          <w:lang w:val="en-US" w:eastAsia="zh-CN" w:bidi="ar-SA"/>
        </w:rPr>
        <w:t>（项目名称）</w:t>
      </w:r>
      <w:r>
        <w:rPr>
          <w:rFonts w:hint="eastAsia" w:ascii="宋体" w:hAnsi="宋体" w:eastAsia="宋体" w:cs="宋体"/>
          <w:bCs/>
          <w:sz w:val="24"/>
          <w:szCs w:val="24"/>
          <w:u w:val="none"/>
          <w:lang w:eastAsia="zh-CN"/>
        </w:rPr>
        <w:t>已由</w:t>
      </w:r>
      <w:r>
        <w:rPr>
          <w:rFonts w:hint="eastAsia" w:ascii="宋体" w:hAnsi="宋体" w:eastAsia="宋体" w:cs="宋体"/>
          <w:bCs/>
          <w:sz w:val="24"/>
          <w:szCs w:val="24"/>
          <w:highlight w:val="none"/>
          <w:u w:val="single"/>
          <w:lang w:val="en-US" w:eastAsia="zh-CN"/>
        </w:rPr>
        <w:t>焦作市解放区发展和改革委员会</w:t>
      </w:r>
      <w:r>
        <w:rPr>
          <w:rFonts w:hint="eastAsia" w:ascii="宋体" w:hAnsi="宋体" w:eastAsia="宋体" w:cs="宋体"/>
          <w:bCs/>
          <w:sz w:val="24"/>
          <w:szCs w:val="24"/>
          <w:u w:val="none"/>
          <w:lang w:eastAsia="zh-CN"/>
        </w:rPr>
        <w:t>以备案号为</w:t>
      </w:r>
      <w:r>
        <w:rPr>
          <w:rFonts w:hint="eastAsia" w:ascii="宋体" w:hAnsi="宋体" w:eastAsia="宋体" w:cs="宋体"/>
          <w:bCs/>
          <w:color w:val="auto"/>
          <w:kern w:val="2"/>
          <w:sz w:val="24"/>
          <w:szCs w:val="24"/>
          <w:u w:val="single"/>
          <w:lang w:val="en-US" w:eastAsia="zh-CN" w:bidi="ar-SA"/>
        </w:rPr>
        <w:t>2304-410802-04-01-446027</w:t>
      </w:r>
      <w:r>
        <w:rPr>
          <w:rFonts w:hint="eastAsia" w:ascii="宋体" w:hAnsi="宋体" w:eastAsia="宋体" w:cs="宋体"/>
          <w:bCs/>
          <w:sz w:val="24"/>
          <w:szCs w:val="24"/>
          <w:u w:val="none"/>
          <w:lang w:eastAsia="zh-CN"/>
        </w:rPr>
        <w:t>批准</w:t>
      </w:r>
      <w:r>
        <w:rPr>
          <w:rFonts w:hint="eastAsia" w:ascii="宋体" w:hAnsi="宋体" w:eastAsia="宋体" w:cs="宋体"/>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Cs/>
          <w:sz w:val="24"/>
          <w:szCs w:val="24"/>
          <w:highlight w:val="none"/>
        </w:rPr>
        <w:t>项目业主为</w:t>
      </w:r>
      <w:r>
        <w:rPr>
          <w:rFonts w:hint="eastAsia" w:ascii="宋体" w:hAnsi="宋体" w:eastAsia="宋体" w:cs="宋体"/>
          <w:bCs/>
          <w:color w:val="auto"/>
          <w:kern w:val="2"/>
          <w:sz w:val="24"/>
          <w:szCs w:val="24"/>
          <w:u w:val="single"/>
          <w:lang w:val="en-US" w:eastAsia="zh-CN" w:bidi="ar-SA"/>
        </w:rPr>
        <w:t>焦作市解投产业园区建设发展有限公司</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建设资金为</w:t>
      </w:r>
      <w:r>
        <w:rPr>
          <w:rFonts w:hint="eastAsia" w:ascii="宋体" w:hAnsi="宋体" w:eastAsia="宋体" w:cs="宋体"/>
          <w:bCs/>
          <w:color w:val="auto"/>
          <w:kern w:val="2"/>
          <w:sz w:val="24"/>
          <w:szCs w:val="24"/>
          <w:u w:val="single"/>
          <w:lang w:val="en-US" w:eastAsia="zh-CN" w:bidi="ar-SA"/>
        </w:rPr>
        <w:t>自筹资金</w:t>
      </w:r>
      <w:r>
        <w:rPr>
          <w:rFonts w:hint="eastAsia" w:ascii="宋体" w:hAnsi="宋体" w:eastAsia="宋体" w:cs="宋体"/>
          <w:bCs/>
          <w:color w:val="auto"/>
          <w:kern w:val="2"/>
          <w:sz w:val="24"/>
          <w:szCs w:val="24"/>
          <w:u w:val="none"/>
          <w:lang w:val="en-US" w:eastAsia="zh-CN" w:bidi="ar-SA"/>
        </w:rPr>
        <w:t>，</w:t>
      </w:r>
      <w:r>
        <w:rPr>
          <w:rFonts w:hint="eastAsia" w:ascii="宋体" w:hAnsi="宋体" w:eastAsia="宋体" w:cs="宋体"/>
          <w:bCs/>
          <w:sz w:val="24"/>
          <w:szCs w:val="24"/>
          <w:highlight w:val="none"/>
        </w:rPr>
        <w:t>招标人为</w:t>
      </w:r>
      <w:r>
        <w:rPr>
          <w:rFonts w:hint="eastAsia" w:ascii="宋体" w:hAnsi="宋体" w:eastAsia="宋体" w:cs="宋体"/>
          <w:bCs/>
          <w:color w:val="auto"/>
          <w:kern w:val="2"/>
          <w:sz w:val="24"/>
          <w:szCs w:val="24"/>
          <w:u w:val="single"/>
          <w:lang w:val="en-US" w:eastAsia="zh-CN" w:bidi="ar-SA"/>
        </w:rPr>
        <w:t>焦作市解投产业园区建设发展有限公司</w:t>
      </w:r>
      <w:r>
        <w:rPr>
          <w:rFonts w:hint="eastAsia" w:ascii="宋体" w:hAnsi="宋体" w:eastAsia="宋体" w:cs="宋体"/>
          <w:bCs/>
          <w:sz w:val="24"/>
          <w:szCs w:val="24"/>
          <w:highlight w:val="none"/>
        </w:rPr>
        <w:t>。项目已具备招标条件，现对该项目的监理进行公开招标。</w:t>
      </w:r>
    </w:p>
    <w:p>
      <w:pPr>
        <w:keepNext w:val="0"/>
        <w:keepLines w:val="0"/>
        <w:widowControl/>
        <w:suppressLineNumbers w:val="0"/>
        <w:jc w:val="left"/>
        <w:rPr>
          <w:rFonts w:hint="eastAsia" w:ascii="宋体" w:hAnsi="宋体" w:cs="宋体"/>
          <w:bCs/>
          <w:sz w:val="24"/>
          <w:szCs w:val="24"/>
          <w:lang w:val="en-US" w:eastAsia="zh-CN"/>
        </w:rPr>
      </w:pPr>
      <w:r>
        <w:rPr>
          <w:rFonts w:hint="eastAsia" w:ascii="宋体" w:hAnsi="宋体" w:cs="宋体"/>
          <w:b/>
          <w:kern w:val="0"/>
          <w:sz w:val="24"/>
          <w:szCs w:val="24"/>
        </w:rPr>
        <w:t>2、项目概况与招标范围</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hint="default" w:ascii="宋体" w:hAnsi="宋体" w:cs="宋体"/>
          <w:bCs/>
          <w:sz w:val="24"/>
          <w:szCs w:val="24"/>
          <w:lang w:val="en-US" w:eastAsia="zh-CN"/>
        </w:rPr>
      </w:pPr>
      <w:r>
        <w:rPr>
          <w:rFonts w:hint="eastAsia" w:ascii="宋体" w:hAnsi="宋体" w:cs="宋体"/>
          <w:bCs/>
          <w:sz w:val="24"/>
          <w:szCs w:val="24"/>
          <w:lang w:val="en-US" w:eastAsia="zh-CN"/>
        </w:rPr>
        <w:t>2.1项目概况：总建筑面积55380.00㎡，其中地上建筑面积47380.00㎡（包含：软件研发中心面积19837.00㎡，超算中心数据机房面积20173.00㎡，软件研发中心面积7370㎡），地下建筑面积8000.00㎡。配套建设地上停车位，地下停车位，配置充电桩，非机动车位，及建设园区内部道路、广场硬化、给排水工程、电力工程、绿化工程等基础设施。</w:t>
      </w:r>
    </w:p>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80"/>
        <w:rPr>
          <w:rFonts w:hint="default" w:ascii="宋体" w:hAnsi="宋体" w:cs="宋体"/>
          <w:bCs/>
          <w:sz w:val="24"/>
          <w:szCs w:val="24"/>
          <w:lang w:val="en-US" w:eastAsia="zh-CN"/>
        </w:rPr>
      </w:pPr>
      <w:r>
        <w:rPr>
          <w:rFonts w:hint="eastAsia" w:ascii="宋体" w:hAnsi="宋体" w:cs="宋体"/>
          <w:bCs/>
          <w:sz w:val="24"/>
          <w:szCs w:val="24"/>
          <w:lang w:val="en-US" w:eastAsia="zh-CN"/>
        </w:rPr>
        <w:t>2.2项目总投</w:t>
      </w:r>
      <w:r>
        <w:rPr>
          <w:rFonts w:hint="eastAsia" w:ascii="宋体" w:hAnsi="宋体" w:eastAsia="宋体" w:cs="宋体"/>
          <w:bCs/>
          <w:kern w:val="2"/>
          <w:sz w:val="24"/>
          <w:szCs w:val="24"/>
          <w:lang w:val="en-US" w:eastAsia="zh-CN" w:bidi="ar-SA"/>
        </w:rPr>
        <w:t>资：21962万元。</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2.3建设地点：焦作市解放区牧野路与太行西路交叉口东；</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2.4招标范围：施工及缺陷责任期阶段的全过程监理工作。</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2.5标段划分：本项目共分一个标段。</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2.6服务期限：本项目施工期及缺陷责任期。</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2.7质量要求：合格，达到国家现行有关施工质量验收规范标准。</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3.投标人资格要求：</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3.1投标人在中华人民共和国境内注册，须具有独立法人资格及有效的企业法人营业执照。</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3.2投标人须具备建设行政主管部门颁发的房屋建筑工程专业监理</w:t>
      </w:r>
      <w:r>
        <w:rPr>
          <w:rFonts w:hint="eastAsia" w:ascii="宋体" w:hAnsi="宋体" w:cs="宋体"/>
          <w:bCs/>
          <w:color w:val="000000" w:themeColor="text1"/>
          <w:sz w:val="24"/>
          <w:szCs w:val="24"/>
          <w:lang w:eastAsia="zh-CN"/>
          <w14:textFill>
            <w14:solidFill>
              <w14:schemeClr w14:val="tx1"/>
            </w14:solidFill>
          </w14:textFill>
        </w:rPr>
        <w:t>甲</w:t>
      </w:r>
      <w:r>
        <w:rPr>
          <w:rFonts w:hint="eastAsia" w:ascii="宋体" w:hAnsi="宋体" w:cs="宋体"/>
          <w:bCs/>
          <w:color w:val="000000" w:themeColor="text1"/>
          <w:sz w:val="24"/>
          <w:szCs w:val="24"/>
          <w14:textFill>
            <w14:solidFill>
              <w14:schemeClr w14:val="tx1"/>
            </w14:solidFill>
          </w14:textFill>
        </w:rPr>
        <w:t>级及以上资质</w:t>
      </w:r>
      <w:r>
        <w:rPr>
          <w:rFonts w:hint="eastAsia" w:ascii="宋体" w:hAnsi="宋体" w:cs="宋体"/>
          <w:bCs/>
          <w:color w:val="000000" w:themeColor="text1"/>
          <w:sz w:val="24"/>
          <w:szCs w:val="24"/>
          <w:highlight w:val="none"/>
          <w14:textFill>
            <w14:solidFill>
              <w14:schemeClr w14:val="tx1"/>
            </w14:solidFill>
          </w14:textFill>
        </w:rPr>
        <w:t>。</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3.3投标人</w:t>
      </w:r>
      <w:r>
        <w:rPr>
          <w:rFonts w:hint="eastAsia" w:ascii="宋体" w:hAnsi="宋体" w:cs="宋体"/>
          <w:color w:val="000000" w:themeColor="text1"/>
          <w:sz w:val="24"/>
          <w:szCs w:val="24"/>
          <w:highlight w:val="none"/>
          <w14:textFill>
            <w14:solidFill>
              <w14:schemeClr w14:val="tx1"/>
            </w14:solidFill>
          </w14:textFill>
        </w:rPr>
        <w:t>拟派项目总监须具备房屋建筑工程专业国家注册监理工程师执业资格，</w:t>
      </w:r>
      <w:r>
        <w:rPr>
          <w:rFonts w:hint="eastAsia" w:ascii="宋体" w:hAnsi="宋体" w:cs="宋体"/>
          <w:color w:val="000000" w:themeColor="text1"/>
          <w:sz w:val="24"/>
          <w:szCs w:val="24"/>
          <w:highlight w:val="none"/>
          <w:lang w:eastAsia="zh-CN"/>
          <w14:textFill>
            <w14:solidFill>
              <w14:schemeClr w14:val="tx1"/>
            </w14:solidFill>
          </w14:textFill>
        </w:rPr>
        <w:t>需提供本单位劳动关系证明</w:t>
      </w:r>
      <w:r>
        <w:rPr>
          <w:rFonts w:hint="eastAsia" w:ascii="宋体" w:hAnsi="宋体" w:cs="宋体"/>
          <w:color w:val="000000" w:themeColor="text1"/>
          <w:sz w:val="24"/>
          <w:szCs w:val="24"/>
          <w:highlight w:val="none"/>
          <w14:textFill>
            <w14:solidFill>
              <w14:schemeClr w14:val="tx1"/>
            </w14:solidFill>
          </w14:textFill>
        </w:rPr>
        <w:t>。本项目实行项目总监实名制，建设工期内项目总监必须保证在本工程开展工作，原则上</w:t>
      </w:r>
      <w:r>
        <w:rPr>
          <w:rFonts w:hint="eastAsia" w:ascii="宋体" w:hAnsi="宋体" w:cs="宋体"/>
          <w:color w:val="000000" w:themeColor="text1"/>
          <w:sz w:val="24"/>
          <w:szCs w:val="24"/>
          <w14:textFill>
            <w14:solidFill>
              <w14:schemeClr w14:val="tx1"/>
            </w14:solidFill>
          </w14:textFill>
        </w:rPr>
        <w:t>不允许变更；</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3.4业绩要求：自202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年1月1日以来至少具有一项投资额在</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lang w:eastAsia="zh-CN"/>
          <w14:textFill>
            <w14:solidFill>
              <w14:schemeClr w14:val="tx1"/>
            </w14:solidFill>
          </w14:textFill>
        </w:rPr>
        <w:t>亿元</w:t>
      </w:r>
      <w:r>
        <w:rPr>
          <w:rFonts w:hint="eastAsia" w:ascii="宋体" w:hAnsi="宋体" w:cs="宋体"/>
          <w:color w:val="000000" w:themeColor="text1"/>
          <w:sz w:val="24"/>
          <w:szCs w:val="24"/>
          <w:highlight w:val="none"/>
          <w:lang w:val="en-US" w:eastAsia="zh-CN"/>
          <w14:textFill>
            <w14:solidFill>
              <w14:schemeClr w14:val="tx1"/>
            </w14:solidFill>
          </w14:textFill>
        </w:rPr>
        <w:t>及以上</w:t>
      </w:r>
      <w:r>
        <w:rPr>
          <w:rFonts w:hint="eastAsia" w:ascii="宋体" w:hAnsi="宋体" w:cs="宋体"/>
          <w:color w:val="000000" w:themeColor="text1"/>
          <w:sz w:val="24"/>
          <w:szCs w:val="24"/>
          <w:highlight w:val="none"/>
          <w14:textFill>
            <w14:solidFill>
              <w14:schemeClr w14:val="tx1"/>
            </w14:solidFill>
          </w14:textFill>
        </w:rPr>
        <w:t>或者建筑面积在</w:t>
      </w:r>
      <w:r>
        <w:rPr>
          <w:rFonts w:hint="eastAsia" w:ascii="宋体" w:hAnsi="宋体" w:cs="宋体"/>
          <w:color w:val="000000" w:themeColor="text1"/>
          <w:sz w:val="24"/>
          <w:szCs w:val="24"/>
          <w:highlight w:val="none"/>
          <w:lang w:val="en-US" w:eastAsia="zh-CN"/>
          <w14:textFill>
            <w14:solidFill>
              <w14:schemeClr w14:val="tx1"/>
            </w14:solidFill>
          </w14:textFill>
        </w:rPr>
        <w:t>3.8</w:t>
      </w:r>
      <w:r>
        <w:rPr>
          <w:rFonts w:hint="eastAsia" w:ascii="宋体" w:hAnsi="宋体" w:cs="宋体"/>
          <w:color w:val="000000" w:themeColor="text1"/>
          <w:sz w:val="24"/>
          <w:szCs w:val="24"/>
          <w:highlight w:val="none"/>
          <w14:textFill>
            <w14:solidFill>
              <w14:schemeClr w14:val="tx1"/>
            </w14:solidFill>
          </w14:textFill>
        </w:rPr>
        <w:t>万平方米</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cs="宋体"/>
          <w:color w:val="000000" w:themeColor="text1"/>
          <w:sz w:val="24"/>
          <w:szCs w:val="24"/>
          <w:highlight w:val="none"/>
          <w14:textFill>
            <w14:solidFill>
              <w14:schemeClr w14:val="tx1"/>
            </w14:solidFill>
          </w14:textFill>
        </w:rPr>
        <w:t>以上的</w:t>
      </w:r>
      <w:r>
        <w:rPr>
          <w:rFonts w:hint="eastAsia" w:ascii="宋体" w:hAnsi="宋体" w:cs="宋体"/>
          <w:color w:val="000000" w:themeColor="text1"/>
          <w:sz w:val="24"/>
          <w:szCs w:val="24"/>
          <w:highlight w:val="none"/>
          <w:lang w:eastAsia="zh-CN"/>
          <w14:textFill>
            <w14:solidFill>
              <w14:schemeClr w14:val="tx1"/>
            </w14:solidFill>
          </w14:textFill>
        </w:rPr>
        <w:t>类似</w:t>
      </w:r>
      <w:r>
        <w:rPr>
          <w:rFonts w:hint="eastAsia" w:ascii="宋体" w:hAnsi="宋体" w:cs="宋体"/>
          <w:color w:val="000000" w:themeColor="text1"/>
          <w:sz w:val="24"/>
          <w:szCs w:val="24"/>
          <w:highlight w:val="none"/>
          <w14:textFill>
            <w14:solidFill>
              <w14:schemeClr w14:val="tx1"/>
            </w14:solidFill>
          </w14:textFill>
        </w:rPr>
        <w:t>业绩（以合同签订日期为准，需提供中标通知书、合同协议书原件扫描件）。</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3.5财务要求：近三年（20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年、202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年度、202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年度）财务状况良好，提供近三年财务审计报告</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（企业成立不足三年的，从成立年份开始提供向后推算，成立不足一年的企业</w:t>
      </w:r>
      <w:r>
        <w:rPr>
          <w:rFonts w:hint="eastAsia" w:ascii="宋体" w:hAnsi="宋体" w:cs="宋体"/>
          <w:color w:val="000000" w:themeColor="text1"/>
          <w:sz w:val="24"/>
          <w:szCs w:val="24"/>
          <w14:textFill>
            <w14:solidFill>
              <w14:schemeClr w14:val="tx1"/>
            </w14:solidFill>
          </w14:textFill>
        </w:rPr>
        <w:t>无需提供财务审计报告，仅提供单位财务报表即可）</w:t>
      </w:r>
      <w:r>
        <w:rPr>
          <w:rFonts w:hint="eastAsia" w:ascii="宋体" w:hAnsi="宋体" w:cs="宋体"/>
          <w:bCs/>
          <w:color w:val="000000" w:themeColor="text1"/>
          <w:sz w:val="24"/>
          <w:szCs w:val="24"/>
          <w14:textFill>
            <w14:solidFill>
              <w14:schemeClr w14:val="tx1"/>
            </w14:solidFill>
          </w14:textFill>
        </w:rPr>
        <w:t>。</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hint="eastAsia" w:ascii="宋体" w:hAnsi="宋体" w:cs="宋体"/>
          <w:bCs/>
          <w:sz w:val="24"/>
          <w:szCs w:val="24"/>
          <w:highlight w:val="none"/>
        </w:rPr>
      </w:pPr>
      <w:r>
        <w:rPr>
          <w:rFonts w:hint="eastAsia" w:ascii="宋体" w:hAnsi="宋体" w:cs="宋体"/>
          <w:bCs/>
          <w:color w:val="000000" w:themeColor="text1"/>
          <w:sz w:val="24"/>
          <w:szCs w:val="24"/>
          <w:highlight w:val="none"/>
          <w14:textFill>
            <w14:solidFill>
              <w14:schemeClr w14:val="tx1"/>
            </w14:solidFill>
          </w14:textFill>
        </w:rPr>
        <w:t>3.6信誉要求：执行《关于</w:t>
      </w:r>
      <w:r>
        <w:rPr>
          <w:rFonts w:hint="eastAsia" w:ascii="宋体" w:hAnsi="宋体" w:cs="宋体"/>
          <w:bCs/>
          <w:sz w:val="24"/>
          <w:szCs w:val="24"/>
          <w:highlight w:val="none"/>
        </w:rPr>
        <w:t>在招标投标活动中对失信被执行人实施联合惩戒的通知》法（2016）285 号文件：通过“信用中国”网站（www.creditchina.gov.cn）及中国政府采购网（www.ccgp.gov.cn）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投标单位需提供网站查询截图，加盖企业公章，查询日期为招标公告发布之日起至投标文件递交截止日前)；</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3.7本次招标不接受联合体投标。</w:t>
      </w:r>
    </w:p>
    <w:p>
      <w:pPr>
        <w:keepNext w:val="0"/>
        <w:keepLines w:val="0"/>
        <w:pageBreakBefore w:val="0"/>
        <w:widowControl w:val="0"/>
        <w:topLinePunct w:val="0"/>
        <w:autoSpaceDE/>
        <w:autoSpaceDN/>
        <w:bidi w:val="0"/>
        <w:snapToGrid w:val="0"/>
        <w:spacing w:line="440" w:lineRule="exact"/>
        <w:ind w:firstLine="482" w:firstLineChars="200"/>
        <w:textAlignment w:val="auto"/>
        <w:rPr>
          <w:rFonts w:ascii="宋体" w:hAnsi="宋体" w:cs="宋体"/>
          <w:b/>
          <w:bCs/>
          <w:sz w:val="24"/>
          <w:szCs w:val="24"/>
        </w:rPr>
      </w:pPr>
      <w:r>
        <w:rPr>
          <w:rFonts w:hint="eastAsia" w:ascii="宋体" w:hAnsi="宋体" w:cs="宋体"/>
          <w:b/>
          <w:bCs/>
          <w:sz w:val="24"/>
          <w:szCs w:val="24"/>
        </w:rPr>
        <w:t>注：单位负责人为同一人或者存在直接控股、管理关系的不同单位，不得同时对该项目进行投标。</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color w:val="0000FF"/>
          <w:sz w:val="24"/>
          <w:szCs w:val="24"/>
        </w:rPr>
      </w:pPr>
      <w:r>
        <w:rPr>
          <w:rFonts w:hint="eastAsia" w:ascii="宋体" w:hAnsi="宋体" w:cs="宋体"/>
          <w:b/>
          <w:sz w:val="24"/>
          <w:szCs w:val="24"/>
        </w:rPr>
        <w:t>4.招标文件获取：</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hint="eastAsia" w:ascii="宋体" w:hAnsi="宋体" w:cs="宋体"/>
          <w:bCs/>
          <w:sz w:val="24"/>
          <w:szCs w:val="24"/>
        </w:rPr>
      </w:pPr>
      <w:r>
        <w:rPr>
          <w:rFonts w:hint="eastAsia" w:ascii="宋体" w:hAnsi="宋体" w:cs="宋体"/>
          <w:bCs/>
          <w:sz w:val="24"/>
          <w:szCs w:val="24"/>
        </w:rPr>
        <w:t>4.1网上获取：本项目招标文件采用网上下载，凡有意参加投标者，请登录“焦作市公共资源交易平台（http://ggzy.jiaozuo.gov.cn/TPBidder/memberLogin）-招标公告-文件下载，进行招标文件下载”。</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bCs/>
          <w:color w:val="auto"/>
          <w:sz w:val="24"/>
          <w:szCs w:val="24"/>
          <w:highlight w:val="none"/>
        </w:rPr>
      </w:pPr>
      <w:r>
        <w:rPr>
          <w:rFonts w:hint="eastAsia" w:ascii="宋体" w:hAnsi="宋体" w:cs="宋体"/>
          <w:bCs/>
          <w:sz w:val="24"/>
          <w:szCs w:val="24"/>
          <w:highlight w:val="none"/>
        </w:rPr>
        <w:t>4.2招标文件获取</w:t>
      </w:r>
      <w:r>
        <w:rPr>
          <w:rFonts w:hint="eastAsia" w:ascii="宋体" w:hAnsi="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4</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 xml:space="preserve"> 10 </w:t>
      </w:r>
      <w:r>
        <w:rPr>
          <w:rFonts w:hint="eastAsia" w:ascii="宋体" w:hAnsi="宋体" w:cs="宋体"/>
          <w:bCs/>
          <w:color w:val="auto"/>
          <w:sz w:val="24"/>
          <w:szCs w:val="24"/>
          <w:highlight w:val="none"/>
        </w:rPr>
        <w:t>日—202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16</w:t>
      </w:r>
      <w:r>
        <w:rPr>
          <w:rFonts w:hint="eastAsia" w:ascii="宋体" w:hAnsi="宋体" w:cs="宋体"/>
          <w:bCs/>
          <w:color w:val="auto"/>
          <w:sz w:val="24"/>
          <w:szCs w:val="24"/>
          <w:highlight w:val="none"/>
        </w:rPr>
        <w:t>日。</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4.3</w:t>
      </w:r>
      <w:r>
        <w:rPr>
          <w:rFonts w:hint="eastAsia" w:ascii="宋体" w:hAnsi="宋体" w:cs="宋体"/>
          <w:bCs/>
          <w:sz w:val="24"/>
          <w:szCs w:val="24"/>
          <w:highlight w:val="none"/>
        </w:rPr>
        <w:t>凡未在规定时间内</w:t>
      </w:r>
      <w:r>
        <w:rPr>
          <w:rFonts w:hint="eastAsia" w:cs="宋体"/>
          <w:bCs/>
          <w:sz w:val="24"/>
          <w:szCs w:val="24"/>
          <w:highlight w:val="none"/>
          <w:lang w:eastAsia="zh-CN"/>
        </w:rPr>
        <w:t>完成下载</w:t>
      </w:r>
      <w:r>
        <w:rPr>
          <w:rFonts w:hint="eastAsia" w:ascii="宋体" w:hAnsi="宋体" w:cs="宋体"/>
          <w:bCs/>
          <w:sz w:val="24"/>
          <w:szCs w:val="24"/>
          <w:highlight w:val="none"/>
        </w:rPr>
        <w:t>招标文件者视为无效标</w:t>
      </w:r>
      <w:r>
        <w:rPr>
          <w:rFonts w:hint="eastAsia" w:ascii="宋体" w:hAnsi="宋体" w:cs="宋体"/>
          <w:bCs/>
          <w:sz w:val="24"/>
          <w:szCs w:val="24"/>
        </w:rPr>
        <w:t>。</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4.4请投标人时刻关注焦作市公共资源交易信息网和公司CA密钥推送消息。</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Cs/>
          <w:sz w:val="24"/>
          <w:szCs w:val="24"/>
        </w:rPr>
      </w:pPr>
      <w:r>
        <w:rPr>
          <w:rFonts w:hint="eastAsia" w:ascii="宋体" w:hAnsi="宋体" w:cs="宋体"/>
          <w:b/>
          <w:sz w:val="24"/>
          <w:szCs w:val="24"/>
        </w:rPr>
        <w:t>5. 资格审查方法</w:t>
      </w:r>
      <w:r>
        <w:rPr>
          <w:rFonts w:hint="eastAsia" w:ascii="宋体" w:hAnsi="宋体" w:cs="宋体"/>
          <w:bCs/>
          <w:sz w:val="24"/>
          <w:szCs w:val="24"/>
        </w:rPr>
        <w:t>：本次招标采用资格后审。</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6. 本项目采用电子开评标</w:t>
      </w:r>
    </w:p>
    <w:p>
      <w:pPr>
        <w:keepNext w:val="0"/>
        <w:keepLines w:val="0"/>
        <w:pageBreakBefore w:val="0"/>
        <w:widowControl w:val="0"/>
        <w:topLinePunct w:val="0"/>
        <w:autoSpaceDE/>
        <w:autoSpaceDN/>
        <w:bidi w:val="0"/>
        <w:adjustRightInd w:val="0"/>
        <w:snapToGrid w:val="0"/>
        <w:spacing w:line="440" w:lineRule="exact"/>
        <w:ind w:firstLine="480" w:firstLineChars="200"/>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特别提醒：本项目采用远程不见面开标和全程电子评标方式，潜在投标人可</w:t>
      </w:r>
      <w:r>
        <w:rPr>
          <w:rFonts w:hint="eastAsia" w:ascii="宋体" w:hAnsi="宋体" w:cs="宋体"/>
          <w:bCs/>
          <w:sz w:val="24"/>
          <w:szCs w:val="24"/>
          <w:highlight w:val="none"/>
          <w:lang w:eastAsia="zh-CN"/>
        </w:rPr>
        <w:t>在</w:t>
      </w:r>
      <w:r>
        <w:rPr>
          <w:rFonts w:hint="eastAsia" w:ascii="宋体" w:hAnsi="宋体" w:cs="宋体"/>
          <w:bCs/>
          <w:sz w:val="24"/>
          <w:szCs w:val="24"/>
          <w:highlight w:val="none"/>
        </w:rPr>
        <w:t>焦作市公共资源交易中心新网站“公共服务”—— “下载专区”栏目下载《投标单位操作手册及视频》和投标文件制作软件等，查看操作说明，按要求进行投标文件制作和上传等。为避免网络拥堵等不可控因素影响投标文件的上传</w:t>
      </w:r>
      <w:r>
        <w:rPr>
          <w:rFonts w:hint="eastAsia" w:ascii="宋体" w:hAnsi="宋体" w:cs="宋体"/>
          <w:bCs/>
          <w:sz w:val="24"/>
          <w:szCs w:val="24"/>
          <w:highlight w:val="none"/>
          <w:lang w:eastAsia="zh-CN"/>
        </w:rPr>
        <w:t>，</w:t>
      </w:r>
      <w:r>
        <w:rPr>
          <w:rFonts w:hint="eastAsia" w:ascii="宋体" w:hAnsi="宋体" w:cs="宋体"/>
          <w:bCs/>
          <w:sz w:val="24"/>
          <w:szCs w:val="24"/>
          <w:highlight w:val="none"/>
        </w:rPr>
        <w:t>请提前上传投标文件，并在开标截止时间前登录不见面开标大厅进行签到，按要求解密投标文件。投标文件的递交方式详见招标文件前附表4.2.2。因文件未及时上传导致投标失败的责任由投标人自行承担。</w:t>
      </w:r>
    </w:p>
    <w:p>
      <w:pPr>
        <w:keepNext w:val="0"/>
        <w:keepLines w:val="0"/>
        <w:pageBreakBefore w:val="0"/>
        <w:widowControl w:val="0"/>
        <w:topLinePunct w:val="0"/>
        <w:autoSpaceDE/>
        <w:autoSpaceDN/>
        <w:bidi w:val="0"/>
        <w:adjustRightInd w:val="0"/>
        <w:snapToGrid w:val="0"/>
        <w:spacing w:line="440" w:lineRule="exact"/>
        <w:ind w:firstLine="482" w:firstLineChars="200"/>
        <w:jc w:val="left"/>
        <w:textAlignment w:val="auto"/>
        <w:rPr>
          <w:rFonts w:hint="eastAsia" w:ascii="宋体" w:hAnsi="宋体" w:cs="宋体"/>
          <w:b/>
          <w:bCs w:val="0"/>
          <w:sz w:val="24"/>
          <w:szCs w:val="24"/>
          <w:highlight w:val="none"/>
        </w:rPr>
      </w:pPr>
      <w:r>
        <w:rPr>
          <w:rFonts w:hint="eastAsia" w:ascii="宋体" w:hAnsi="宋体" w:cs="宋体"/>
          <w:b/>
          <w:bCs w:val="0"/>
          <w:sz w:val="24"/>
          <w:szCs w:val="24"/>
          <w:highlight w:val="none"/>
        </w:rPr>
        <w:t>技术支持请联系：平台统一技术服务电话为：400-998-0000</w:t>
      </w:r>
    </w:p>
    <w:p>
      <w:pPr>
        <w:keepNext w:val="0"/>
        <w:keepLines w:val="0"/>
        <w:pageBreakBefore w:val="0"/>
        <w:widowControl w:val="0"/>
        <w:topLinePunct w:val="0"/>
        <w:autoSpaceDE/>
        <w:autoSpaceDN/>
        <w:bidi w:val="0"/>
        <w:adjustRightInd w:val="0"/>
        <w:snapToGrid w:val="0"/>
        <w:spacing w:line="440" w:lineRule="exact"/>
        <w:ind w:firstLine="482" w:firstLineChars="200"/>
        <w:jc w:val="left"/>
        <w:textAlignment w:val="auto"/>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清单造价技术问题请联系：刘工：13721426615</w:t>
      </w:r>
    </w:p>
    <w:p>
      <w:pPr>
        <w:keepNext w:val="0"/>
        <w:keepLines w:val="0"/>
        <w:pageBreakBefore w:val="0"/>
        <w:widowControl w:val="0"/>
        <w:topLinePunct w:val="0"/>
        <w:autoSpaceDE/>
        <w:autoSpaceDN/>
        <w:bidi w:val="0"/>
        <w:adjustRightInd w:val="0"/>
        <w:snapToGrid w:val="0"/>
        <w:spacing w:line="440" w:lineRule="exact"/>
        <w:ind w:firstLine="482" w:firstLineChars="200"/>
        <w:jc w:val="left"/>
        <w:textAlignment w:val="auto"/>
        <w:rPr>
          <w:rFonts w:hint="eastAsia" w:ascii="宋体" w:hAnsi="宋体" w:cs="宋体"/>
          <w:b/>
          <w:bCs w:val="0"/>
          <w:sz w:val="24"/>
          <w:szCs w:val="24"/>
          <w:highlight w:val="none"/>
        </w:rPr>
      </w:pPr>
      <w:r>
        <w:rPr>
          <w:rFonts w:hint="eastAsia" w:ascii="宋体" w:hAnsi="宋体" w:cs="宋体"/>
          <w:b/>
          <w:bCs w:val="0"/>
          <w:sz w:val="24"/>
          <w:szCs w:val="24"/>
          <w:highlight w:val="none"/>
        </w:rPr>
        <w:t>服务时间：周一至周日8：00-17：30</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7.投标文件的递交</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7.1投标文件递交的截</w:t>
      </w:r>
      <w:r>
        <w:rPr>
          <w:rFonts w:hint="eastAsia" w:ascii="宋体" w:hAnsi="宋体" w:cs="宋体"/>
          <w:bCs/>
          <w:color w:val="auto"/>
          <w:sz w:val="24"/>
          <w:szCs w:val="24"/>
        </w:rPr>
        <w:t>止时间为</w:t>
      </w:r>
      <w:r>
        <w:rPr>
          <w:rFonts w:hint="eastAsia" w:ascii="宋体" w:hAnsi="宋体" w:cs="宋体"/>
          <w:bCs/>
          <w:color w:val="auto"/>
          <w:sz w:val="24"/>
          <w:szCs w:val="24"/>
          <w:highlight w:val="none"/>
        </w:rPr>
        <w:t>202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日9</w:t>
      </w:r>
      <w:r>
        <w:rPr>
          <w:rFonts w:hint="eastAsia" w:ascii="宋体" w:hAnsi="宋体" w:cs="宋体"/>
          <w:bCs/>
          <w:color w:val="000000" w:themeColor="text1"/>
          <w:sz w:val="24"/>
          <w:szCs w:val="24"/>
          <w:highlight w:val="none"/>
          <w14:textFill>
            <w14:solidFill>
              <w14:schemeClr w14:val="tx1"/>
            </w14:solidFill>
          </w14:textFill>
        </w:rPr>
        <w:t>时00分</w:t>
      </w:r>
      <w:r>
        <w:rPr>
          <w:rFonts w:hint="eastAsia" w:ascii="宋体" w:hAnsi="宋体" w:cs="宋体"/>
          <w:bCs/>
          <w:color w:val="000000" w:themeColor="text1"/>
          <w:sz w:val="24"/>
          <w:szCs w:val="24"/>
          <w14:textFill>
            <w14:solidFill>
              <w14:schemeClr w14:val="tx1"/>
            </w14:solidFill>
          </w14:textFill>
        </w:rPr>
        <w:t>，提</w:t>
      </w:r>
      <w:r>
        <w:rPr>
          <w:rFonts w:hint="eastAsia" w:ascii="宋体" w:hAnsi="宋体" w:cs="宋体"/>
          <w:bCs/>
          <w:sz w:val="24"/>
          <w:szCs w:val="24"/>
        </w:rPr>
        <w:t>交方式：网上提交。</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7.2逾期上传或者未按要求解密投标文件，招标人不予受理。</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8. 开标时间</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8.1开标时</w:t>
      </w:r>
      <w:r>
        <w:rPr>
          <w:rFonts w:hint="eastAsia" w:ascii="宋体" w:hAnsi="宋体" w:cs="宋体"/>
          <w:bCs/>
          <w:color w:val="auto"/>
          <w:sz w:val="24"/>
          <w:szCs w:val="24"/>
        </w:rPr>
        <w:t>间为202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日9时 00分</w:t>
      </w:r>
      <w:r>
        <w:rPr>
          <w:rFonts w:hint="eastAsia" w:ascii="宋体" w:hAnsi="宋体" w:cs="宋体"/>
          <w:bCs/>
          <w:color w:val="auto"/>
          <w:sz w:val="24"/>
          <w:szCs w:val="24"/>
        </w:rPr>
        <w:t>。</w:t>
      </w:r>
      <w:r>
        <w:rPr>
          <w:rFonts w:hint="eastAsia" w:ascii="宋体" w:hAnsi="宋体" w:cs="宋体"/>
          <w:bCs/>
          <w:color w:val="auto"/>
          <w:sz w:val="24"/>
          <w:szCs w:val="24"/>
          <w:highlight w:val="none"/>
        </w:rPr>
        <w:t>现场开标地点为焦作市人民路889号阳光大厦B座公共资源交易中心</w:t>
      </w:r>
      <w:r>
        <w:rPr>
          <w:rFonts w:hint="eastAsia" w:ascii="宋体" w:hAnsi="宋体" w:cs="宋体"/>
          <w:bCs/>
          <w:color w:val="auto"/>
          <w:sz w:val="24"/>
          <w:szCs w:val="24"/>
          <w:highlight w:val="none"/>
          <w:lang w:eastAsia="zh-CN"/>
        </w:rPr>
        <w:t>第</w:t>
      </w: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rPr>
        <w:t>开标</w:t>
      </w:r>
      <w:r>
        <w:rPr>
          <w:rFonts w:hint="eastAsia" w:ascii="宋体" w:hAnsi="宋体" w:cs="宋体"/>
          <w:bCs/>
          <w:color w:val="auto"/>
          <w:sz w:val="24"/>
          <w:szCs w:val="24"/>
          <w:highlight w:val="none"/>
          <w:lang w:val="en-US" w:eastAsia="zh-CN"/>
        </w:rPr>
        <w:t>室3</w:t>
      </w:r>
      <w:r>
        <w:rPr>
          <w:rFonts w:hint="eastAsia" w:ascii="宋体" w:hAnsi="宋体" w:cs="宋体"/>
          <w:bCs/>
          <w:color w:val="auto"/>
          <w:sz w:val="24"/>
          <w:szCs w:val="24"/>
          <w:highlight w:val="none"/>
        </w:rPr>
        <w:t>号机。</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8.2中标结果请登陆发布本招标公告的媒介查看中标结果公示栏，中标结果不再另行通知。</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9．发布公告的媒介</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本招标公告同时在</w:t>
      </w:r>
      <w:r>
        <w:rPr>
          <w:rFonts w:hint="eastAsia" w:ascii="宋体" w:hAnsi="宋体" w:eastAsia="宋体" w:cs="宋体"/>
          <w:sz w:val="24"/>
          <w:szCs w:val="24"/>
          <w:lang w:eastAsia="zh-CN"/>
        </w:rPr>
        <w:t>《</w:t>
      </w:r>
      <w:r>
        <w:rPr>
          <w:rFonts w:hint="eastAsia" w:ascii="宋体" w:hAnsi="宋体" w:eastAsia="宋体" w:cs="宋体"/>
          <w:sz w:val="24"/>
          <w:szCs w:val="24"/>
        </w:rPr>
        <w:t>河南省电子招标投标公共服务平台</w:t>
      </w:r>
      <w:r>
        <w:rPr>
          <w:rFonts w:hint="eastAsia" w:ascii="宋体" w:hAnsi="宋体" w:eastAsia="宋体" w:cs="宋体"/>
          <w:sz w:val="24"/>
          <w:szCs w:val="24"/>
          <w:lang w:eastAsia="zh-CN"/>
        </w:rPr>
        <w:t>》《</w:t>
      </w:r>
      <w:r>
        <w:rPr>
          <w:rFonts w:hint="eastAsia" w:ascii="宋体" w:hAnsi="宋体" w:eastAsia="宋体" w:cs="宋体"/>
          <w:sz w:val="24"/>
          <w:szCs w:val="24"/>
        </w:rPr>
        <w:t>焦作市公共资源交易中心网</w:t>
      </w:r>
      <w:r>
        <w:rPr>
          <w:rFonts w:hint="eastAsia" w:ascii="宋体" w:hAnsi="宋体" w:eastAsia="宋体" w:cs="宋体"/>
          <w:sz w:val="24"/>
          <w:szCs w:val="24"/>
          <w:lang w:eastAsia="zh-CN"/>
        </w:rPr>
        <w:t>》</w:t>
      </w:r>
      <w:r>
        <w:rPr>
          <w:rFonts w:hint="eastAsia" w:ascii="宋体" w:hAnsi="宋体" w:cs="宋体"/>
          <w:bCs/>
          <w:sz w:val="24"/>
          <w:szCs w:val="24"/>
        </w:rPr>
        <w:t>上发布。</w:t>
      </w:r>
    </w:p>
    <w:p>
      <w:pPr>
        <w:keepNext w:val="0"/>
        <w:keepLines w:val="0"/>
        <w:pageBreakBefore w:val="0"/>
        <w:widowControl w:val="0"/>
        <w:topLinePunct w:val="0"/>
        <w:autoSpaceDE/>
        <w:autoSpaceDN/>
        <w:bidi w:val="0"/>
        <w:adjustRightInd w:val="0"/>
        <w:snapToGrid w:val="0"/>
        <w:spacing w:line="440" w:lineRule="exact"/>
        <w:ind w:firstLine="422"/>
        <w:jc w:val="left"/>
        <w:textAlignment w:val="auto"/>
        <w:rPr>
          <w:rFonts w:ascii="宋体" w:hAnsi="宋体" w:cs="宋体"/>
          <w:bCs/>
          <w:sz w:val="24"/>
          <w:szCs w:val="24"/>
        </w:rPr>
      </w:pPr>
      <w:r>
        <w:rPr>
          <w:rFonts w:hint="eastAsia" w:ascii="宋体" w:hAnsi="宋体" w:cs="宋体"/>
          <w:bCs/>
          <w:sz w:val="24"/>
          <w:szCs w:val="24"/>
        </w:rPr>
        <w:t>（注：本项目所有变更、补充通知、答疑等均在以上网站发布，不再另行通知）</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10. 联系方式</w:t>
      </w:r>
    </w:p>
    <w:p>
      <w:pPr>
        <w:keepNext w:val="0"/>
        <w:keepLines w:val="0"/>
        <w:widowControl/>
        <w:suppressLineNumbers w:val="0"/>
        <w:ind w:firstLine="240" w:firstLineChars="100"/>
        <w:jc w:val="left"/>
        <w:rPr>
          <w:rFonts w:hint="eastAsia" w:ascii="宋体" w:hAnsi="宋体" w:eastAsia="宋体" w:cs="宋体"/>
          <w:bCs/>
          <w:sz w:val="24"/>
          <w:szCs w:val="24"/>
          <w:lang w:eastAsia="zh-CN"/>
        </w:rPr>
      </w:pPr>
      <w:r>
        <w:rPr>
          <w:rFonts w:hint="eastAsia" w:ascii="宋体" w:hAnsi="宋体" w:cs="宋体"/>
          <w:bCs/>
          <w:sz w:val="24"/>
          <w:szCs w:val="24"/>
        </w:rPr>
        <w:t>招标人：</w:t>
      </w:r>
      <w:r>
        <w:rPr>
          <w:rFonts w:hint="eastAsia" w:ascii="宋体" w:hAnsi="宋体" w:eastAsia="宋体" w:cs="宋体"/>
          <w:bCs/>
          <w:sz w:val="24"/>
          <w:szCs w:val="24"/>
          <w:lang w:val="en-US" w:eastAsia="zh-CN"/>
        </w:rPr>
        <w:t xml:space="preserve">焦作市解投产业园区建设发展有限公司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cs="宋体"/>
          <w:sz w:val="24"/>
          <w:szCs w:val="24"/>
          <w:lang w:eastAsia="zh-CN"/>
        </w:rPr>
      </w:pPr>
      <w:r>
        <w:rPr>
          <w:rFonts w:hint="eastAsia" w:ascii="宋体" w:hAnsi="宋体" w:cs="宋体"/>
          <w:bCs/>
          <w:sz w:val="24"/>
          <w:szCs w:val="24"/>
        </w:rPr>
        <w:t>联系人：</w:t>
      </w:r>
      <w:r>
        <w:rPr>
          <w:rFonts w:hint="eastAsia" w:ascii="宋体" w:hAnsi="宋体" w:eastAsia="宋体" w:cs="宋体"/>
          <w:sz w:val="24"/>
          <w:szCs w:val="24"/>
        </w:rPr>
        <w:t>薛</w:t>
      </w:r>
      <w:r>
        <w:rPr>
          <w:rFonts w:hint="eastAsia" w:ascii="宋体" w:hAnsi="宋体" w:cs="宋体"/>
          <w:sz w:val="24"/>
          <w:szCs w:val="24"/>
          <w:lang w:eastAsia="zh-CN"/>
        </w:rPr>
        <w:t>小宾</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eastAsia="宋体" w:cs="宋体"/>
          <w:bCs/>
          <w:sz w:val="24"/>
          <w:szCs w:val="24"/>
          <w:lang w:eastAsia="zh-CN"/>
        </w:rPr>
      </w:pPr>
      <w:r>
        <w:rPr>
          <w:rFonts w:hint="eastAsia" w:ascii="宋体" w:hAnsi="宋体" w:eastAsia="宋体" w:cs="宋体"/>
          <w:sz w:val="24"/>
          <w:szCs w:val="24"/>
        </w:rPr>
        <w:t>电  话：13629859669</w:t>
      </w:r>
    </w:p>
    <w:p>
      <w:pPr>
        <w:keepNext w:val="0"/>
        <w:keepLines w:val="0"/>
        <w:pageBreakBefore w:val="0"/>
        <w:widowControl w:val="0"/>
        <w:topLinePunct w:val="0"/>
        <w:autoSpaceDE/>
        <w:autoSpaceDN/>
        <w:bidi w:val="0"/>
        <w:adjustRightInd w:val="0"/>
        <w:snapToGrid w:val="0"/>
        <w:spacing w:line="440" w:lineRule="exact"/>
        <w:ind w:firstLine="240" w:firstLineChars="100"/>
        <w:jc w:val="left"/>
        <w:textAlignment w:val="auto"/>
        <w:rPr>
          <w:rFonts w:hint="eastAsia" w:ascii="宋体" w:hAnsi="宋体" w:eastAsia="宋体" w:cs="宋体"/>
          <w:sz w:val="24"/>
          <w:szCs w:val="24"/>
        </w:rPr>
      </w:pPr>
      <w:r>
        <w:rPr>
          <w:rFonts w:hint="eastAsia" w:ascii="宋体" w:hAnsi="宋体" w:cs="宋体"/>
          <w:bCs/>
          <w:color w:val="000000" w:themeColor="text1"/>
          <w:sz w:val="24"/>
          <w:szCs w:val="24"/>
          <w14:textFill>
            <w14:solidFill>
              <w14:schemeClr w14:val="tx1"/>
            </w14:solidFill>
          </w14:textFill>
        </w:rPr>
        <w:t>地址：</w:t>
      </w:r>
      <w:r>
        <w:rPr>
          <w:rFonts w:hint="eastAsia" w:ascii="宋体" w:hAnsi="宋体" w:eastAsia="宋体" w:cs="宋体"/>
          <w:sz w:val="24"/>
          <w:szCs w:val="24"/>
        </w:rPr>
        <w:t>焦作市解放区民主南路1319号建筑科技产业园 A101 号</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代理机构：</w:t>
      </w:r>
      <w:r>
        <w:rPr>
          <w:rFonts w:hint="eastAsia" w:ascii="宋体" w:hAnsi="宋体" w:eastAsia="宋体" w:cs="宋体"/>
          <w:color w:val="auto"/>
          <w:sz w:val="24"/>
          <w:szCs w:val="24"/>
          <w:lang w:eastAsia="zh-CN"/>
        </w:rPr>
        <w:t>河南省江开工程管理有限公司</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张志良</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cs="宋体"/>
          <w:color w:val="auto"/>
          <w:sz w:val="24"/>
          <w:szCs w:val="24"/>
          <w:lang w:val="en-US" w:eastAsia="zh-CN"/>
        </w:rPr>
        <w:t>18839146452</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eastAsia="宋体" w:cs="宋体"/>
          <w:color w:val="auto"/>
          <w:sz w:val="24"/>
          <w:szCs w:val="24"/>
        </w:rPr>
        <w:t>地  址：焦作市</w:t>
      </w:r>
      <w:r>
        <w:rPr>
          <w:rFonts w:hint="eastAsia" w:ascii="宋体" w:hAnsi="宋体" w:eastAsia="宋体" w:cs="宋体"/>
          <w:color w:val="auto"/>
          <w:sz w:val="24"/>
          <w:szCs w:val="24"/>
          <w:lang w:val="en-US" w:eastAsia="zh-CN"/>
        </w:rPr>
        <w:t>新丰二街怀庆药都8号楼101室</w:t>
      </w:r>
    </w:p>
    <w:p>
      <w:pPr>
        <w:keepNext w:val="0"/>
        <w:keepLines w:val="0"/>
        <w:pageBreakBefore w:val="0"/>
        <w:widowControl w:val="0"/>
        <w:topLinePunct w:val="0"/>
        <w:autoSpaceDE/>
        <w:autoSpaceDN/>
        <w:bidi w:val="0"/>
        <w:adjustRightInd w:val="0"/>
        <w:snapToGrid w:val="0"/>
        <w:spacing w:line="440" w:lineRule="exact"/>
        <w:jc w:val="left"/>
        <w:textAlignment w:val="auto"/>
        <w:rPr>
          <w:rFonts w:ascii="宋体" w:hAnsi="宋体" w:cs="宋体"/>
          <w:b/>
          <w:sz w:val="24"/>
          <w:szCs w:val="24"/>
        </w:rPr>
      </w:pPr>
      <w:r>
        <w:rPr>
          <w:rFonts w:hint="eastAsia" w:ascii="宋体" w:hAnsi="宋体" w:cs="宋体"/>
          <w:b/>
          <w:sz w:val="24"/>
          <w:szCs w:val="24"/>
        </w:rPr>
        <w:t>11.监督部门</w:t>
      </w:r>
    </w:p>
    <w:p>
      <w:pPr>
        <w:keepNext w:val="0"/>
        <w:keepLines w:val="0"/>
        <w:pageBreakBefore w:val="0"/>
        <w:widowControl w:val="0"/>
        <w:topLinePunct w:val="0"/>
        <w:autoSpaceDE/>
        <w:autoSpaceDN/>
        <w:bidi w:val="0"/>
        <w:adjustRightInd w:val="0"/>
        <w:snapToGrid w:val="0"/>
        <w:spacing w:line="440" w:lineRule="exact"/>
        <w:ind w:firstLine="240" w:firstLineChars="100"/>
        <w:jc w:val="left"/>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焦作市建设工程招标投标管理办公室     </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cs="宋体"/>
          <w:bCs/>
          <w:color w:val="000000" w:themeColor="text1"/>
          <w:sz w:val="24"/>
          <w:szCs w:val="24"/>
          <w14:textFill>
            <w14:solidFill>
              <w14:schemeClr w14:val="tx1"/>
            </w14:solidFill>
          </w14:textFill>
        </w:rPr>
        <w:t xml:space="preserve">   </w:t>
      </w:r>
    </w:p>
    <w:p>
      <w:pPr>
        <w:keepNext w:val="0"/>
        <w:keepLines w:val="0"/>
        <w:pageBreakBefore w:val="0"/>
        <w:widowControl w:val="0"/>
        <w:topLinePunct w:val="0"/>
        <w:autoSpaceDE/>
        <w:autoSpaceDN/>
        <w:bidi w:val="0"/>
        <w:adjustRightInd w:val="0"/>
        <w:snapToGrid w:val="0"/>
        <w:spacing w:line="440" w:lineRule="exact"/>
        <w:ind w:firstLine="240" w:firstLineChars="100"/>
        <w:jc w:val="left"/>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电话：0391-3557108</w:t>
      </w:r>
    </w:p>
    <w:p>
      <w:pPr>
        <w:keepNext w:val="0"/>
        <w:keepLines w:val="0"/>
        <w:pageBreakBefore w:val="0"/>
        <w:widowControl w:val="0"/>
        <w:topLinePunct w:val="0"/>
        <w:autoSpaceDE/>
        <w:autoSpaceDN/>
        <w:bidi w:val="0"/>
        <w:adjustRightInd w:val="0"/>
        <w:snapToGrid w:val="0"/>
        <w:spacing w:line="440" w:lineRule="exact"/>
        <w:ind w:firstLine="240" w:firstLineChars="100"/>
        <w:jc w:val="left"/>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焦作市建设工程招投标领域涉黑涉恶违法线索举报  </w:t>
      </w:r>
    </w:p>
    <w:p>
      <w:pPr>
        <w:keepNext w:val="0"/>
        <w:keepLines w:val="0"/>
        <w:pageBreakBefore w:val="0"/>
        <w:widowControl w:val="0"/>
        <w:topLinePunct w:val="0"/>
        <w:autoSpaceDE/>
        <w:autoSpaceDN/>
        <w:bidi w:val="0"/>
        <w:adjustRightInd w:val="0"/>
        <w:snapToGrid w:val="0"/>
        <w:spacing w:line="440" w:lineRule="exact"/>
        <w:ind w:firstLine="240" w:firstLineChars="100"/>
        <w:jc w:val="left"/>
        <w:textAlignment w:val="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电话：焦作市住房和城乡建设局0391-3557200</w:t>
      </w:r>
    </w:p>
    <w:p>
      <w:pPr>
        <w:keepNext w:val="0"/>
        <w:keepLines w:val="0"/>
        <w:pageBreakBefore w:val="0"/>
        <w:widowControl w:val="0"/>
        <w:topLinePunct w:val="0"/>
        <w:autoSpaceDE/>
        <w:autoSpaceDN/>
        <w:bidi w:val="0"/>
        <w:adjustRightInd w:val="0"/>
        <w:snapToGrid w:val="0"/>
        <w:spacing w:line="440" w:lineRule="exact"/>
        <w:ind w:firstLine="240" w:firstLineChars="100"/>
        <w:jc w:val="right"/>
        <w:textAlignment w:val="auto"/>
        <w:rPr>
          <w:rFonts w:hint="eastAsia" w:ascii="宋体" w:hAnsi="宋体" w:cs="宋体"/>
          <w:bCs/>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jc w:val="right"/>
        <w:textAlignment w:val="baseline"/>
        <w:rPr>
          <w:rFonts w:hint="eastAsia" w:ascii="宋体" w:hAnsi="宋体" w:eastAsia="宋体" w:cs="宋体"/>
          <w:bCs/>
          <w:sz w:val="24"/>
          <w:szCs w:val="24"/>
          <w:lang w:val="en-US" w:eastAsia="zh-CN"/>
        </w:rPr>
      </w:pPr>
      <w:r>
        <w:rPr>
          <w:rFonts w:hint="eastAsia" w:ascii="宋体" w:hAnsi="宋体" w:cs="宋体"/>
          <w:bCs/>
          <w:sz w:val="24"/>
          <w:szCs w:val="24"/>
        </w:rPr>
        <w:t>招标人：</w:t>
      </w:r>
      <w:r>
        <w:rPr>
          <w:rFonts w:hint="eastAsia" w:ascii="宋体" w:hAnsi="宋体" w:eastAsia="宋体" w:cs="宋体"/>
          <w:bCs/>
          <w:sz w:val="24"/>
          <w:szCs w:val="24"/>
          <w:lang w:val="en-US" w:eastAsia="zh-CN"/>
        </w:rPr>
        <w:t xml:space="preserve">焦作市解投产业园区建设发展有限公司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jc w:val="center"/>
        <w:textAlignment w:val="baseline"/>
        <w:rPr>
          <w:rFonts w:hint="eastAsia" w:ascii="宋体" w:hAnsi="宋体" w:eastAsia="宋体" w:cs="宋体"/>
          <w:color w:val="auto"/>
          <w:sz w:val="24"/>
          <w:szCs w:val="24"/>
          <w:lang w:eastAsia="zh-CN"/>
        </w:rPr>
      </w:pPr>
      <w:r>
        <w:rPr>
          <w:rFonts w:hint="eastAsia" w:ascii="宋体" w:hAnsi="宋体" w:cs="宋体"/>
          <w:bCs/>
          <w:sz w:val="24"/>
          <w:szCs w:val="24"/>
          <w:lang w:val="en-US" w:eastAsia="zh-CN"/>
        </w:rPr>
        <w:t xml:space="preserve">                          </w:t>
      </w:r>
      <w:r>
        <w:rPr>
          <w:rFonts w:hint="eastAsia" w:ascii="宋体" w:hAnsi="宋体" w:cs="宋体"/>
          <w:bCs/>
          <w:sz w:val="24"/>
          <w:szCs w:val="24"/>
        </w:rPr>
        <w:t>招标代理机构：</w:t>
      </w:r>
      <w:r>
        <w:rPr>
          <w:rFonts w:hint="eastAsia" w:ascii="宋体" w:hAnsi="宋体" w:eastAsia="宋体" w:cs="宋体"/>
          <w:color w:val="auto"/>
          <w:sz w:val="24"/>
          <w:szCs w:val="24"/>
          <w:lang w:eastAsia="zh-CN"/>
        </w:rPr>
        <w:t>河南省江开工程管理有限公司</w:t>
      </w:r>
    </w:p>
    <w:p>
      <w:pPr>
        <w:keepNext w:val="0"/>
        <w:keepLines w:val="0"/>
        <w:pageBreakBefore w:val="0"/>
        <w:widowControl w:val="0"/>
        <w:topLinePunct w:val="0"/>
        <w:autoSpaceDE/>
        <w:autoSpaceDN/>
        <w:bidi w:val="0"/>
        <w:snapToGrid w:val="0"/>
        <w:spacing w:line="440" w:lineRule="exact"/>
        <w:ind w:firstLine="6098" w:firstLineChars="2541"/>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4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w:t>
      </w:r>
    </w:p>
    <w:p>
      <w:pPr>
        <w:pStyle w:val="2"/>
        <w:pageBreakBefore/>
        <w:jc w:val="center"/>
        <w:rPr>
          <w:rFonts w:ascii="宋体" w:hAnsi="宋体" w:cs="宋体"/>
        </w:rPr>
      </w:pPr>
      <w:r>
        <w:rPr>
          <w:rFonts w:hint="eastAsia" w:ascii="宋体" w:hAnsi="宋体" w:cs="宋体"/>
        </w:rPr>
        <w:t>第二章 投标人须知</w:t>
      </w:r>
      <w:bookmarkEnd w:id="9"/>
      <w:bookmarkEnd w:id="10"/>
      <w:bookmarkEnd w:id="11"/>
      <w:bookmarkEnd w:id="12"/>
      <w:bookmarkEnd w:id="13"/>
      <w:bookmarkEnd w:id="14"/>
      <w:bookmarkEnd w:id="15"/>
      <w:bookmarkEnd w:id="16"/>
      <w:bookmarkEnd w:id="17"/>
      <w:bookmarkEnd w:id="18"/>
    </w:p>
    <w:p>
      <w:pPr>
        <w:spacing w:line="360" w:lineRule="auto"/>
        <w:jc w:val="center"/>
        <w:rPr>
          <w:rFonts w:ascii="宋体" w:hAnsi="宋体" w:cs="宋体"/>
          <w:b/>
          <w:sz w:val="28"/>
          <w:szCs w:val="28"/>
        </w:rPr>
      </w:pPr>
      <w:bookmarkStart w:id="21" w:name="_Toc247527552"/>
      <w:bookmarkStart w:id="22" w:name="_Toc152042304"/>
      <w:bookmarkStart w:id="23" w:name="_Toc247513951"/>
      <w:bookmarkStart w:id="24" w:name="_Toc152045528"/>
      <w:bookmarkStart w:id="25" w:name="_Toc144974496"/>
      <w:r>
        <w:rPr>
          <w:rFonts w:hint="eastAsia" w:ascii="宋体" w:hAnsi="宋体" w:cs="宋体"/>
          <w:b/>
          <w:sz w:val="28"/>
          <w:szCs w:val="28"/>
        </w:rPr>
        <w:t>投标人须知前附表</w:t>
      </w:r>
      <w:bookmarkEnd w:id="21"/>
      <w:bookmarkEnd w:id="22"/>
      <w:bookmarkEnd w:id="23"/>
      <w:bookmarkEnd w:id="24"/>
      <w:bookmarkEnd w:id="25"/>
    </w:p>
    <w:tbl>
      <w:tblPr>
        <w:tblStyle w:val="26"/>
        <w:tblW w:w="8338" w:type="dxa"/>
        <w:jc w:val="center"/>
        <w:tblLayout w:type="fixed"/>
        <w:tblCellMar>
          <w:top w:w="0" w:type="dxa"/>
          <w:left w:w="108" w:type="dxa"/>
          <w:bottom w:w="0" w:type="dxa"/>
          <w:right w:w="108" w:type="dxa"/>
        </w:tblCellMar>
      </w:tblPr>
      <w:tblGrid>
        <w:gridCol w:w="985"/>
        <w:gridCol w:w="2155"/>
        <w:gridCol w:w="5198"/>
      </w:tblGrid>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条款号</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条  款  名  称</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10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招标人</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int="eastAsia" w:ascii="宋体" w:hAnsi="宋体" w:eastAsia="宋体" w:cs="宋体"/>
                <w:szCs w:val="21"/>
                <w:lang w:eastAsia="zh-CN"/>
              </w:rPr>
            </w:pPr>
            <w:r>
              <w:rPr>
                <w:rFonts w:hint="eastAsia" w:ascii="宋体" w:hAnsi="宋体" w:eastAsia="宋体" w:cs="宋体"/>
                <w:szCs w:val="21"/>
                <w:lang w:eastAsia="zh-CN"/>
              </w:rPr>
              <w:t>招标人</w:t>
            </w:r>
            <w:r>
              <w:rPr>
                <w:rFonts w:hint="eastAsia" w:ascii="宋体" w:hAnsi="宋体" w:eastAsia="宋体" w:cs="宋体"/>
                <w:szCs w:val="21"/>
              </w:rPr>
              <w:t>：</w:t>
            </w:r>
            <w:r>
              <w:rPr>
                <w:rFonts w:hint="eastAsia" w:ascii="宋体" w:hAnsi="宋体" w:eastAsia="宋体" w:cs="宋体"/>
                <w:szCs w:val="21"/>
                <w:lang w:val="en-US" w:eastAsia="zh-CN"/>
              </w:rPr>
              <w:t xml:space="preserve">焦作市解投产业园区建设发展有限公司 </w:t>
            </w:r>
          </w:p>
          <w:p>
            <w:pPr>
              <w:snapToGrid w:val="0"/>
              <w:textAlignment w:val="baseline"/>
              <w:rPr>
                <w:rFonts w:hint="eastAsia" w:ascii="宋体" w:hAnsi="宋体" w:eastAsia="宋体" w:cs="宋体"/>
                <w:szCs w:val="21"/>
              </w:rPr>
            </w:pPr>
            <w:r>
              <w:rPr>
                <w:rFonts w:hint="eastAsia" w:ascii="宋体" w:hAnsi="宋体" w:eastAsia="宋体" w:cs="宋体"/>
                <w:szCs w:val="21"/>
              </w:rPr>
              <w:t>地址：焦作市解放区民主南路 1319 号建筑科技产业园 A101 号</w:t>
            </w:r>
          </w:p>
          <w:p>
            <w:pPr>
              <w:snapToGrid w:val="0"/>
              <w:textAlignment w:val="baseline"/>
              <w:rPr>
                <w:rFonts w:hint="eastAsia" w:ascii="宋体" w:hAnsi="宋体" w:eastAsia="宋体" w:cs="宋体"/>
                <w:szCs w:val="21"/>
                <w:lang w:eastAsia="zh-CN"/>
              </w:rPr>
            </w:pPr>
            <w:r>
              <w:rPr>
                <w:rFonts w:hint="eastAsia" w:ascii="宋体" w:hAnsi="宋体" w:eastAsia="宋体" w:cs="宋体"/>
                <w:szCs w:val="21"/>
              </w:rPr>
              <w:t>联系人：薛</w:t>
            </w:r>
            <w:r>
              <w:rPr>
                <w:rFonts w:hint="eastAsia" w:ascii="宋体" w:hAnsi="宋体" w:cs="宋体"/>
                <w:szCs w:val="21"/>
                <w:lang w:eastAsia="zh-CN"/>
              </w:rPr>
              <w:t>小宾</w:t>
            </w:r>
          </w:p>
          <w:p>
            <w:pPr>
              <w:snapToGrid w:val="0"/>
              <w:textAlignment w:val="baseline"/>
              <w:rPr>
                <w:rFonts w:hint="eastAsia" w:ascii="宋体" w:hAnsi="宋体" w:eastAsia="宋体" w:cs="宋体"/>
                <w:szCs w:val="21"/>
              </w:rPr>
            </w:pPr>
            <w:r>
              <w:rPr>
                <w:rFonts w:hint="eastAsia" w:ascii="宋体" w:hAnsi="宋体" w:eastAsia="宋体" w:cs="宋体"/>
                <w:szCs w:val="21"/>
              </w:rPr>
              <w:t>联系电话：13629859669</w:t>
            </w:r>
            <w:r>
              <w:rPr>
                <w:rFonts w:hint="eastAsia" w:ascii="宋体" w:hAnsi="宋体" w:eastAsia="宋体" w:cs="宋体"/>
                <w:szCs w:val="21"/>
                <w:lang w:eastAsia="zh-CN"/>
              </w:rPr>
              <w:t xml:space="preserve"> </w:t>
            </w:r>
          </w:p>
        </w:tc>
      </w:tr>
      <w:tr>
        <w:tblPrEx>
          <w:tblCellMar>
            <w:top w:w="0" w:type="dxa"/>
            <w:left w:w="108" w:type="dxa"/>
            <w:bottom w:w="0" w:type="dxa"/>
            <w:right w:w="108" w:type="dxa"/>
          </w:tblCellMar>
        </w:tblPrEx>
        <w:trPr>
          <w:trHeight w:val="113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招标代理机构</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int="eastAsia" w:ascii="宋体" w:hAnsi="宋体" w:eastAsia="宋体" w:cs="宋体"/>
                <w:szCs w:val="21"/>
                <w:lang w:eastAsia="zh-CN"/>
              </w:rPr>
            </w:pPr>
            <w:r>
              <w:rPr>
                <w:rFonts w:hint="eastAsia" w:ascii="宋体" w:hAnsi="宋体" w:eastAsia="宋体" w:cs="宋体"/>
                <w:szCs w:val="21"/>
              </w:rPr>
              <w:t>招标代理机构：</w:t>
            </w:r>
            <w:r>
              <w:rPr>
                <w:rFonts w:hint="eastAsia" w:ascii="宋体" w:hAnsi="宋体" w:eastAsia="宋体" w:cs="宋体"/>
                <w:szCs w:val="21"/>
                <w:lang w:eastAsia="zh-CN"/>
              </w:rPr>
              <w:t>河南省江开工程管理有限公司司</w:t>
            </w:r>
          </w:p>
          <w:p>
            <w:pPr>
              <w:snapToGrid w:val="0"/>
              <w:textAlignment w:val="baseline"/>
              <w:rPr>
                <w:rFonts w:hint="eastAsia" w:ascii="宋体" w:hAnsi="宋体" w:eastAsia="宋体" w:cs="宋体"/>
                <w:szCs w:val="21"/>
                <w:lang w:val="en-US" w:eastAsia="zh-CN"/>
              </w:rPr>
            </w:pPr>
            <w:r>
              <w:rPr>
                <w:rFonts w:hint="eastAsia" w:ascii="宋体" w:hAnsi="宋体" w:eastAsia="宋体" w:cs="宋体"/>
                <w:szCs w:val="21"/>
              </w:rPr>
              <w:t>地址：焦作市</w:t>
            </w:r>
            <w:r>
              <w:rPr>
                <w:rFonts w:hint="eastAsia" w:ascii="宋体" w:hAnsi="宋体" w:eastAsia="宋体" w:cs="宋体"/>
                <w:szCs w:val="21"/>
                <w:lang w:val="en-US" w:eastAsia="zh-CN"/>
              </w:rPr>
              <w:t>新丰二街怀庆药都8号楼101室</w:t>
            </w:r>
          </w:p>
          <w:p>
            <w:pPr>
              <w:snapToGrid w:val="0"/>
              <w:textAlignment w:val="baseline"/>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cs="宋体"/>
                <w:szCs w:val="21"/>
                <w:lang w:eastAsia="zh-CN"/>
              </w:rPr>
              <w:t>张志良</w:t>
            </w:r>
          </w:p>
          <w:p>
            <w:pPr>
              <w:snapToGrid w:val="0"/>
              <w:textAlignment w:val="baseline"/>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lang w:val="en-US" w:eastAsia="zh-CN"/>
              </w:rPr>
              <w:t>18</w:t>
            </w:r>
            <w:r>
              <w:rPr>
                <w:rFonts w:hint="eastAsia" w:ascii="宋体" w:hAnsi="宋体" w:cs="宋体"/>
                <w:szCs w:val="21"/>
                <w:lang w:val="en-US" w:eastAsia="zh-CN"/>
              </w:rPr>
              <w:t>839146452</w:t>
            </w:r>
            <w:r>
              <w:rPr>
                <w:rFonts w:hint="eastAsia" w:ascii="宋体" w:hAnsi="宋体" w:eastAsia="宋体" w:cs="宋体"/>
                <w:szCs w:val="21"/>
                <w:lang w:val="en-US" w:eastAsia="zh-CN"/>
              </w:rPr>
              <w:t xml:space="preserve"> </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1.1.4</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项目名称</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szCs w:val="21"/>
              </w:rPr>
            </w:pPr>
            <w:r>
              <w:rPr>
                <w:rFonts w:hint="eastAsia" w:ascii="宋体" w:hAnsi="宋体" w:eastAsia="宋体" w:cs="宋体"/>
                <w:szCs w:val="21"/>
                <w:lang w:val="en-US" w:eastAsia="zh-CN"/>
              </w:rPr>
              <w:t>焦作市解放区超级云计算数字经济产业园项目监理</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1.1.5</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建设地点</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int="eastAsia" w:ascii="宋体" w:hAnsi="宋体" w:eastAsia="宋体" w:cs="宋体"/>
                <w:szCs w:val="21"/>
                <w:lang w:eastAsia="zh-CN"/>
              </w:rPr>
            </w:pPr>
            <w:r>
              <w:rPr>
                <w:rFonts w:hint="eastAsia" w:ascii="宋体" w:hAnsi="宋体" w:eastAsia="宋体" w:cs="宋体"/>
                <w:szCs w:val="21"/>
                <w:lang w:val="en-US" w:eastAsia="zh-CN"/>
              </w:rPr>
              <w:t>焦作市解放区牧野路太行路交叉口东北角</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1.2.1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资金来源及比例</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int="eastAsia" w:ascii="宋体" w:hAnsi="宋体" w:eastAsia="宋体" w:cs="宋体"/>
                <w:szCs w:val="21"/>
                <w:lang w:eastAsia="zh-CN"/>
              </w:rPr>
            </w:pPr>
            <w:r>
              <w:rPr>
                <w:rFonts w:hint="eastAsia" w:ascii="宋体" w:hAnsi="宋体" w:eastAsia="宋体" w:cs="宋体"/>
                <w:szCs w:val="21"/>
                <w:lang w:val="en-US" w:eastAsia="zh-CN"/>
              </w:rPr>
              <w:t>自筹资金、</w:t>
            </w:r>
            <w:r>
              <w:rPr>
                <w:rFonts w:hint="default" w:ascii="宋体" w:hAnsi="宋体" w:eastAsia="宋体" w:cs="宋体"/>
                <w:szCs w:val="21"/>
                <w:lang w:val="en-US" w:eastAsia="zh-CN"/>
              </w:rPr>
              <w:t>100%</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1.2.2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资金落实情况</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1.3.1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招标范围</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施工及缺陷责任期阶段的全过程监理工作</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1.3.2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监理服务期限</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本项目施工期及缺陷责任期</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1.3.3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质量要求</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szCs w:val="21"/>
              </w:rPr>
            </w:pPr>
            <w:r>
              <w:rPr>
                <w:rFonts w:hint="eastAsia" w:ascii="宋体" w:hAnsi="宋体" w:cs="宋体"/>
                <w:szCs w:val="21"/>
              </w:rPr>
              <w:t>合格，达到国家现行有关施工质量验收规范标准</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1.3.4</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资格审查方式</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 xml:space="preserve">□资格预审                </w:t>
            </w:r>
            <w:r>
              <w:rPr>
                <w:rFonts w:hint="eastAsia" w:ascii="宋体" w:hAnsi="宋体" w:cs="宋体"/>
                <w:szCs w:val="21"/>
              </w:rPr>
              <w:sym w:font="Wingdings" w:char="F0FE"/>
            </w:r>
            <w:r>
              <w:rPr>
                <w:rFonts w:hint="eastAsia" w:ascii="宋体" w:hAnsi="宋体" w:cs="宋体"/>
                <w:szCs w:val="21"/>
              </w:rPr>
              <w:t>资格后审</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highlight w:val="none"/>
              </w:rPr>
            </w:pPr>
            <w:r>
              <w:rPr>
                <w:rFonts w:hint="eastAsia" w:ascii="宋体" w:hAnsi="宋体" w:cs="宋体"/>
                <w:szCs w:val="21"/>
                <w:highlight w:val="none"/>
              </w:rPr>
              <w:t>1.4.1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highlight w:val="none"/>
              </w:rPr>
            </w:pPr>
            <w:r>
              <w:rPr>
                <w:rFonts w:hint="eastAsia" w:ascii="宋体" w:hAnsi="宋体" w:cs="宋体"/>
                <w:szCs w:val="21"/>
                <w:highlight w:val="none"/>
              </w:rPr>
              <w:t>投标人资质条件、能力、信誉</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hint="eastAsia" w:ascii="宋体" w:hAnsi="宋体" w:eastAsia="宋体" w:cs="宋体"/>
                <w:szCs w:val="21"/>
              </w:rPr>
            </w:pPr>
            <w:r>
              <w:rPr>
                <w:rFonts w:hint="eastAsia" w:ascii="宋体" w:hAnsi="宋体" w:eastAsia="宋体" w:cs="宋体"/>
                <w:szCs w:val="21"/>
              </w:rPr>
              <w:t>3.1投标人在中华人民共和国境内注册，须具有独立法人资格及有效的企业法人营业执照。</w:t>
            </w:r>
          </w:p>
          <w:p>
            <w:pPr>
              <w:snapToGrid w:val="0"/>
              <w:textAlignment w:val="baseline"/>
              <w:rPr>
                <w:rFonts w:hint="eastAsia" w:ascii="宋体" w:hAnsi="宋体" w:eastAsia="宋体" w:cs="宋体"/>
                <w:szCs w:val="21"/>
              </w:rPr>
            </w:pPr>
            <w:r>
              <w:rPr>
                <w:rFonts w:hint="eastAsia" w:ascii="宋体" w:hAnsi="宋体" w:eastAsia="宋体" w:cs="宋体"/>
                <w:szCs w:val="21"/>
              </w:rPr>
              <w:t>3.2投标人须具备建设行政主管部门颁发的房屋建筑工程专业监理</w:t>
            </w:r>
            <w:r>
              <w:rPr>
                <w:rFonts w:hint="eastAsia" w:ascii="宋体" w:hAnsi="宋体" w:eastAsia="宋体" w:cs="宋体"/>
                <w:szCs w:val="21"/>
                <w:lang w:eastAsia="zh-CN"/>
              </w:rPr>
              <w:t>甲</w:t>
            </w:r>
            <w:r>
              <w:rPr>
                <w:rFonts w:hint="eastAsia" w:ascii="宋体" w:hAnsi="宋体" w:eastAsia="宋体" w:cs="宋体"/>
                <w:szCs w:val="21"/>
              </w:rPr>
              <w:t>级及以上资质。</w:t>
            </w:r>
          </w:p>
          <w:p>
            <w:pPr>
              <w:snapToGrid w:val="0"/>
              <w:textAlignment w:val="baseline"/>
              <w:rPr>
                <w:rFonts w:hint="eastAsia" w:ascii="宋体" w:hAnsi="宋体" w:eastAsia="宋体" w:cs="宋体"/>
                <w:szCs w:val="21"/>
              </w:rPr>
            </w:pPr>
            <w:r>
              <w:rPr>
                <w:rFonts w:hint="eastAsia" w:ascii="宋体" w:hAnsi="宋体" w:eastAsia="宋体" w:cs="宋体"/>
                <w:szCs w:val="21"/>
              </w:rPr>
              <w:t>3.3投标人拟派项目总监须具备房屋建筑工程专业国家注册监理工程师执业资格，</w:t>
            </w:r>
            <w:r>
              <w:rPr>
                <w:rFonts w:hint="eastAsia" w:ascii="宋体" w:hAnsi="宋体" w:eastAsia="宋体" w:cs="宋体"/>
                <w:szCs w:val="21"/>
                <w:lang w:eastAsia="zh-CN"/>
              </w:rPr>
              <w:t>需提供本单位劳动关系证明</w:t>
            </w:r>
            <w:r>
              <w:rPr>
                <w:rFonts w:hint="eastAsia" w:ascii="宋体" w:hAnsi="宋体" w:eastAsia="宋体" w:cs="宋体"/>
                <w:szCs w:val="21"/>
              </w:rPr>
              <w:t>。本项目实行项目总监实名制，建设工期内项目总监必须保证在本工程开展工作，原则上不允许变更；</w:t>
            </w:r>
          </w:p>
          <w:p>
            <w:pPr>
              <w:snapToGrid w:val="0"/>
              <w:textAlignment w:val="baseline"/>
              <w:rPr>
                <w:rFonts w:hint="eastAsia" w:ascii="宋体" w:hAnsi="宋体" w:eastAsia="宋体" w:cs="宋体"/>
                <w:szCs w:val="21"/>
              </w:rPr>
            </w:pPr>
            <w:r>
              <w:rPr>
                <w:rFonts w:hint="eastAsia" w:ascii="宋体" w:hAnsi="宋体" w:eastAsia="宋体" w:cs="宋体"/>
                <w:szCs w:val="21"/>
              </w:rPr>
              <w:t>3.4</w:t>
            </w:r>
            <w:r>
              <w:rPr>
                <w:rFonts w:hint="eastAsia" w:ascii="宋体" w:hAnsi="宋体" w:eastAsia="宋体" w:cs="宋体"/>
                <w:szCs w:val="21"/>
                <w:highlight w:val="none"/>
              </w:rPr>
              <w:t>业绩要求</w:t>
            </w:r>
            <w:r>
              <w:rPr>
                <w:rFonts w:hint="eastAsia" w:ascii="宋体" w:hAnsi="宋体" w:eastAsia="宋体" w:cs="宋体"/>
                <w:szCs w:val="21"/>
              </w:rPr>
              <w:t>：自202</w:t>
            </w:r>
            <w:r>
              <w:rPr>
                <w:rFonts w:hint="eastAsia" w:ascii="宋体" w:hAnsi="宋体" w:eastAsia="宋体" w:cs="宋体"/>
                <w:szCs w:val="21"/>
                <w:lang w:val="en-US" w:eastAsia="zh-CN"/>
              </w:rPr>
              <w:t>1</w:t>
            </w:r>
            <w:r>
              <w:rPr>
                <w:rFonts w:hint="eastAsia" w:ascii="宋体" w:hAnsi="宋体" w:eastAsia="宋体" w:cs="宋体"/>
                <w:szCs w:val="21"/>
              </w:rPr>
              <w:t>年1月1日以来至少具有一项投资额在</w:t>
            </w:r>
            <w:r>
              <w:rPr>
                <w:rFonts w:hint="eastAsia" w:ascii="宋体" w:hAnsi="宋体" w:cs="宋体"/>
                <w:szCs w:val="21"/>
                <w:lang w:val="en-US" w:eastAsia="zh-CN"/>
              </w:rPr>
              <w:t>1.5</w:t>
            </w:r>
            <w:r>
              <w:rPr>
                <w:rFonts w:hint="eastAsia" w:ascii="宋体" w:hAnsi="宋体" w:eastAsia="宋体" w:cs="宋体"/>
                <w:szCs w:val="21"/>
                <w:lang w:eastAsia="zh-CN"/>
              </w:rPr>
              <w:t>亿元</w:t>
            </w:r>
            <w:r>
              <w:rPr>
                <w:rFonts w:hint="eastAsia" w:ascii="宋体" w:hAnsi="宋体" w:eastAsia="宋体" w:cs="宋体"/>
                <w:szCs w:val="21"/>
                <w:lang w:val="en-US" w:eastAsia="zh-CN"/>
              </w:rPr>
              <w:t>及以上</w:t>
            </w:r>
            <w:r>
              <w:rPr>
                <w:rFonts w:hint="eastAsia" w:ascii="宋体" w:hAnsi="宋体" w:eastAsia="宋体" w:cs="宋体"/>
                <w:szCs w:val="21"/>
              </w:rPr>
              <w:t>或者建筑面积在</w:t>
            </w:r>
            <w:r>
              <w:rPr>
                <w:rFonts w:hint="eastAsia" w:ascii="宋体" w:hAnsi="宋体" w:cs="宋体"/>
                <w:szCs w:val="21"/>
                <w:lang w:val="en-US" w:eastAsia="zh-CN"/>
              </w:rPr>
              <w:t>3.8</w:t>
            </w:r>
            <w:r>
              <w:rPr>
                <w:rFonts w:hint="eastAsia" w:ascii="宋体" w:hAnsi="宋体" w:eastAsia="宋体" w:cs="宋体"/>
                <w:szCs w:val="21"/>
              </w:rPr>
              <w:t>万平方米</w:t>
            </w:r>
            <w:r>
              <w:rPr>
                <w:rFonts w:hint="eastAsia" w:ascii="宋体" w:hAnsi="宋体" w:eastAsia="宋体" w:cs="宋体"/>
                <w:szCs w:val="21"/>
                <w:lang w:val="en-US" w:eastAsia="zh-CN"/>
              </w:rPr>
              <w:t>及</w:t>
            </w:r>
            <w:r>
              <w:rPr>
                <w:rFonts w:hint="eastAsia" w:ascii="宋体" w:hAnsi="宋体" w:eastAsia="宋体" w:cs="宋体"/>
                <w:szCs w:val="21"/>
              </w:rPr>
              <w:t>以上的</w:t>
            </w:r>
            <w:r>
              <w:rPr>
                <w:rFonts w:hint="eastAsia" w:ascii="宋体" w:hAnsi="宋体" w:eastAsia="宋体" w:cs="宋体"/>
                <w:szCs w:val="21"/>
                <w:lang w:eastAsia="zh-CN"/>
              </w:rPr>
              <w:t>类似</w:t>
            </w:r>
            <w:r>
              <w:rPr>
                <w:rFonts w:hint="eastAsia" w:ascii="宋体" w:hAnsi="宋体" w:eastAsia="宋体" w:cs="宋体"/>
                <w:szCs w:val="21"/>
              </w:rPr>
              <w:t>业绩（以合同签订日期为准，需提供中标通知书、合同协议书原件扫描件）。</w:t>
            </w:r>
          </w:p>
          <w:p>
            <w:pPr>
              <w:snapToGrid w:val="0"/>
              <w:textAlignment w:val="baseline"/>
              <w:rPr>
                <w:rFonts w:hint="eastAsia" w:ascii="宋体" w:hAnsi="宋体" w:eastAsia="宋体" w:cs="宋体"/>
                <w:szCs w:val="21"/>
              </w:rPr>
            </w:pPr>
            <w:r>
              <w:rPr>
                <w:rFonts w:hint="eastAsia" w:ascii="宋体" w:hAnsi="宋体" w:eastAsia="宋体" w:cs="宋体"/>
                <w:szCs w:val="21"/>
              </w:rPr>
              <w:t>3.5财务要求：近三年（20</w:t>
            </w:r>
            <w:r>
              <w:rPr>
                <w:rFonts w:hint="eastAsia" w:ascii="宋体" w:hAnsi="宋体" w:eastAsia="宋体" w:cs="宋体"/>
                <w:szCs w:val="21"/>
                <w:lang w:val="en-US" w:eastAsia="zh-CN"/>
              </w:rPr>
              <w:t>20</w:t>
            </w:r>
            <w:r>
              <w:rPr>
                <w:rFonts w:hint="eastAsia" w:ascii="宋体" w:hAnsi="宋体" w:eastAsia="宋体" w:cs="宋体"/>
                <w:szCs w:val="21"/>
              </w:rPr>
              <w:t>年、202</w:t>
            </w:r>
            <w:r>
              <w:rPr>
                <w:rFonts w:hint="eastAsia" w:ascii="宋体" w:hAnsi="宋体" w:eastAsia="宋体" w:cs="宋体"/>
                <w:szCs w:val="21"/>
                <w:lang w:val="en-US" w:eastAsia="zh-CN"/>
              </w:rPr>
              <w:t>1</w:t>
            </w:r>
            <w:r>
              <w:rPr>
                <w:rFonts w:hint="eastAsia" w:ascii="宋体" w:hAnsi="宋体" w:eastAsia="宋体" w:cs="宋体"/>
                <w:szCs w:val="21"/>
              </w:rPr>
              <w:t>年度、202</w:t>
            </w:r>
            <w:r>
              <w:rPr>
                <w:rFonts w:hint="eastAsia" w:ascii="宋体" w:hAnsi="宋体" w:eastAsia="宋体" w:cs="宋体"/>
                <w:szCs w:val="21"/>
                <w:lang w:val="en-US" w:eastAsia="zh-CN"/>
              </w:rPr>
              <w:t>2</w:t>
            </w:r>
            <w:r>
              <w:rPr>
                <w:rFonts w:hint="eastAsia" w:ascii="宋体" w:hAnsi="宋体" w:eastAsia="宋体" w:cs="宋体"/>
                <w:szCs w:val="21"/>
              </w:rPr>
              <w:t>年度）财务状况良好，提供近三年财务审计报告</w:t>
            </w:r>
            <w:r>
              <w:rPr>
                <w:rFonts w:hint="eastAsia" w:ascii="宋体" w:hAnsi="宋体" w:eastAsia="宋体" w:cs="宋体"/>
                <w:szCs w:val="21"/>
                <w:lang w:eastAsia="zh-CN"/>
              </w:rPr>
              <w:t>。</w:t>
            </w:r>
            <w:r>
              <w:rPr>
                <w:rFonts w:hint="eastAsia" w:ascii="宋体" w:hAnsi="宋体" w:eastAsia="宋体" w:cs="宋体"/>
                <w:szCs w:val="21"/>
              </w:rPr>
              <w:t>（企业成立不足三年的，从成立年份开始提供向后推算，成立不足一年的企业无需提供财务审计报告，仅提供单位财务报表即可）。</w:t>
            </w:r>
          </w:p>
          <w:p>
            <w:pPr>
              <w:snapToGrid w:val="0"/>
              <w:jc w:val="left"/>
              <w:textAlignment w:val="baseline"/>
              <w:rPr>
                <w:rFonts w:hint="eastAsia" w:ascii="宋体" w:hAnsi="宋体" w:eastAsia="宋体" w:cs="宋体"/>
                <w:szCs w:val="21"/>
              </w:rPr>
            </w:pPr>
            <w:r>
              <w:rPr>
                <w:rFonts w:hint="eastAsia" w:ascii="宋体" w:hAnsi="宋体" w:eastAsia="宋体" w:cs="宋体"/>
                <w:szCs w:val="21"/>
              </w:rPr>
              <w:t>3.6信誉要求：执行《关于在招标投标活动中对失信被执行人实施联合惩戒的通知》法（2016）285 号文件：通过“信用中国”网站（www.creditchina.gov.cn）及中国政府采购网（www.ccgp.gov.cn）查询潜在投标人的信用记录，凡是列入失信被执行人、重大税收违法失信主体、政府采购严重违法失信行为记录名单的，依法拒绝其参与本次投标。查询渠道失信被执行人：“信用中国”网站（www.creditchina.gov.cn）；重大税收违法：“信用中国”网站（www.creditchina.gov.cn）；政府采购严重违法失信行为：中国政府采购网（www.ccgp.gov.cn）】。（投标单位需提供网站查询截图，加盖企业公章，查询日期为招标公告发布之日起至投标文件递交截止日前)；</w:t>
            </w:r>
          </w:p>
          <w:p>
            <w:pPr>
              <w:snapToGrid w:val="0"/>
              <w:textAlignment w:val="baseline"/>
              <w:rPr>
                <w:rFonts w:hint="eastAsia" w:ascii="宋体" w:hAnsi="宋体" w:eastAsia="宋体" w:cs="宋体"/>
                <w:szCs w:val="21"/>
              </w:rPr>
            </w:pPr>
            <w:r>
              <w:rPr>
                <w:rFonts w:hint="eastAsia" w:ascii="宋体" w:hAnsi="宋体" w:eastAsia="宋体" w:cs="宋体"/>
                <w:szCs w:val="21"/>
              </w:rPr>
              <w:t>3.7本次招标不接受联合体投标。</w:t>
            </w:r>
          </w:p>
          <w:p>
            <w:pPr>
              <w:snapToGrid w:val="0"/>
              <w:textAlignment w:val="baseline"/>
              <w:rPr>
                <w:rFonts w:hint="eastAsia" w:ascii="宋体" w:hAnsi="宋体" w:eastAsia="宋体" w:cs="宋体"/>
                <w:szCs w:val="21"/>
                <w:highlight w:val="none"/>
                <w:lang w:val="en-US" w:eastAsia="zh-CN"/>
              </w:rPr>
            </w:pPr>
            <w:r>
              <w:rPr>
                <w:rFonts w:hint="eastAsia" w:ascii="宋体" w:hAnsi="宋体" w:eastAsia="宋体" w:cs="宋体"/>
                <w:b/>
                <w:bCs/>
                <w:szCs w:val="21"/>
              </w:rPr>
              <w:t>注：单位负责人为同一人或者存在直接控股、管理关系的不同单位，不得同时对该项目进行投标</w:t>
            </w:r>
            <w:r>
              <w:rPr>
                <w:rFonts w:hint="eastAsia" w:ascii="宋体" w:hAnsi="宋体" w:eastAsia="宋体" w:cs="宋体"/>
                <w:szCs w:val="21"/>
              </w:rPr>
              <w:t>。</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1.4.2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是否接受联合体投标</w:t>
            </w:r>
          </w:p>
        </w:tc>
        <w:tc>
          <w:tcPr>
            <w:tcW w:w="5198" w:type="dxa"/>
            <w:tcBorders>
              <w:top w:val="single" w:color="auto" w:sz="4" w:space="0"/>
              <w:left w:val="single" w:color="auto" w:sz="4" w:space="0"/>
              <w:bottom w:val="single" w:color="auto" w:sz="4" w:space="0"/>
              <w:right w:val="single" w:color="auto" w:sz="4" w:space="0"/>
            </w:tcBorders>
            <w:vAlign w:val="center"/>
          </w:tcPr>
          <w:p>
            <w:pPr>
              <w:pStyle w:val="65"/>
              <w:wordWrap w:val="0"/>
              <w:snapToGrid w:val="0"/>
              <w:jc w:val="left"/>
              <w:rPr>
                <w:szCs w:val="21"/>
                <w:lang w:val="en-US"/>
              </w:rPr>
            </w:pPr>
            <w:r>
              <w:rPr>
                <w:rFonts w:hint="eastAsia"/>
                <w:szCs w:val="21"/>
                <w:lang w:val="en-US"/>
              </w:rPr>
              <w:sym w:font="Wingdings" w:char="00FE"/>
            </w:r>
            <w:r>
              <w:rPr>
                <w:rFonts w:hint="eastAsia"/>
                <w:szCs w:val="21"/>
                <w:lang w:val="en-US"/>
              </w:rPr>
              <w:t>不接受</w:t>
            </w:r>
          </w:p>
          <w:p>
            <w:pPr>
              <w:wordWrap w:val="0"/>
              <w:snapToGrid w:val="0"/>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接受，联合体投标的，应满足下列要求：</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1.9.1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踏勘</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cs="宋体"/>
                <w:szCs w:val="21"/>
              </w:rPr>
            </w:pPr>
            <w:r>
              <w:rPr>
                <w:rFonts w:hint="eastAsia" w:ascii="宋体" w:hAnsi="宋体" w:cs="宋体"/>
                <w:szCs w:val="21"/>
              </w:rPr>
              <w:t>☑不组织</w:t>
            </w:r>
          </w:p>
          <w:p>
            <w:pPr>
              <w:snapToGrid w:val="0"/>
              <w:jc w:val="left"/>
              <w:textAlignment w:val="baseline"/>
              <w:rPr>
                <w:rFonts w:ascii="宋体" w:hAnsi="宋体" w:cs="宋体"/>
                <w:szCs w:val="21"/>
              </w:rPr>
            </w:pPr>
            <w:r>
              <w:rPr>
                <w:rFonts w:hint="eastAsia" w:ascii="宋体" w:hAnsi="宋体" w:cs="宋体"/>
                <w:szCs w:val="21"/>
              </w:rPr>
              <w:t>□组织,踏勘时间：</w:t>
            </w:r>
          </w:p>
          <w:p>
            <w:pPr>
              <w:snapToGrid w:val="0"/>
              <w:jc w:val="left"/>
              <w:textAlignment w:val="baseline"/>
              <w:rPr>
                <w:rFonts w:ascii="宋体" w:hAnsi="宋体" w:cs="宋体"/>
                <w:szCs w:val="21"/>
              </w:rPr>
            </w:pPr>
            <w:r>
              <w:rPr>
                <w:rFonts w:hint="eastAsia" w:ascii="宋体" w:hAnsi="宋体" w:cs="宋体"/>
                <w:szCs w:val="21"/>
              </w:rPr>
              <w:t>踏勘集中地点：</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1.10.1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投标预备会</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cs="宋体"/>
                <w:szCs w:val="21"/>
              </w:rPr>
            </w:pPr>
            <w:r>
              <w:rPr>
                <w:rFonts w:hint="eastAsia" w:ascii="宋体" w:hAnsi="宋体" w:cs="宋体"/>
                <w:szCs w:val="21"/>
              </w:rPr>
              <w:t>☑不召开</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1.10.2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投标人提出问题的</w:t>
            </w:r>
          </w:p>
          <w:p>
            <w:pPr>
              <w:snapToGrid w:val="0"/>
              <w:jc w:val="center"/>
              <w:textAlignment w:val="baseline"/>
              <w:rPr>
                <w:rFonts w:ascii="宋体" w:hAnsi="宋体" w:cs="宋体"/>
                <w:szCs w:val="21"/>
              </w:rPr>
            </w:pPr>
            <w:r>
              <w:rPr>
                <w:rFonts w:hint="eastAsia" w:ascii="宋体" w:hAnsi="宋体" w:cs="宋体"/>
                <w:szCs w:val="21"/>
              </w:rPr>
              <w:t>截止时间</w:t>
            </w:r>
          </w:p>
        </w:tc>
        <w:tc>
          <w:tcPr>
            <w:tcW w:w="5198" w:type="dxa"/>
            <w:tcBorders>
              <w:top w:val="single" w:color="auto" w:sz="4" w:space="0"/>
              <w:left w:val="single" w:color="auto" w:sz="4" w:space="0"/>
              <w:bottom w:val="single" w:color="auto" w:sz="4" w:space="0"/>
              <w:right w:val="single" w:color="auto" w:sz="4" w:space="0"/>
            </w:tcBorders>
            <w:vAlign w:val="center"/>
          </w:tcPr>
          <w:p>
            <w:pPr>
              <w:pStyle w:val="65"/>
              <w:wordWrap w:val="0"/>
              <w:snapToGrid w:val="0"/>
              <w:jc w:val="left"/>
              <w:rPr>
                <w:szCs w:val="21"/>
                <w:lang w:val="en-US"/>
              </w:rPr>
            </w:pPr>
            <w:r>
              <w:rPr>
                <w:rFonts w:hint="eastAsia"/>
                <w:szCs w:val="21"/>
                <w:lang w:val="en-US"/>
              </w:rPr>
              <w:t>时间：递交投标文件截止之日10日前</w:t>
            </w:r>
          </w:p>
          <w:p>
            <w:pPr>
              <w:wordWrap w:val="0"/>
              <w:snapToGrid w:val="0"/>
              <w:jc w:val="left"/>
              <w:rPr>
                <w:rFonts w:ascii="宋体" w:hAnsi="宋体" w:cs="宋体"/>
                <w:szCs w:val="21"/>
              </w:rPr>
            </w:pPr>
            <w:r>
              <w:rPr>
                <w:rFonts w:hint="eastAsia" w:ascii="宋体" w:hAnsi="宋体" w:cs="宋体"/>
                <w:szCs w:val="21"/>
              </w:rPr>
              <w:t>形式：登录交易平台提出</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1.10.3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招标人书面澄清的</w:t>
            </w:r>
          </w:p>
          <w:p>
            <w:pPr>
              <w:snapToGrid w:val="0"/>
              <w:jc w:val="center"/>
              <w:textAlignment w:val="baseline"/>
              <w:rPr>
                <w:rFonts w:ascii="宋体" w:hAnsi="宋体" w:cs="宋体"/>
                <w:szCs w:val="21"/>
              </w:rPr>
            </w:pPr>
            <w:r>
              <w:rPr>
                <w:rFonts w:hint="eastAsia" w:ascii="宋体" w:hAnsi="宋体" w:cs="宋体"/>
                <w:szCs w:val="21"/>
              </w:rPr>
              <w:t>时间</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cs="宋体"/>
                <w:szCs w:val="21"/>
              </w:rPr>
            </w:pPr>
            <w:r>
              <w:rPr>
                <w:rFonts w:hint="eastAsia" w:ascii="宋体" w:hAnsi="宋体" w:cs="宋体"/>
                <w:szCs w:val="21"/>
              </w:rPr>
              <w:t>时间：递交投标文件截止之日15日前</w:t>
            </w:r>
          </w:p>
          <w:p>
            <w:pPr>
              <w:snapToGrid w:val="0"/>
              <w:jc w:val="left"/>
              <w:textAlignment w:val="baseline"/>
              <w:rPr>
                <w:rFonts w:ascii="宋体" w:hAnsi="宋体" w:cs="宋体"/>
                <w:szCs w:val="21"/>
              </w:rPr>
            </w:pPr>
            <w:r>
              <w:rPr>
                <w:rFonts w:hint="eastAsia" w:ascii="宋体" w:hAnsi="宋体" w:cs="宋体"/>
                <w:szCs w:val="21"/>
              </w:rPr>
              <w:t>形式：交易平台书面澄清</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1.11</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cs="宋体"/>
                <w:szCs w:val="21"/>
              </w:rPr>
            </w:pPr>
            <w:r>
              <w:rPr>
                <w:rFonts w:hint="eastAsia" w:ascii="宋体" w:hAnsi="宋体" w:cs="宋体"/>
                <w:szCs w:val="21"/>
              </w:rPr>
              <w:t>分包</w:t>
            </w:r>
          </w:p>
        </w:tc>
        <w:tc>
          <w:tcPr>
            <w:tcW w:w="5198" w:type="dxa"/>
            <w:tcBorders>
              <w:top w:val="single" w:color="auto" w:sz="4" w:space="0"/>
              <w:left w:val="single" w:color="auto" w:sz="4" w:space="0"/>
              <w:bottom w:val="single" w:color="auto" w:sz="4" w:space="0"/>
              <w:right w:val="single" w:color="auto" w:sz="4" w:space="0"/>
            </w:tcBorders>
            <w:vAlign w:val="center"/>
          </w:tcPr>
          <w:p>
            <w:pPr>
              <w:pStyle w:val="65"/>
              <w:wordWrap w:val="0"/>
              <w:rPr>
                <w:szCs w:val="21"/>
              </w:rPr>
            </w:pPr>
            <w:r>
              <w:rPr>
                <w:rFonts w:hint="eastAsia"/>
                <w:szCs w:val="21"/>
              </w:rPr>
              <w:sym w:font="Wingdings" w:char="00FE"/>
            </w:r>
            <w:r>
              <w:rPr>
                <w:rFonts w:hint="eastAsia"/>
                <w:szCs w:val="21"/>
              </w:rPr>
              <w:t>不允许</w:t>
            </w:r>
          </w:p>
          <w:p>
            <w:pPr>
              <w:wordWrap w:val="0"/>
              <w:rPr>
                <w:rFonts w:ascii="宋体" w:hAnsi="宋体" w:cs="宋体"/>
                <w:szCs w:val="21"/>
              </w:rPr>
            </w:pPr>
            <w:r>
              <w:rPr>
                <w:rFonts w:hint="eastAsia" w:ascii="宋体" w:hAnsi="宋体" w:cs="宋体"/>
                <w:szCs w:val="21"/>
              </w:rPr>
              <w:sym w:font="Wingdings" w:char="00A8"/>
            </w:r>
            <w:r>
              <w:rPr>
                <w:rFonts w:hint="eastAsia" w:ascii="宋体" w:hAnsi="宋体" w:cs="宋体"/>
                <w:szCs w:val="21"/>
              </w:rPr>
              <w:t>允许</w:t>
            </w:r>
          </w:p>
        </w:tc>
      </w:tr>
      <w:tr>
        <w:tblPrEx>
          <w:tblCellMar>
            <w:top w:w="0" w:type="dxa"/>
            <w:left w:w="108" w:type="dxa"/>
            <w:bottom w:w="0" w:type="dxa"/>
            <w:right w:w="108" w:type="dxa"/>
          </w:tblCellMar>
        </w:tblPrEx>
        <w:trPr>
          <w:trHeight w:val="3201"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1.12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偏离</w:t>
            </w:r>
          </w:p>
        </w:tc>
        <w:tc>
          <w:tcPr>
            <w:tcW w:w="5198" w:type="dxa"/>
            <w:tcBorders>
              <w:top w:val="single" w:color="auto" w:sz="4" w:space="0"/>
              <w:left w:val="single" w:color="auto" w:sz="4" w:space="0"/>
              <w:bottom w:val="single" w:color="auto" w:sz="4" w:space="0"/>
              <w:right w:val="single" w:color="auto" w:sz="4" w:space="0"/>
            </w:tcBorders>
            <w:vAlign w:val="center"/>
          </w:tcPr>
          <w:p>
            <w:pPr>
              <w:pStyle w:val="65"/>
              <w:wordWrap w:val="0"/>
              <w:rPr>
                <w:szCs w:val="21"/>
              </w:rPr>
            </w:pPr>
            <w:r>
              <w:rPr>
                <w:rFonts w:hint="eastAsia"/>
                <w:szCs w:val="21"/>
              </w:rPr>
              <w:sym w:font="Wingdings" w:char="00FE"/>
            </w:r>
            <w:r>
              <w:rPr>
                <w:rFonts w:hint="eastAsia"/>
                <w:szCs w:val="21"/>
              </w:rPr>
              <w:t>不允许</w:t>
            </w:r>
          </w:p>
          <w:p>
            <w:pPr>
              <w:wordWrap w:val="0"/>
              <w:rPr>
                <w:rFonts w:ascii="宋体" w:hAnsi="宋体" w:cs="宋体"/>
                <w:szCs w:val="21"/>
              </w:rPr>
            </w:pPr>
            <w:r>
              <w:rPr>
                <w:rFonts w:hint="eastAsia" w:ascii="宋体" w:hAnsi="宋体" w:cs="宋体"/>
                <w:szCs w:val="21"/>
              </w:rPr>
              <w:t>出现下列重大偏离的按废标处理：</w:t>
            </w:r>
          </w:p>
          <w:p>
            <w:pPr>
              <w:wordWrap w:val="0"/>
              <w:rPr>
                <w:rFonts w:ascii="宋体" w:hAnsi="宋体" w:cs="宋体"/>
                <w:szCs w:val="21"/>
              </w:rPr>
            </w:pPr>
            <w:r>
              <w:rPr>
                <w:rFonts w:hint="eastAsia" w:ascii="宋体" w:hAnsi="宋体" w:cs="宋体"/>
                <w:szCs w:val="21"/>
              </w:rPr>
              <w:t>1、未能通过投标人须知前附表1.4.1款资格审查的；</w:t>
            </w:r>
          </w:p>
          <w:p>
            <w:pPr>
              <w:wordWrap w:val="0"/>
              <w:rPr>
                <w:rFonts w:ascii="宋体" w:hAnsi="宋体" w:cs="宋体"/>
                <w:szCs w:val="21"/>
              </w:rPr>
            </w:pPr>
            <w:r>
              <w:rPr>
                <w:rFonts w:hint="eastAsia" w:ascii="宋体" w:hAnsi="宋体" w:cs="宋体"/>
                <w:szCs w:val="21"/>
              </w:rPr>
              <w:t>2、投标人存在第二章投标须知正文中第1.4.3项情形之一的；</w:t>
            </w:r>
          </w:p>
          <w:p>
            <w:pPr>
              <w:wordWrap w:val="0"/>
              <w:rPr>
                <w:rFonts w:ascii="宋体" w:hAnsi="宋体" w:cs="宋体"/>
                <w:szCs w:val="21"/>
              </w:rPr>
            </w:pPr>
            <w:r>
              <w:rPr>
                <w:rFonts w:hint="eastAsia" w:ascii="宋体" w:hAnsi="宋体" w:cs="宋体"/>
                <w:szCs w:val="21"/>
              </w:rPr>
              <w:t>3、投标人未按本章投标须知正文中第3.4.1项要求提交投标保证金的；</w:t>
            </w:r>
          </w:p>
          <w:p>
            <w:pPr>
              <w:wordWrap w:val="0"/>
              <w:rPr>
                <w:rFonts w:ascii="宋体" w:hAnsi="宋体" w:cs="宋体"/>
                <w:szCs w:val="21"/>
              </w:rPr>
            </w:pPr>
            <w:r>
              <w:rPr>
                <w:rFonts w:hint="eastAsia" w:ascii="宋体" w:hAnsi="宋体" w:cs="宋体"/>
                <w:szCs w:val="21"/>
              </w:rPr>
              <w:t>4、投标人存在第二章投标须知正文中第3.4.3项情形之一的投标保证金将不予退还；</w:t>
            </w:r>
          </w:p>
          <w:p>
            <w:pPr>
              <w:wordWrap w:val="0"/>
              <w:rPr>
                <w:rFonts w:ascii="宋体" w:hAnsi="宋体" w:cs="宋体"/>
                <w:szCs w:val="21"/>
              </w:rPr>
            </w:pPr>
            <w:r>
              <w:rPr>
                <w:rFonts w:hint="eastAsia" w:ascii="宋体" w:hAnsi="宋体" w:cs="宋体"/>
                <w:szCs w:val="21"/>
              </w:rPr>
              <w:t>5、投标人未按第二章第4.1.1、4.1.2项要求上传的投标文件，招标人不予受理；</w:t>
            </w:r>
          </w:p>
          <w:p>
            <w:pPr>
              <w:wordWrap w:val="0"/>
              <w:rPr>
                <w:rFonts w:ascii="宋体" w:hAnsi="宋体" w:cs="宋体"/>
                <w:szCs w:val="21"/>
              </w:rPr>
            </w:pPr>
            <w:r>
              <w:rPr>
                <w:rFonts w:hint="eastAsia" w:ascii="宋体" w:hAnsi="宋体" w:cs="宋体"/>
                <w:szCs w:val="21"/>
              </w:rPr>
              <w:t>6、投标人存在逾期上传或者未按要求解密投标文件的，招标人不予受理；</w:t>
            </w:r>
          </w:p>
          <w:p>
            <w:pPr>
              <w:wordWrap w:val="0"/>
              <w:rPr>
                <w:rFonts w:ascii="宋体" w:hAnsi="宋体" w:cs="宋体"/>
                <w:szCs w:val="21"/>
              </w:rPr>
            </w:pPr>
            <w:r>
              <w:rPr>
                <w:rFonts w:hint="eastAsia" w:ascii="宋体" w:hAnsi="宋体" w:cs="宋体"/>
                <w:szCs w:val="21"/>
              </w:rPr>
              <w:t>7、投标人提供虚假资料的将取消其投标资格或中标资格；</w:t>
            </w:r>
          </w:p>
          <w:p>
            <w:pPr>
              <w:wordWrap w:val="0"/>
              <w:rPr>
                <w:rFonts w:ascii="宋体" w:hAnsi="宋体" w:cs="宋体"/>
                <w:szCs w:val="21"/>
              </w:rPr>
            </w:pPr>
            <w:r>
              <w:rPr>
                <w:rFonts w:hint="eastAsia" w:ascii="宋体" w:hAnsi="宋体" w:cs="宋体"/>
                <w:szCs w:val="21"/>
              </w:rPr>
              <w:t>8、投标文件没有投标人法定代表人或其委托代理人签字或加盖公章（按投标人须知前附表3.7.3要求）的；</w:t>
            </w:r>
          </w:p>
          <w:p>
            <w:pPr>
              <w:wordWrap w:val="0"/>
              <w:rPr>
                <w:rFonts w:ascii="宋体" w:hAnsi="宋体" w:cs="宋体"/>
                <w:szCs w:val="21"/>
              </w:rPr>
            </w:pPr>
            <w:r>
              <w:rPr>
                <w:rFonts w:hint="eastAsia" w:ascii="宋体" w:hAnsi="宋体" w:cs="宋体"/>
                <w:szCs w:val="21"/>
              </w:rPr>
              <w:t>9、以他人名义投标或采取不正当手段谋取中标的；</w:t>
            </w:r>
          </w:p>
          <w:p>
            <w:pPr>
              <w:wordWrap w:val="0"/>
              <w:rPr>
                <w:rFonts w:ascii="宋体" w:hAnsi="宋体" w:cs="宋体"/>
                <w:szCs w:val="21"/>
              </w:rPr>
            </w:pPr>
            <w:r>
              <w:rPr>
                <w:rFonts w:hint="eastAsia" w:ascii="宋体" w:hAnsi="宋体" w:cs="宋体"/>
                <w:szCs w:val="21"/>
              </w:rPr>
              <w:t>10、未按规定格式填写投标文件、内容不全或关键字迹模糊、无法判别的；</w:t>
            </w:r>
          </w:p>
          <w:p>
            <w:pPr>
              <w:wordWrap w:val="0"/>
              <w:rPr>
                <w:rFonts w:ascii="宋体" w:hAnsi="宋体" w:cs="宋体"/>
                <w:szCs w:val="21"/>
              </w:rPr>
            </w:pPr>
            <w:r>
              <w:rPr>
                <w:rFonts w:hint="eastAsia" w:ascii="宋体" w:hAnsi="宋体" w:cs="宋体"/>
                <w:szCs w:val="21"/>
              </w:rPr>
              <w:t>11、投标人递交两份或多份内容不同的投标文件，或在一份投标文件中对同一招标项目报有两个或多个报价、且未声明哪个有效的；</w:t>
            </w:r>
          </w:p>
          <w:p>
            <w:pPr>
              <w:wordWrap w:val="0"/>
              <w:rPr>
                <w:rFonts w:ascii="宋体" w:hAnsi="宋体" w:cs="宋体"/>
                <w:szCs w:val="21"/>
              </w:rPr>
            </w:pPr>
            <w:r>
              <w:rPr>
                <w:rFonts w:hint="eastAsia" w:ascii="宋体" w:hAnsi="宋体" w:cs="宋体"/>
                <w:szCs w:val="21"/>
              </w:rPr>
              <w:t>12、因加密电子投标文件未能成功上传或误传等自身原因而导致的解密失败,投标将被拒绝；</w:t>
            </w:r>
          </w:p>
          <w:p>
            <w:pPr>
              <w:wordWrap w:val="0"/>
              <w:rPr>
                <w:rFonts w:ascii="宋体" w:hAnsi="宋体" w:cs="宋体"/>
                <w:szCs w:val="21"/>
              </w:rPr>
            </w:pPr>
            <w:r>
              <w:rPr>
                <w:rFonts w:hint="eastAsia" w:ascii="宋体" w:hAnsi="宋体" w:cs="宋体"/>
                <w:szCs w:val="21"/>
              </w:rPr>
              <w:t>13、评标过程中，如有投标人存在“投标文件制作机器码一致”，则视其投标无效。</w:t>
            </w:r>
          </w:p>
          <w:p>
            <w:pPr>
              <w:wordWrap w:val="0"/>
              <w:rPr>
                <w:rFonts w:ascii="宋体" w:hAnsi="宋体" w:cs="宋体"/>
                <w:szCs w:val="21"/>
              </w:rPr>
            </w:pPr>
            <w:r>
              <w:rPr>
                <w:rFonts w:hint="eastAsia" w:ascii="宋体" w:hAnsi="宋体" w:cs="宋体"/>
                <w:b/>
                <w:bCs/>
                <w:szCs w:val="21"/>
              </w:rPr>
              <w:t>备注：凡出现上述规定情形之一的视为重大偏差作废标处理，其他偏差均视为细微偏差不作废标处理</w:t>
            </w:r>
            <w:r>
              <w:rPr>
                <w:rFonts w:hint="eastAsia" w:ascii="宋体" w:hAnsi="宋体" w:cs="宋体"/>
                <w:b/>
                <w:bCs/>
                <w:szCs w:val="21"/>
                <w:lang w:eastAsia="zh-CN"/>
              </w:rPr>
              <w:t>。</w:t>
            </w:r>
          </w:p>
        </w:tc>
      </w:tr>
      <w:tr>
        <w:tblPrEx>
          <w:tblCellMar>
            <w:top w:w="0" w:type="dxa"/>
            <w:left w:w="108" w:type="dxa"/>
            <w:bottom w:w="0" w:type="dxa"/>
            <w:right w:w="108" w:type="dxa"/>
          </w:tblCellMar>
        </w:tblPrEx>
        <w:trPr>
          <w:trHeight w:val="1579"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2.1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构成招标文件的其他资料</w:t>
            </w:r>
          </w:p>
        </w:tc>
        <w:tc>
          <w:tcPr>
            <w:tcW w:w="5198"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cs="宋体"/>
                <w:szCs w:val="21"/>
              </w:rPr>
            </w:pPr>
            <w:r>
              <w:rPr>
                <w:rFonts w:hint="eastAsia" w:ascii="宋体" w:hAnsi="宋体" w:cs="宋体"/>
                <w:szCs w:val="21"/>
              </w:rPr>
              <w:t>招标人在招标期间发出的招标文件补充文件、澄清、修改、答疑和其他有效正式函件，招标文件的澄清、修改、答疑或补充文件的内容均以网站发布的内容为准。招标文件的澄清、修改、答疑或补充文件在解释顺序方面优于该类文件之前的文件。当招标文件及其澄清、修改、答疑或补充文件对同一内容表述不一致时，以最后发出的网站内容为准。</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2.2.1</w:t>
            </w:r>
          </w:p>
        </w:tc>
        <w:tc>
          <w:tcPr>
            <w:tcW w:w="215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投标人要求澄清招标文件的截止时间</w:t>
            </w:r>
          </w:p>
        </w:tc>
        <w:tc>
          <w:tcPr>
            <w:tcW w:w="5198"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cs="宋体"/>
                <w:szCs w:val="21"/>
              </w:rPr>
            </w:pPr>
            <w:r>
              <w:rPr>
                <w:rFonts w:hint="eastAsia" w:ascii="宋体" w:hAnsi="宋体" w:cs="宋体"/>
                <w:szCs w:val="21"/>
              </w:rPr>
              <w:t>投标截止时间15天前</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2.2.2</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投标截止时间</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szCs w:val="21"/>
              </w:rPr>
            </w:pP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日9时00分</w:t>
            </w:r>
          </w:p>
        </w:tc>
      </w:tr>
      <w:tr>
        <w:tblPrEx>
          <w:tblCellMar>
            <w:top w:w="0" w:type="dxa"/>
            <w:left w:w="108" w:type="dxa"/>
            <w:bottom w:w="0" w:type="dxa"/>
            <w:right w:w="108" w:type="dxa"/>
          </w:tblCellMar>
        </w:tblPrEx>
        <w:trPr>
          <w:trHeight w:val="571"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2.2.3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投标人确认收到招标文件澄清的时间</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cs="宋体"/>
                <w:szCs w:val="21"/>
              </w:rPr>
            </w:pPr>
            <w:r>
              <w:rPr>
                <w:spacing w:val="-1"/>
              </w:rPr>
              <w:t>在收到相应澄清文件后</w:t>
            </w:r>
            <w:r>
              <w:rPr>
                <w:rFonts w:ascii="Times New Roman" w:hAnsi="Times New Roman" w:eastAsia="Times New Roman" w:cs="Times New Roman"/>
                <w:spacing w:val="-1"/>
                <w:u w:val="single" w:color="auto"/>
              </w:rPr>
              <w:t xml:space="preserve">  24  </w:t>
            </w:r>
            <w:r>
              <w:rPr>
                <w:spacing w:val="-1"/>
              </w:rPr>
              <w:t>小时内</w:t>
            </w:r>
            <w:r>
              <w:rPr>
                <w:rFonts w:hint="eastAsia" w:ascii="宋体" w:hAnsi="宋体" w:cs="宋体"/>
                <w:szCs w:val="21"/>
              </w:rPr>
              <w:t>到</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2.3.2</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投标人确认收到招标文件修改的时间</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cs="宋体"/>
                <w:szCs w:val="21"/>
              </w:rPr>
            </w:pPr>
            <w:r>
              <w:rPr>
                <w:spacing w:val="-1"/>
              </w:rPr>
              <w:t>在收到相应修改文件后</w:t>
            </w:r>
            <w:r>
              <w:rPr>
                <w:spacing w:val="-42"/>
              </w:rPr>
              <w:t xml:space="preserve"> </w:t>
            </w:r>
            <w:r>
              <w:rPr>
                <w:rFonts w:ascii="Times New Roman" w:hAnsi="Times New Roman" w:eastAsia="Times New Roman" w:cs="Times New Roman"/>
                <w:spacing w:val="-1"/>
                <w:u w:val="single" w:color="auto"/>
              </w:rPr>
              <w:t xml:space="preserve">24  </w:t>
            </w:r>
            <w:r>
              <w:rPr>
                <w:spacing w:val="-1"/>
              </w:rPr>
              <w:t>小时内</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3.2</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投标报价</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投标人应按第六章“投标文件格式”的要求填写价格。</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pStyle w:val="65"/>
              <w:kinsoku w:val="0"/>
              <w:overflowPunct w:val="0"/>
              <w:topLinePunct/>
              <w:snapToGrid w:val="0"/>
              <w:jc w:val="center"/>
              <w:rPr>
                <w:szCs w:val="21"/>
              </w:rPr>
            </w:pPr>
            <w:r>
              <w:rPr>
                <w:rFonts w:hint="eastAsia"/>
                <w:szCs w:val="21"/>
              </w:rPr>
              <w:t>3.2.3</w:t>
            </w:r>
          </w:p>
        </w:tc>
        <w:tc>
          <w:tcPr>
            <w:tcW w:w="2155"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宋体" w:hAnsi="宋体" w:cs="宋体"/>
                <w:szCs w:val="21"/>
              </w:rPr>
            </w:pPr>
            <w:r>
              <w:rPr>
                <w:rFonts w:hint="eastAsia" w:ascii="宋体" w:hAnsi="宋体" w:cs="宋体"/>
                <w:szCs w:val="21"/>
              </w:rPr>
              <w:t>报价方式</w:t>
            </w:r>
          </w:p>
        </w:tc>
        <w:tc>
          <w:tcPr>
            <w:tcW w:w="5198" w:type="dxa"/>
            <w:tcBorders>
              <w:top w:val="single" w:color="auto" w:sz="4" w:space="0"/>
              <w:left w:val="single" w:color="auto" w:sz="4" w:space="0"/>
              <w:bottom w:val="single" w:color="auto" w:sz="4" w:space="0"/>
              <w:right w:val="single" w:color="auto" w:sz="4" w:space="0"/>
            </w:tcBorders>
            <w:vAlign w:val="center"/>
          </w:tcPr>
          <w:p>
            <w:pPr>
              <w:topLinePunct/>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根据有关规定，投标人按规定的范围提供全部建设项目监理服务所需的费用，应根据本工程特点结合市场情况自主报价,但不得高于本项目的最高投标限价（控制价）。</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pStyle w:val="65"/>
              <w:kinsoku w:val="0"/>
              <w:overflowPunct w:val="0"/>
              <w:topLinePunct/>
              <w:snapToGrid w:val="0"/>
              <w:jc w:val="center"/>
              <w:rPr>
                <w:szCs w:val="21"/>
                <w:highlight w:val="none"/>
                <w:lang w:val="en-US"/>
              </w:rPr>
            </w:pPr>
            <w:r>
              <w:rPr>
                <w:rFonts w:hint="eastAsia"/>
                <w:szCs w:val="21"/>
                <w:highlight w:val="none"/>
                <w:lang w:val="en-US"/>
              </w:rPr>
              <w:t>3.2.4</w:t>
            </w:r>
          </w:p>
        </w:tc>
        <w:tc>
          <w:tcPr>
            <w:tcW w:w="2155" w:type="dxa"/>
            <w:tcBorders>
              <w:top w:val="single" w:color="auto" w:sz="4" w:space="0"/>
              <w:left w:val="single" w:color="auto" w:sz="4" w:space="0"/>
              <w:bottom w:val="single" w:color="auto" w:sz="4" w:space="0"/>
              <w:right w:val="single" w:color="auto" w:sz="4" w:space="0"/>
            </w:tcBorders>
            <w:vAlign w:val="center"/>
          </w:tcPr>
          <w:p>
            <w:pPr>
              <w:topLinePunct/>
              <w:snapToGrid w:val="0"/>
              <w:jc w:val="center"/>
              <w:rPr>
                <w:rFonts w:ascii="宋体" w:hAnsi="宋体" w:cs="宋体"/>
                <w:szCs w:val="21"/>
                <w:highlight w:val="none"/>
              </w:rPr>
            </w:pPr>
            <w:r>
              <w:rPr>
                <w:rFonts w:hint="eastAsia" w:ascii="宋体" w:hAnsi="宋体" w:cs="宋体"/>
                <w:szCs w:val="21"/>
                <w:highlight w:val="none"/>
              </w:rPr>
              <w:t>招标控制价</w:t>
            </w:r>
          </w:p>
        </w:tc>
        <w:tc>
          <w:tcPr>
            <w:tcW w:w="5198" w:type="dxa"/>
            <w:tcBorders>
              <w:top w:val="single" w:color="auto" w:sz="4" w:space="0"/>
              <w:left w:val="single" w:color="auto" w:sz="4" w:space="0"/>
              <w:bottom w:val="single" w:color="auto" w:sz="4" w:space="0"/>
              <w:right w:val="single" w:color="auto" w:sz="4" w:space="0"/>
            </w:tcBorders>
            <w:vAlign w:val="center"/>
          </w:tcPr>
          <w:p>
            <w:pPr>
              <w:topLinePunct/>
              <w:snapToGrid w:val="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招标控制价：</w:t>
            </w:r>
            <w:r>
              <w:rPr>
                <w:rFonts w:hint="eastAsia" w:ascii="宋体" w:hAnsi="宋体" w:cs="宋体"/>
                <w:color w:val="000000" w:themeColor="text1"/>
                <w:szCs w:val="21"/>
                <w:lang w:val="en-US" w:eastAsia="zh-CN"/>
                <w14:textFill>
                  <w14:solidFill>
                    <w14:schemeClr w14:val="tx1"/>
                  </w14:solidFill>
                </w14:textFill>
              </w:rPr>
              <w:t>1986600元</w:t>
            </w:r>
          </w:p>
          <w:p>
            <w:pPr>
              <w:topLinePunct/>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（大写：壹佰玖拾捌万陆仟陆佰元整）</w:t>
            </w:r>
          </w:p>
        </w:tc>
      </w:tr>
      <w:tr>
        <w:tblPrEx>
          <w:tblCellMar>
            <w:top w:w="0" w:type="dxa"/>
            <w:left w:w="108" w:type="dxa"/>
            <w:bottom w:w="0" w:type="dxa"/>
            <w:right w:w="108" w:type="dxa"/>
          </w:tblCellMar>
        </w:tblPrEx>
        <w:trPr>
          <w:trHeight w:val="521"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3.3.1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投标有效期</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szCs w:val="21"/>
              </w:rPr>
            </w:pPr>
            <w:r>
              <w:rPr>
                <w:rFonts w:hint="eastAsia" w:ascii="宋体" w:hAnsi="宋体" w:cs="宋体"/>
                <w:szCs w:val="21"/>
              </w:rPr>
              <w:t>从递交投标文件截止日起90天。</w:t>
            </w:r>
          </w:p>
        </w:tc>
      </w:tr>
      <w:tr>
        <w:tblPrEx>
          <w:tblCellMar>
            <w:top w:w="0" w:type="dxa"/>
            <w:left w:w="108" w:type="dxa"/>
            <w:bottom w:w="0" w:type="dxa"/>
            <w:right w:w="108" w:type="dxa"/>
          </w:tblCellMar>
        </w:tblPrEx>
        <w:trPr>
          <w:trHeight w:val="5354"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3.4.1</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一、投标保证金的提供方式：转账或保函或电子保函。</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highlight w:val="none"/>
                <w14:textFill>
                  <w14:solidFill>
                    <w14:schemeClr w14:val="tx1"/>
                  </w14:solidFill>
                </w14:textFill>
              </w:rPr>
              <w:t>投标保证金的金额：</w:t>
            </w:r>
            <w:r>
              <w:rPr>
                <w:rFonts w:hint="eastAsia" w:ascii="宋体"/>
                <w:color w:val="000000" w:themeColor="text1"/>
                <w:szCs w:val="21"/>
                <w:lang w:val="en-US" w:eastAsia="zh-CN"/>
                <w14:textFill>
                  <w14:solidFill>
                    <w14:schemeClr w14:val="tx1"/>
                  </w14:solidFill>
                </w14:textFill>
              </w:rPr>
              <w:t>叁万</w:t>
            </w:r>
            <w:r>
              <w:rPr>
                <w:rFonts w:hint="eastAsia" w:ascii="宋体"/>
                <w:color w:val="000000" w:themeColor="text1"/>
                <w:szCs w:val="21"/>
                <w14:textFill>
                  <w14:solidFill>
                    <w14:schemeClr w14:val="tx1"/>
                  </w14:solidFill>
                </w14:textFill>
              </w:rPr>
              <w:t>元整（¥：</w:t>
            </w:r>
            <w:r>
              <w:rPr>
                <w:rFonts w:hint="eastAsia" w:ascii="宋体"/>
                <w:color w:val="000000" w:themeColor="text1"/>
                <w:szCs w:val="21"/>
                <w:lang w:val="en-US" w:eastAsia="zh-CN"/>
                <w14:textFill>
                  <w14:solidFill>
                    <w14:schemeClr w14:val="tx1"/>
                  </w14:solidFill>
                </w14:textFill>
              </w:rPr>
              <w:t>30000元</w:t>
            </w:r>
            <w:r>
              <w:rPr>
                <w:rFonts w:hint="eastAsia" w:ascii="宋体"/>
                <w:color w:val="000000" w:themeColor="text1"/>
                <w:szCs w:val="21"/>
                <w14:textFill>
                  <w14:solidFill>
                    <w14:schemeClr w14:val="tx1"/>
                  </w14:solidFill>
                </w14:textFill>
              </w:rPr>
              <w:t>）</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转账必须由投标人基本账户汇至焦作市公共资源交易中心指定账户，不得以现金和其他形式提交。（未从基本账户汇出或未按时到账者视为无效）。</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投标保证金提交截止时间：</w:t>
            </w:r>
            <w:r>
              <w:rPr>
                <w:rFonts w:hint="eastAsia" w:ascii="宋体"/>
                <w:color w:val="000000" w:themeColor="text1"/>
                <w:szCs w:val="21"/>
                <w:highlight w:val="none"/>
                <w14:textFill>
                  <w14:solidFill>
                    <w14:schemeClr w14:val="tx1"/>
                  </w14:solidFill>
                </w14:textFill>
              </w:rPr>
              <w:t>202</w:t>
            </w:r>
            <w:r>
              <w:rPr>
                <w:rFonts w:hint="eastAsia" w:ascii="宋体"/>
                <w:color w:val="000000" w:themeColor="text1"/>
                <w:szCs w:val="21"/>
                <w:highlight w:val="none"/>
                <w:lang w:val="en-US" w:eastAsia="zh-CN"/>
                <w14:textFill>
                  <w14:solidFill>
                    <w14:schemeClr w14:val="tx1"/>
                  </w14:solidFill>
                </w14:textFill>
              </w:rPr>
              <w:t>4</w:t>
            </w:r>
            <w:r>
              <w:rPr>
                <w:rFonts w:hint="eastAsia" w:ascii="宋体"/>
                <w:color w:val="000000" w:themeColor="text1"/>
                <w:szCs w:val="21"/>
                <w:highlight w:val="none"/>
                <w14:textFill>
                  <w14:solidFill>
                    <w14:schemeClr w14:val="tx1"/>
                  </w14:solidFill>
                </w14:textFill>
              </w:rPr>
              <w:t>年</w:t>
            </w:r>
            <w:r>
              <w:rPr>
                <w:rFonts w:hint="eastAsia" w:ascii="宋体"/>
                <w:color w:val="000000" w:themeColor="text1"/>
                <w:szCs w:val="21"/>
                <w:highlight w:val="none"/>
                <w:lang w:val="en-US" w:eastAsia="zh-CN"/>
                <w14:textFill>
                  <w14:solidFill>
                    <w14:schemeClr w14:val="tx1"/>
                  </w14:solidFill>
                </w14:textFill>
              </w:rPr>
              <w:t>4</w:t>
            </w:r>
            <w:r>
              <w:rPr>
                <w:rFonts w:hint="eastAsia" w:ascii="宋体"/>
                <w:color w:val="000000" w:themeColor="text1"/>
                <w:szCs w:val="21"/>
                <w:highlight w:val="none"/>
                <w14:textFill>
                  <w14:solidFill>
                    <w14:schemeClr w14:val="tx1"/>
                  </w14:solidFill>
                </w14:textFill>
              </w:rPr>
              <w:t>月</w:t>
            </w:r>
            <w:r>
              <w:rPr>
                <w:rFonts w:hint="eastAsia" w:ascii="宋体"/>
                <w:color w:val="000000" w:themeColor="text1"/>
                <w:szCs w:val="21"/>
                <w:highlight w:val="none"/>
                <w:lang w:val="en-US" w:eastAsia="zh-CN"/>
                <w14:textFill>
                  <w14:solidFill>
                    <w14:schemeClr w14:val="tx1"/>
                  </w14:solidFill>
                </w14:textFill>
              </w:rPr>
              <w:t>29</w:t>
            </w:r>
            <w:r>
              <w:rPr>
                <w:rFonts w:hint="eastAsia" w:ascii="宋体"/>
                <w:color w:val="000000" w:themeColor="text1"/>
                <w:szCs w:val="21"/>
                <w:highlight w:val="none"/>
                <w14:textFill>
                  <w14:solidFill>
                    <w14:schemeClr w14:val="tx1"/>
                  </w14:solidFill>
                </w14:textFill>
              </w:rPr>
              <w:t>日</w:t>
            </w:r>
            <w:r>
              <w:rPr>
                <w:rFonts w:hint="eastAsia" w:ascii="宋体"/>
                <w:color w:val="000000" w:themeColor="text1"/>
                <w:szCs w:val="21"/>
                <w14:textFill>
                  <w14:solidFill>
                    <w14:schemeClr w14:val="tx1"/>
                  </w14:solidFill>
                </w14:textFill>
              </w:rPr>
              <w:t>下午17时前（含17时）</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名称：焦作市公共资源交易中心</w:t>
            </w:r>
          </w:p>
          <w:p>
            <w:pPr>
              <w:adjustRightInd w:val="0"/>
              <w:snapToGrid w:val="0"/>
              <w:rPr>
                <w:rFonts w:hint="eastAsia" w:ascii="宋体"/>
                <w:color w:val="000000" w:themeColor="text1"/>
                <w:szCs w:val="21"/>
                <w14:textFill>
                  <w14:solidFill>
                    <w14:schemeClr w14:val="tx1"/>
                  </w14:solidFill>
                </w14:textFill>
              </w:rPr>
            </w:pPr>
            <w:r>
              <w:rPr>
                <w:rFonts w:hint="eastAsia" w:ascii="宋体"/>
                <w:color w:val="000000" w:themeColor="text1"/>
                <w:szCs w:val="21"/>
                <w:highlight w:val="none"/>
                <w14:textFill>
                  <w14:solidFill>
                    <w14:schemeClr w14:val="tx1"/>
                  </w14:solidFill>
                </w14:textFill>
              </w:rPr>
              <w:t>开户行1：</w:t>
            </w:r>
            <w:r>
              <w:rPr>
                <w:rFonts w:hint="eastAsia" w:ascii="宋体"/>
                <w:color w:val="000000" w:themeColor="text1"/>
                <w:szCs w:val="21"/>
                <w14:textFill>
                  <w14:solidFill>
                    <w14:schemeClr w14:val="tx1"/>
                  </w14:solidFill>
                </w14:textFill>
              </w:rPr>
              <w:t>中国工商银行股份有限公司焦作分行</w:t>
            </w:r>
          </w:p>
          <w:p>
            <w:pPr>
              <w:adjustRightInd w:val="0"/>
              <w:snapToGrid w:val="0"/>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账号1：1709020338000173644</w:t>
            </w:r>
          </w:p>
          <w:p>
            <w:pPr>
              <w:adjustRightInd w:val="0"/>
              <w:snapToGrid w:val="0"/>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开户行2：中国邮政储蓄银行股份有限公司焦作市民主南路支行</w:t>
            </w:r>
          </w:p>
          <w:p>
            <w:pPr>
              <w:adjustRightInd w:val="0"/>
              <w:snapToGrid w:val="0"/>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账号2：94100101009895000900196</w:t>
            </w:r>
          </w:p>
          <w:p>
            <w:pPr>
              <w:adjustRightInd w:val="0"/>
              <w:snapToGrid w:val="0"/>
              <w:rPr>
                <w:rFonts w:hint="eastAsia"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开户行3：中国建设银行股份有限公司焦作焦西支行</w:t>
            </w:r>
          </w:p>
          <w:p>
            <w:pPr>
              <w:adjustRightInd w:val="0"/>
              <w:snapToGrid w:val="0"/>
              <w:rPr>
                <w:rFonts w:hint="default" w:ascii="宋体" w:eastAsia="宋体"/>
                <w:color w:val="000000" w:themeColor="text1"/>
                <w:szCs w:val="21"/>
                <w:lang w:val="en-US" w:eastAsia="zh-CN"/>
                <w14:textFill>
                  <w14:solidFill>
                    <w14:schemeClr w14:val="tx1"/>
                  </w14:solidFill>
                </w14:textFill>
              </w:rPr>
            </w:pPr>
            <w:r>
              <w:rPr>
                <w:rFonts w:hint="eastAsia" w:ascii="宋体"/>
                <w:color w:val="000000" w:themeColor="text1"/>
                <w:szCs w:val="21"/>
                <w14:textFill>
                  <w14:solidFill>
                    <w14:schemeClr w14:val="tx1"/>
                  </w14:solidFill>
                </w14:textFill>
              </w:rPr>
              <w:t>账号3：41001510516050211562</w:t>
            </w:r>
            <w:r>
              <w:rPr>
                <w:rFonts w:hint="eastAsia" w:ascii="宋体"/>
                <w:color w:val="000000" w:themeColor="text1"/>
                <w:szCs w:val="21"/>
                <w:lang w:val="en-US" w:eastAsia="zh-CN"/>
                <w14:textFill>
                  <w14:solidFill>
                    <w14:schemeClr w14:val="tx1"/>
                  </w14:solidFill>
                </w14:textFill>
              </w:rPr>
              <w:t>-0675</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备注：（1）以上账户任选其一。</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（2）按标段分别提交保证金；如联合体投标，应当以联合体中牵头人的名义提交保证金。</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特别提醒：会员注册请注意，注册诚信信息时基本账户要真实有效，并上传开户许可证或基本户证明。转账时要从基本账户转出，开标时系统会自动对账户进行匹配。已注册会员的如需修改基本信息请修改后再进行报名。</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（4）保函是由银行业金融机构、保险公司或专业担保公司出具。以保函形式提交的，需将保函扫描件做入投标文件，作为其投标文件的组成部分。</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二、电子保函具体操作方法，投标人在获取项目招标文件后进行电子保函申请，按要求操作，在线选择保函平台申请电子保函，确认企业信息并选择银行/担保机构，由银行/担保机构为投标人在线开具电子投标保函。在投标截止时间前开具成功的电子投标保函系统自动确认生效，并通过电子交易系统在线递交。</w:t>
            </w:r>
          </w:p>
          <w:p>
            <w:pPr>
              <w:adjustRightInd w:val="0"/>
              <w:snapToGrid w:val="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打开IE浏览器，访问金融服务平台地址进行保函申请：</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http://222.143.135.34:7890/financeplatform。</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3.5.2</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近年财务状况的年份要求</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近</w:t>
            </w:r>
            <w:r>
              <w:rPr>
                <w:rFonts w:hint="eastAsia" w:ascii="宋体" w:hAnsi="宋体" w:cs="宋体"/>
                <w:szCs w:val="21"/>
                <w:u w:val="single"/>
              </w:rPr>
              <w:t xml:space="preserve"> 3 </w:t>
            </w:r>
            <w:r>
              <w:rPr>
                <w:rFonts w:hint="eastAsia" w:ascii="宋体" w:hAnsi="宋体" w:cs="宋体"/>
                <w:szCs w:val="21"/>
              </w:rPr>
              <w:t>年，指</w:t>
            </w:r>
            <w:r>
              <w:rPr>
                <w:rFonts w:hint="eastAsia" w:ascii="宋体" w:hAnsi="宋体" w:cs="宋体"/>
                <w:szCs w:val="21"/>
                <w:u w:val="single"/>
              </w:rPr>
              <w:t xml:space="preserve"> 2020 </w:t>
            </w:r>
            <w:r>
              <w:rPr>
                <w:rFonts w:hint="eastAsia" w:ascii="宋体" w:hAnsi="宋体" w:cs="宋体"/>
                <w:szCs w:val="21"/>
              </w:rPr>
              <w:t>年至</w:t>
            </w:r>
            <w:r>
              <w:rPr>
                <w:rFonts w:hint="eastAsia" w:ascii="宋体" w:hAnsi="宋体" w:cs="宋体"/>
                <w:szCs w:val="21"/>
                <w:u w:val="single"/>
              </w:rPr>
              <w:t xml:space="preserve"> 2022</w:t>
            </w:r>
            <w:r>
              <w:rPr>
                <w:rFonts w:hint="eastAsia" w:ascii="宋体" w:hAnsi="宋体" w:cs="宋体"/>
                <w:szCs w:val="21"/>
              </w:rPr>
              <w:t>年新成立公司以注册时间为准</w:t>
            </w:r>
          </w:p>
        </w:tc>
      </w:tr>
      <w:tr>
        <w:tblPrEx>
          <w:tblCellMar>
            <w:top w:w="0" w:type="dxa"/>
            <w:left w:w="108" w:type="dxa"/>
            <w:bottom w:w="0" w:type="dxa"/>
            <w:right w:w="108" w:type="dxa"/>
          </w:tblCellMar>
        </w:tblPrEx>
        <w:trPr>
          <w:trHeight w:val="38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3.5.3</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近年完成的类似项目的年份要求</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近</w:t>
            </w:r>
            <w:r>
              <w:rPr>
                <w:rFonts w:hint="eastAsia" w:ascii="宋体" w:hAnsi="宋体" w:cs="宋体"/>
                <w:szCs w:val="21"/>
                <w:u w:val="single"/>
              </w:rPr>
              <w:t xml:space="preserve"> 3</w:t>
            </w:r>
            <w:r>
              <w:rPr>
                <w:rFonts w:hint="eastAsia" w:ascii="宋体" w:hAnsi="宋体" w:cs="宋体"/>
                <w:szCs w:val="21"/>
              </w:rPr>
              <w:t>年，指</w:t>
            </w:r>
            <w:r>
              <w:rPr>
                <w:rFonts w:hint="eastAsia" w:ascii="宋体" w:hAnsi="宋体" w:cs="宋体"/>
                <w:szCs w:val="21"/>
                <w:u w:val="single"/>
              </w:rPr>
              <w:t xml:space="preserve"> 202</w:t>
            </w:r>
            <w:r>
              <w:rPr>
                <w:rFonts w:hint="eastAsia" w:ascii="宋体" w:hAnsi="宋体" w:cs="宋体"/>
                <w:szCs w:val="21"/>
                <w:u w:val="single"/>
                <w:lang w:val="en-US" w:eastAsia="zh-CN"/>
              </w:rPr>
              <w:t>1</w:t>
            </w:r>
            <w:r>
              <w:rPr>
                <w:rFonts w:hint="eastAsia" w:ascii="宋体" w:hAnsi="宋体" w:cs="宋体"/>
                <w:szCs w:val="21"/>
              </w:rPr>
              <w:t>年</w:t>
            </w:r>
            <w:r>
              <w:rPr>
                <w:rFonts w:hint="eastAsia" w:ascii="宋体" w:hAnsi="宋体" w:cs="宋体"/>
                <w:szCs w:val="21"/>
                <w:u w:val="single"/>
              </w:rPr>
              <w:t xml:space="preserve"> 1 </w:t>
            </w:r>
            <w:r>
              <w:rPr>
                <w:rFonts w:hint="eastAsia" w:ascii="宋体" w:hAnsi="宋体" w:cs="宋体"/>
                <w:szCs w:val="21"/>
              </w:rPr>
              <w:t>月</w:t>
            </w:r>
            <w:r>
              <w:rPr>
                <w:rFonts w:hint="eastAsia" w:ascii="宋体" w:hAnsi="宋体" w:cs="宋体"/>
                <w:szCs w:val="21"/>
                <w:u w:val="single"/>
              </w:rPr>
              <w:t xml:space="preserve"> 1 </w:t>
            </w:r>
            <w:r>
              <w:rPr>
                <w:rFonts w:hint="eastAsia" w:ascii="宋体" w:hAnsi="宋体" w:cs="宋体"/>
                <w:szCs w:val="21"/>
              </w:rPr>
              <w:t>日起</w:t>
            </w:r>
          </w:p>
          <w:p>
            <w:pPr>
              <w:adjustRightInd w:val="0"/>
              <w:snapToGrid w:val="0"/>
              <w:rPr>
                <w:rFonts w:ascii="宋体" w:hAnsi="宋体" w:cs="宋体"/>
                <w:szCs w:val="21"/>
                <w:u w:val="single"/>
              </w:rPr>
            </w:pPr>
            <w:r>
              <w:rPr>
                <w:rFonts w:hint="eastAsia" w:ascii="宋体" w:hAnsi="宋体" w:cs="宋体"/>
                <w:szCs w:val="21"/>
              </w:rPr>
              <w:t>至</w:t>
            </w:r>
            <w:bookmarkStart w:id="26" w:name="EBf5631a4b2e664e498df217f9200d4c1d"/>
            <w:r>
              <w:rPr>
                <w:rFonts w:hint="eastAsia" w:ascii="宋体" w:hAnsi="宋体" w:cs="宋体"/>
                <w:szCs w:val="21"/>
              </w:rPr>
              <w:t>投标文件截止日期</w:t>
            </w:r>
            <w:bookmarkEnd w:id="26"/>
            <w:r>
              <w:rPr>
                <w:rFonts w:hint="eastAsia" w:ascii="宋体" w:hAnsi="宋体" w:cs="宋体"/>
                <w:szCs w:val="21"/>
              </w:rPr>
              <w:t>止。</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3.5.5</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cs="宋体"/>
                <w:szCs w:val="21"/>
              </w:rPr>
            </w:pPr>
            <w:r>
              <w:rPr>
                <w:rFonts w:hint="eastAsia" w:ascii="宋体" w:hAnsi="宋体" w:cs="宋体"/>
                <w:szCs w:val="21"/>
              </w:rPr>
              <w:t>近年发生的诉讼及仲裁情况的年份要求</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近</w:t>
            </w:r>
            <w:r>
              <w:rPr>
                <w:rFonts w:hint="eastAsia" w:ascii="宋体" w:hAnsi="宋体" w:cs="宋体"/>
                <w:szCs w:val="21"/>
                <w:u w:val="single"/>
              </w:rPr>
              <w:t xml:space="preserve"> 3 </w:t>
            </w:r>
            <w:r>
              <w:rPr>
                <w:rFonts w:hint="eastAsia" w:ascii="宋体" w:hAnsi="宋体" w:cs="宋体"/>
                <w:szCs w:val="21"/>
              </w:rPr>
              <w:t>年，指</w:t>
            </w:r>
            <w:r>
              <w:rPr>
                <w:rFonts w:hint="eastAsia" w:ascii="宋体" w:hAnsi="宋体" w:cs="宋体"/>
                <w:szCs w:val="21"/>
                <w:u w:val="single"/>
              </w:rPr>
              <w:t xml:space="preserve"> 202</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1 </w:t>
            </w:r>
            <w:r>
              <w:rPr>
                <w:rFonts w:hint="eastAsia" w:ascii="宋体" w:hAnsi="宋体" w:cs="宋体"/>
                <w:szCs w:val="21"/>
              </w:rPr>
              <w:t>月</w:t>
            </w:r>
            <w:r>
              <w:rPr>
                <w:rFonts w:hint="eastAsia" w:ascii="宋体" w:hAnsi="宋体" w:cs="宋体"/>
                <w:szCs w:val="21"/>
                <w:u w:val="single"/>
              </w:rPr>
              <w:t xml:space="preserve"> 1 </w:t>
            </w:r>
            <w:r>
              <w:rPr>
                <w:rFonts w:hint="eastAsia" w:ascii="宋体" w:hAnsi="宋体" w:cs="宋体"/>
                <w:szCs w:val="21"/>
              </w:rPr>
              <w:t>日起</w:t>
            </w:r>
          </w:p>
          <w:p>
            <w:pPr>
              <w:adjustRightInd w:val="0"/>
              <w:snapToGrid w:val="0"/>
              <w:rPr>
                <w:rFonts w:ascii="宋体" w:hAnsi="宋体" w:cs="宋体"/>
                <w:szCs w:val="21"/>
              </w:rPr>
            </w:pPr>
            <w:r>
              <w:rPr>
                <w:rFonts w:hint="eastAsia" w:ascii="宋体" w:hAnsi="宋体" w:cs="宋体"/>
                <w:szCs w:val="21"/>
                <w:u w:val="single"/>
              </w:rPr>
              <w:t>至投标文件截止日期止。</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3.6</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是否允许递交备选投标方案</w:t>
            </w:r>
          </w:p>
        </w:tc>
        <w:tc>
          <w:tcPr>
            <w:tcW w:w="5198" w:type="dxa"/>
            <w:tcBorders>
              <w:top w:val="single" w:color="auto" w:sz="4" w:space="0"/>
              <w:left w:val="single" w:color="auto" w:sz="4" w:space="0"/>
              <w:bottom w:val="single" w:color="auto" w:sz="4" w:space="0"/>
              <w:right w:val="single" w:color="auto" w:sz="4" w:space="0"/>
            </w:tcBorders>
            <w:vAlign w:val="center"/>
          </w:tcPr>
          <w:p>
            <w:pPr>
              <w:pStyle w:val="9"/>
              <w:topLinePunct/>
              <w:snapToGrid w:val="0"/>
              <w:textAlignment w:val="baseline"/>
              <w:rPr>
                <w:rFonts w:hAnsi="宋体" w:cs="宋体"/>
                <w:sz w:val="21"/>
                <w:szCs w:val="21"/>
              </w:rPr>
            </w:pPr>
            <w:r>
              <w:rPr>
                <w:rFonts w:hint="eastAsia" w:hAnsi="宋体" w:cs="宋体"/>
                <w:sz w:val="21"/>
                <w:szCs w:val="21"/>
              </w:rPr>
              <w:t>不允许</w:t>
            </w:r>
          </w:p>
        </w:tc>
      </w:tr>
      <w:tr>
        <w:tblPrEx>
          <w:tblCellMar>
            <w:top w:w="0" w:type="dxa"/>
            <w:left w:w="108" w:type="dxa"/>
            <w:bottom w:w="0" w:type="dxa"/>
            <w:right w:w="108" w:type="dxa"/>
          </w:tblCellMar>
        </w:tblPrEx>
        <w:trPr>
          <w:trHeight w:val="15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3.7.3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签字或盖章要求</w:t>
            </w:r>
          </w:p>
        </w:tc>
        <w:tc>
          <w:tcPr>
            <w:tcW w:w="5198" w:type="dxa"/>
            <w:tcBorders>
              <w:top w:val="single" w:color="auto" w:sz="4" w:space="0"/>
              <w:left w:val="single" w:color="auto" w:sz="4" w:space="0"/>
              <w:bottom w:val="single" w:color="auto" w:sz="4" w:space="0"/>
              <w:right w:val="single" w:color="auto" w:sz="4" w:space="0"/>
            </w:tcBorders>
            <w:vAlign w:val="center"/>
          </w:tcPr>
          <w:p>
            <w:pPr>
              <w:pStyle w:val="65"/>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电子投标文件</w:t>
            </w:r>
          </w:p>
          <w:p>
            <w:pPr>
              <w:pStyle w:val="65"/>
              <w:tabs>
                <w:tab w:val="left" w:pos="641"/>
              </w:tabs>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1）所有要求投标人加盖公章的地方应加盖投标人单位的公章或企业 CA 签章。</w:t>
            </w:r>
          </w:p>
          <w:p>
            <w:pPr>
              <w:pStyle w:val="65"/>
              <w:tabs>
                <w:tab w:val="left" w:pos="641"/>
              </w:tabs>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2）所有要求法定代表人签字的地方应由法定代表人签字或法定代表人个人 CA 印章。</w:t>
            </w:r>
          </w:p>
          <w:p>
            <w:pPr>
              <w:pStyle w:val="65"/>
              <w:tabs>
                <w:tab w:val="left" w:pos="641"/>
              </w:tabs>
              <w:snapToGrid w:val="0"/>
              <w:jc w:val="left"/>
              <w:rPr>
                <w:rFonts w:hint="eastAsia"/>
                <w:szCs w:val="21"/>
              </w:rPr>
            </w:pPr>
            <w:r>
              <w:rPr>
                <w:rFonts w:hint="eastAsia" w:ascii="宋体" w:hAnsi="宋体" w:eastAsia="宋体" w:cs="宋体"/>
                <w:kern w:val="2"/>
                <w:sz w:val="21"/>
                <w:szCs w:val="21"/>
                <w:lang w:val="en-US" w:eastAsia="zh-CN" w:bidi="ar-SA"/>
              </w:rPr>
              <w:t>3）所有要求其委托代理人签字的地方应由授权委托人签字</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3.7.4</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投标文件份数</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szCs w:val="21"/>
                <w:lang w:val="en-US" w:eastAsia="en-US"/>
              </w:rPr>
            </w:pPr>
            <w:r>
              <w:rPr>
                <w:rFonts w:hint="eastAsia" w:ascii="宋体" w:hAnsi="宋体" w:eastAsia="宋体" w:cs="宋体"/>
                <w:kern w:val="2"/>
                <w:sz w:val="21"/>
                <w:szCs w:val="21"/>
                <w:lang w:val="en-US" w:eastAsia="zh-CN" w:bidi="ar-SA"/>
              </w:rPr>
              <w:t>加密的电子投标文件壹份（*.jztf 格式在会员系统指</w:t>
            </w:r>
            <w:r>
              <w:rPr>
                <w:rFonts w:hint="eastAsia" w:ascii="宋体" w:hAnsi="宋体" w:cs="宋体"/>
                <w:szCs w:val="21"/>
                <w:lang w:val="en-US" w:eastAsia="zh-CN"/>
              </w:rPr>
              <w:t>定位置上传）；</w:t>
            </w:r>
            <w:r>
              <w:rPr>
                <w:rFonts w:hint="eastAsia" w:ascii="宋体" w:hAnsi="宋体" w:cs="宋体"/>
                <w:szCs w:val="21"/>
                <w:lang w:val="en-US" w:eastAsia="en-US"/>
              </w:rPr>
              <w:t>自备非加密的电子投标文件一份，如有紧急情况，在不见面开标按要求上传。</w:t>
            </w:r>
          </w:p>
          <w:p>
            <w:pPr>
              <w:adjustRightInd w:val="0"/>
              <w:snapToGrid w:val="0"/>
              <w:rPr>
                <w:rFonts w:ascii="宋体" w:hAnsi="宋体" w:cs="宋体"/>
                <w:szCs w:val="21"/>
              </w:rPr>
            </w:pPr>
            <w:r>
              <w:rPr>
                <w:rFonts w:hint="eastAsia" w:ascii="宋体" w:hAnsi="宋体" w:cs="宋体"/>
                <w:szCs w:val="21"/>
                <w:lang w:val="en-US" w:eastAsia="en-US"/>
              </w:rPr>
              <w:t>注：本工程投标时不需要提供纸质投标文件。中标单位在确定中标后，领取中标通知书时需提供</w:t>
            </w:r>
            <w:r>
              <w:rPr>
                <w:rFonts w:hint="eastAsia" w:ascii="宋体" w:hAnsi="宋体" w:cs="宋体"/>
                <w:szCs w:val="21"/>
                <w:lang w:val="en-US" w:eastAsia="zh-CN"/>
              </w:rPr>
              <w:t>陆</w:t>
            </w:r>
            <w:r>
              <w:rPr>
                <w:rFonts w:hint="eastAsia" w:ascii="宋体" w:hAnsi="宋体" w:cs="宋体"/>
                <w:szCs w:val="21"/>
                <w:lang w:val="en-US" w:eastAsia="en-US"/>
              </w:rPr>
              <w:t>份使用CA系统打印出来的完整的投标文件交招标人或招标代理（其中，正本壹份，副本</w:t>
            </w:r>
            <w:r>
              <w:rPr>
                <w:rFonts w:hint="eastAsia" w:ascii="宋体" w:hAnsi="宋体" w:cs="宋体"/>
                <w:szCs w:val="21"/>
                <w:lang w:val="en-US" w:eastAsia="zh-CN"/>
              </w:rPr>
              <w:t>四</w:t>
            </w:r>
            <w:r>
              <w:rPr>
                <w:rFonts w:hint="eastAsia" w:ascii="宋体" w:hAnsi="宋体" w:cs="宋体"/>
                <w:szCs w:val="21"/>
                <w:lang w:val="en-US" w:eastAsia="en-US"/>
              </w:rPr>
              <w:t>份）及不加密格式电子文件一份。</w:t>
            </w:r>
          </w:p>
        </w:tc>
      </w:tr>
      <w:tr>
        <w:tblPrEx>
          <w:tblCellMar>
            <w:top w:w="0" w:type="dxa"/>
            <w:left w:w="108" w:type="dxa"/>
            <w:bottom w:w="0" w:type="dxa"/>
            <w:right w:w="108" w:type="dxa"/>
          </w:tblCellMar>
        </w:tblPrEx>
        <w:trPr>
          <w:trHeight w:val="1651"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4.2.1</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投标文件的递交</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（1）电子投标文件的递交</w:t>
            </w:r>
          </w:p>
          <w:p>
            <w:pPr>
              <w:adjustRightInd w:val="0"/>
              <w:snapToGrid w:val="0"/>
              <w:rPr>
                <w:rFonts w:ascii="宋体" w:hAnsi="宋体" w:cs="宋体"/>
                <w:szCs w:val="21"/>
              </w:rPr>
            </w:pPr>
            <w:r>
              <w:rPr>
                <w:rFonts w:hint="eastAsia" w:ascii="宋体" w:hAnsi="宋体" w:cs="宋体"/>
                <w:szCs w:val="21"/>
              </w:rPr>
              <w:t>a、各投标人应在投标截至时间前上传加密的电子投标文件（*.jztf 格式）到会员系统的指定位置。上传时必须得到电脑“上传成功”的确认回复。请投标人在上传时认真检查上传投标文件是否完整、正确。</w:t>
            </w:r>
          </w:p>
          <w:p>
            <w:pPr>
              <w:adjustRightInd w:val="0"/>
              <w:snapToGrid w:val="0"/>
              <w:rPr>
                <w:rFonts w:ascii="宋体" w:hAnsi="宋体" w:cs="宋体"/>
                <w:szCs w:val="21"/>
              </w:rPr>
            </w:pPr>
            <w:r>
              <w:rPr>
                <w:rFonts w:hint="eastAsia" w:ascii="宋体" w:hAnsi="宋体" w:cs="宋体"/>
                <w:szCs w:val="21"/>
              </w:rPr>
              <w:t>b、投标人因交易中心交易系统无法上传电子投标文件时， 请在工作时间与焦作市公共资源交易中心联系，联系电话：0391-3568395。</w:t>
            </w:r>
          </w:p>
        </w:tc>
      </w:tr>
      <w:tr>
        <w:tblPrEx>
          <w:tblCellMar>
            <w:top w:w="0" w:type="dxa"/>
            <w:left w:w="108" w:type="dxa"/>
            <w:bottom w:w="0" w:type="dxa"/>
            <w:right w:w="108" w:type="dxa"/>
          </w:tblCellMar>
        </w:tblPrEx>
        <w:trPr>
          <w:trHeight w:val="1168"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4.2.2</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递交投标文件地点</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本项目采用</w:t>
            </w:r>
            <w:r>
              <w:rPr>
                <w:rFonts w:hint="eastAsia" w:ascii="宋体" w:hAnsi="宋体" w:cs="宋体"/>
                <w:b/>
                <w:bCs/>
                <w:szCs w:val="21"/>
              </w:rPr>
              <w:t>“远程不见面</w:t>
            </w:r>
            <w:r>
              <w:rPr>
                <w:rFonts w:hint="eastAsia" w:ascii="宋体" w:hAnsi="宋体" w:cs="宋体"/>
                <w:szCs w:val="21"/>
              </w:rPr>
              <w:t xml:space="preserve">”开标方式，远程开标大厅网址为http://122.112.246.33/BidOpening/bidopeninghallaction/hall/login，投标人无需到焦作市公共资源交易中心现场参加开标会议，无需到达现场提交原件资料。投标人应当在投标截止时间前，登录远程开标大厅，在线准时参加开标活动并进行文件解密等。  </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cs="宋体"/>
                <w:szCs w:val="21"/>
              </w:rPr>
            </w:pPr>
            <w:r>
              <w:rPr>
                <w:rFonts w:hint="eastAsia" w:ascii="宋体" w:hAnsi="宋体" w:cs="宋体"/>
                <w:szCs w:val="21"/>
              </w:rPr>
              <w:t>4.2.3</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宋体"/>
                <w:szCs w:val="21"/>
              </w:rPr>
            </w:pPr>
            <w:r>
              <w:rPr>
                <w:rFonts w:hint="eastAsia" w:ascii="宋体" w:hAnsi="宋体" w:cs="宋体"/>
                <w:szCs w:val="21"/>
              </w:rPr>
              <w:t>是否退还投标文件</w:t>
            </w:r>
          </w:p>
        </w:tc>
        <w:tc>
          <w:tcPr>
            <w:tcW w:w="5198" w:type="dxa"/>
            <w:tcBorders>
              <w:top w:val="single" w:color="auto" w:sz="4" w:space="0"/>
              <w:left w:val="single" w:color="auto" w:sz="4" w:space="0"/>
              <w:bottom w:val="single" w:color="auto" w:sz="4" w:space="0"/>
              <w:right w:val="single" w:color="auto" w:sz="4" w:space="0"/>
            </w:tcBorders>
            <w:vAlign w:val="center"/>
          </w:tcPr>
          <w:p>
            <w:pPr>
              <w:pStyle w:val="9"/>
              <w:topLinePunct/>
              <w:snapToGrid w:val="0"/>
              <w:textAlignment w:val="baseline"/>
              <w:rPr>
                <w:rFonts w:hAnsi="宋体" w:cs="宋体"/>
                <w:sz w:val="21"/>
                <w:szCs w:val="21"/>
              </w:rPr>
            </w:pPr>
            <w:r>
              <w:rPr>
                <w:rFonts w:hint="eastAsia" w:hAnsi="宋体" w:cs="宋体"/>
                <w:sz w:val="21"/>
                <w:szCs w:val="21"/>
              </w:rPr>
              <w:t>否</w:t>
            </w:r>
          </w:p>
        </w:tc>
      </w:tr>
      <w:tr>
        <w:tblPrEx>
          <w:tblCellMar>
            <w:top w:w="0" w:type="dxa"/>
            <w:left w:w="108" w:type="dxa"/>
            <w:bottom w:w="0" w:type="dxa"/>
            <w:right w:w="108" w:type="dxa"/>
          </w:tblCellMar>
        </w:tblPrEx>
        <w:trPr>
          <w:trHeight w:val="830" w:hRule="atLeast"/>
          <w:jc w:val="center"/>
        </w:trPr>
        <w:tc>
          <w:tcPr>
            <w:tcW w:w="985"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5.1</w:t>
            </w:r>
          </w:p>
        </w:tc>
        <w:tc>
          <w:tcPr>
            <w:tcW w:w="2155"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开标时间和地点</w:t>
            </w:r>
          </w:p>
        </w:tc>
        <w:tc>
          <w:tcPr>
            <w:tcW w:w="5198" w:type="dxa"/>
            <w:tcBorders>
              <w:top w:val="single" w:color="auto" w:sz="4" w:space="0"/>
              <w:left w:val="single" w:color="auto" w:sz="4" w:space="0"/>
              <w:right w:val="single" w:color="auto" w:sz="4" w:space="0"/>
            </w:tcBorders>
            <w:shd w:val="clear" w:color="auto" w:fill="auto"/>
            <w:vAlign w:val="center"/>
          </w:tcPr>
          <w:p>
            <w:pPr>
              <w:adjustRightInd w:val="0"/>
              <w:snapToGrid w:val="0"/>
              <w:rPr>
                <w:rFonts w:ascii="宋体" w:hAnsi="宋体" w:cs="宋体"/>
                <w:szCs w:val="21"/>
              </w:rPr>
            </w:pPr>
            <w:r>
              <w:rPr>
                <w:rFonts w:hint="eastAsia" w:ascii="宋体" w:hAnsi="宋体" w:cs="宋体"/>
                <w:bCs/>
                <w:szCs w:val="21"/>
              </w:rPr>
              <w:t>开标时</w:t>
            </w:r>
            <w:r>
              <w:rPr>
                <w:rFonts w:hint="eastAsia" w:ascii="宋体" w:hAnsi="宋体" w:cs="宋体"/>
                <w:bCs/>
                <w:color w:val="auto"/>
                <w:szCs w:val="21"/>
              </w:rPr>
              <w:t>间为</w:t>
            </w:r>
            <w:r>
              <w:rPr>
                <w:rFonts w:hint="eastAsia" w:ascii="宋体" w:hAnsi="宋体" w:cs="宋体"/>
                <w:bCs/>
                <w:color w:val="auto"/>
                <w:szCs w:val="21"/>
                <w:highlight w:val="none"/>
                <w:shd w:val="clear"/>
                <w:lang w:eastAsia="zh-CN"/>
              </w:rPr>
              <w:t>2024</w:t>
            </w:r>
            <w:r>
              <w:rPr>
                <w:rFonts w:hint="eastAsia" w:ascii="宋体" w:hAnsi="宋体" w:cs="宋体"/>
                <w:bCs/>
                <w:color w:val="auto"/>
                <w:szCs w:val="21"/>
                <w:highlight w:val="none"/>
                <w:shd w:val="clear"/>
              </w:rPr>
              <w:t>年</w:t>
            </w:r>
            <w:r>
              <w:rPr>
                <w:rFonts w:hint="eastAsia" w:ascii="宋体" w:hAnsi="宋体" w:cs="宋体"/>
                <w:bCs/>
                <w:color w:val="auto"/>
                <w:szCs w:val="21"/>
                <w:highlight w:val="none"/>
                <w:shd w:val="clear"/>
                <w:lang w:val="en-US" w:eastAsia="zh-CN"/>
              </w:rPr>
              <w:t>4</w:t>
            </w:r>
            <w:r>
              <w:rPr>
                <w:rFonts w:hint="eastAsia" w:ascii="宋体" w:hAnsi="宋体" w:cs="宋体"/>
                <w:bCs/>
                <w:color w:val="auto"/>
                <w:szCs w:val="21"/>
                <w:highlight w:val="none"/>
                <w:shd w:val="clear"/>
              </w:rPr>
              <w:t>月</w:t>
            </w:r>
            <w:r>
              <w:rPr>
                <w:rFonts w:hint="eastAsia" w:ascii="宋体" w:hAnsi="宋体" w:cs="宋体"/>
                <w:bCs/>
                <w:color w:val="auto"/>
                <w:szCs w:val="21"/>
                <w:highlight w:val="none"/>
                <w:shd w:val="clear"/>
                <w:lang w:val="en-US" w:eastAsia="zh-CN"/>
              </w:rPr>
              <w:t>30</w:t>
            </w:r>
            <w:r>
              <w:rPr>
                <w:rFonts w:hint="eastAsia" w:ascii="宋体" w:hAnsi="宋体" w:cs="宋体"/>
                <w:bCs/>
                <w:color w:val="auto"/>
                <w:szCs w:val="21"/>
                <w:highlight w:val="none"/>
                <w:shd w:val="clear"/>
              </w:rPr>
              <w:t>日9时 00分</w:t>
            </w:r>
            <w:r>
              <w:rPr>
                <w:rFonts w:hint="eastAsia" w:ascii="宋体" w:hAnsi="宋体" w:cs="宋体"/>
                <w:bCs/>
                <w:color w:val="auto"/>
                <w:szCs w:val="21"/>
              </w:rPr>
              <w:t>。现场开标地点为焦作市人民路889号阳光大厦B座公共资源交易中心</w:t>
            </w:r>
            <w:r>
              <w:rPr>
                <w:rFonts w:hint="eastAsia" w:ascii="宋体" w:hAnsi="宋体" w:cs="宋体"/>
                <w:bCs/>
                <w:color w:val="auto"/>
                <w:szCs w:val="21"/>
                <w:highlight w:val="none"/>
                <w:lang w:eastAsia="zh-CN"/>
              </w:rPr>
              <w:t>第</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rPr>
              <w:t>开标室</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号机</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5.2</w:t>
            </w:r>
          </w:p>
        </w:tc>
        <w:tc>
          <w:tcPr>
            <w:tcW w:w="2155"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开标程序</w:t>
            </w:r>
          </w:p>
        </w:tc>
        <w:tc>
          <w:tcPr>
            <w:tcW w:w="5198"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（l）登录焦作市公共资源交易中心电子交易平台；</w:t>
            </w:r>
          </w:p>
          <w:p>
            <w:pPr>
              <w:adjustRightInd w:val="0"/>
              <w:snapToGrid w:val="0"/>
              <w:rPr>
                <w:rFonts w:ascii="宋体" w:hAnsi="宋体" w:cs="宋体"/>
                <w:szCs w:val="21"/>
              </w:rPr>
            </w:pPr>
            <w:r>
              <w:rPr>
                <w:rFonts w:hint="eastAsia" w:ascii="宋体" w:hAnsi="宋体" w:cs="宋体"/>
                <w:szCs w:val="21"/>
              </w:rPr>
              <w:t>（2）公布投标人；</w:t>
            </w:r>
          </w:p>
          <w:p>
            <w:pPr>
              <w:adjustRightInd w:val="0"/>
              <w:snapToGrid w:val="0"/>
              <w:rPr>
                <w:rFonts w:ascii="宋体" w:hAnsi="宋体" w:cs="宋体"/>
                <w:szCs w:val="21"/>
              </w:rPr>
            </w:pPr>
            <w:r>
              <w:rPr>
                <w:rFonts w:hint="eastAsia" w:ascii="宋体" w:hAnsi="宋体" w:cs="宋体"/>
                <w:szCs w:val="21"/>
              </w:rPr>
              <w:t>（3）在监督人监督下进行投标文件现场解密。</w:t>
            </w:r>
          </w:p>
          <w:p>
            <w:pPr>
              <w:adjustRightInd w:val="0"/>
              <w:snapToGrid w:val="0"/>
              <w:rPr>
                <w:rFonts w:ascii="宋体" w:hAnsi="宋体" w:cs="宋体"/>
                <w:szCs w:val="21"/>
              </w:rPr>
            </w:pPr>
            <w:r>
              <w:rPr>
                <w:rFonts w:hint="eastAsia" w:ascii="宋体" w:hAnsi="宋体" w:cs="宋体"/>
                <w:szCs w:val="21"/>
              </w:rPr>
              <w:t>（4）电子投标文件必须凭制作投标文件所用的企业 CA 密匙在规定时间内完成解密。因加密电子投标文件未能成功上传或误传等自身原因而导致的解密失败,投标将被拒绝。</w:t>
            </w:r>
          </w:p>
          <w:p>
            <w:pPr>
              <w:adjustRightInd w:val="0"/>
              <w:snapToGrid w:val="0"/>
              <w:rPr>
                <w:rFonts w:ascii="宋体" w:hAnsi="宋体" w:cs="宋体"/>
                <w:szCs w:val="21"/>
              </w:rPr>
            </w:pPr>
            <w:r>
              <w:rPr>
                <w:rFonts w:hint="eastAsia" w:ascii="宋体" w:hAnsi="宋体" w:cs="宋体"/>
                <w:szCs w:val="21"/>
              </w:rPr>
              <w:t>本工程采用电子开标，解密完成后各投标人的电子投标文件的实质性内容将自动显示在网页中。</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6.1.1</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评标委员会的组建</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评标委员会构成：招标人代表 1人，随机抽取由经济、技术方面专家 4人，共5 人组成。</w:t>
            </w:r>
          </w:p>
          <w:p>
            <w:pPr>
              <w:adjustRightInd w:val="0"/>
              <w:snapToGrid w:val="0"/>
              <w:rPr>
                <w:rFonts w:ascii="宋体" w:hAnsi="宋体" w:cs="宋体"/>
                <w:szCs w:val="21"/>
              </w:rPr>
            </w:pPr>
            <w:r>
              <w:rPr>
                <w:rFonts w:hint="eastAsia" w:ascii="宋体" w:hAnsi="宋体" w:eastAsia="宋体" w:cs="宋体"/>
                <w:szCs w:val="21"/>
                <w:lang w:val="en-US" w:eastAsia="zh-CN"/>
              </w:rPr>
              <w:t>评标专家确定方式：从河南省综合评标专家库中采用电脑随机抽取方式确定</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6.3.4</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本次评标采用的评标方法</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综合评估法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经评审的合理低价法</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6.3.5</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评标方式</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position w:val="-4"/>
                <w:sz w:val="31"/>
                <w:szCs w:val="21"/>
                <w:lang w:eastAsia="zh-CN"/>
              </w:rPr>
              <w:instrText xml:space="preserve">,</w:instrText>
            </w:r>
            <w:r>
              <w:rPr>
                <w:rFonts w:hint="eastAsia" w:ascii="宋体" w:hAnsi="宋体" w:cs="宋体"/>
                <w:position w:val="0"/>
                <w:sz w:val="21"/>
                <w:szCs w:val="21"/>
                <w:lang w:eastAsia="zh-CN"/>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网络电子评标</w:t>
            </w:r>
          </w:p>
          <w:p>
            <w:pPr>
              <w:adjustRightInd w:val="0"/>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纸质评标</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7.1</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是否授权评标委员会确定中标人</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是</w:t>
            </w:r>
          </w:p>
          <w:p>
            <w:pPr>
              <w:adjustRightInd w:val="0"/>
              <w:snapToGrid w:val="0"/>
              <w:rPr>
                <w:rFonts w:ascii="宋体" w:hAnsi="宋体" w:cs="宋体"/>
                <w:szCs w:val="21"/>
                <w:u w:val="singl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 否，推荐的中标候选人数：</w:t>
            </w:r>
            <w:r>
              <w:rPr>
                <w:rFonts w:hint="eastAsia" w:ascii="宋体" w:hAnsi="宋体" w:cs="宋体"/>
                <w:szCs w:val="21"/>
                <w:u w:val="single"/>
              </w:rPr>
              <w:t xml:space="preserve">  1</w:t>
            </w:r>
            <w:r>
              <w:rPr>
                <w:rFonts w:hint="eastAsia" w:ascii="宋体" w:hAnsi="宋体" w:cs="宋体"/>
                <w:kern w:val="0"/>
                <w:szCs w:val="21"/>
                <w:u w:val="single"/>
              </w:rPr>
              <w:t>～</w:t>
            </w:r>
            <w:r>
              <w:rPr>
                <w:rFonts w:hint="eastAsia" w:ascii="宋体" w:hAnsi="宋体" w:cs="宋体"/>
                <w:szCs w:val="21"/>
                <w:u w:val="single"/>
              </w:rPr>
              <w:t xml:space="preserve">3名  </w:t>
            </w:r>
          </w:p>
          <w:p>
            <w:pPr>
              <w:adjustRightInd w:val="0"/>
              <w:snapToGrid w:val="0"/>
              <w:rPr>
                <w:rFonts w:ascii="宋体" w:hAnsi="宋体" w:cs="宋体"/>
                <w:szCs w:val="21"/>
              </w:rPr>
            </w:pPr>
            <w:r>
              <w:rPr>
                <w:rFonts w:hint="eastAsia" w:ascii="宋体" w:hAnsi="宋体" w:cs="宋体"/>
                <w:szCs w:val="21"/>
              </w:rPr>
              <w:t>招标人将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7.2</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中标候选人公示媒介</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lang w:eastAsia="zh-CN"/>
              </w:rPr>
              <w:t>《</w:t>
            </w:r>
            <w:r>
              <w:rPr>
                <w:rFonts w:hint="eastAsia" w:ascii="宋体" w:hAnsi="宋体" w:cs="宋体"/>
                <w:szCs w:val="21"/>
              </w:rPr>
              <w:t>河南省电子招标投标公共服务平台</w:t>
            </w:r>
            <w:r>
              <w:rPr>
                <w:rFonts w:hint="eastAsia" w:ascii="宋体" w:hAnsi="宋体" w:cs="宋体"/>
                <w:szCs w:val="21"/>
                <w:lang w:eastAsia="zh-CN"/>
              </w:rPr>
              <w:t>》《</w:t>
            </w:r>
            <w:r>
              <w:rPr>
                <w:rFonts w:hint="eastAsia" w:ascii="宋体" w:hAnsi="宋体" w:cs="宋体"/>
                <w:szCs w:val="21"/>
              </w:rPr>
              <w:t>焦作市公共资源交易中心网</w:t>
            </w:r>
            <w:r>
              <w:rPr>
                <w:rFonts w:hint="eastAsia" w:ascii="宋体" w:hAnsi="宋体" w:cs="宋体"/>
                <w:szCs w:val="21"/>
                <w:lang w:eastAsia="zh-CN"/>
              </w:rPr>
              <w:t>》</w:t>
            </w:r>
            <w:r>
              <w:rPr>
                <w:rFonts w:hint="eastAsia" w:ascii="宋体" w:hAnsi="宋体" w:cs="宋体"/>
                <w:szCs w:val="21"/>
              </w:rPr>
              <w:t>上发布。</w:t>
            </w:r>
          </w:p>
        </w:tc>
      </w:tr>
      <w:tr>
        <w:tblPrEx>
          <w:tblCellMar>
            <w:top w:w="0" w:type="dxa"/>
            <w:left w:w="108" w:type="dxa"/>
            <w:bottom w:w="0" w:type="dxa"/>
            <w:right w:w="108" w:type="dxa"/>
          </w:tblCellMar>
        </w:tblPrEx>
        <w:trPr>
          <w:trHeight w:val="26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lang w:eastAsia="en-US"/>
              </w:rPr>
              <w:t>7.</w:t>
            </w:r>
            <w:r>
              <w:rPr>
                <w:rFonts w:hint="eastAsia" w:ascii="宋体" w:hAnsi="宋体" w:cs="宋体"/>
                <w:szCs w:val="21"/>
              </w:rPr>
              <w:t>4</w:t>
            </w:r>
            <w:r>
              <w:rPr>
                <w:rFonts w:hint="eastAsia" w:ascii="宋体" w:hAnsi="宋体" w:cs="宋体"/>
                <w:szCs w:val="21"/>
                <w:lang w:eastAsia="en-US"/>
              </w:rPr>
              <w:t>.1</w:t>
            </w:r>
          </w:p>
        </w:tc>
        <w:tc>
          <w:tcPr>
            <w:tcW w:w="2155" w:type="dxa"/>
            <w:tcBorders>
              <w:top w:val="single" w:color="auto" w:sz="4" w:space="0"/>
              <w:left w:val="single" w:color="auto" w:sz="4" w:space="0"/>
              <w:bottom w:val="single" w:color="auto" w:sz="4" w:space="0"/>
              <w:right w:val="single" w:color="auto" w:sz="4" w:space="0"/>
            </w:tcBorders>
          </w:tcPr>
          <w:p>
            <w:pPr>
              <w:pStyle w:val="65"/>
              <w:snapToGrid w:val="0"/>
              <w:ind w:left="10"/>
              <w:rPr>
                <w:color w:val="000000" w:themeColor="text1"/>
                <w:szCs w:val="21"/>
                <w:lang w:eastAsia="en-US"/>
                <w14:textFill>
                  <w14:solidFill>
                    <w14:schemeClr w14:val="tx1"/>
                  </w14:solidFill>
                </w14:textFill>
              </w:rPr>
            </w:pPr>
            <w:r>
              <w:rPr>
                <w:color w:val="000000" w:themeColor="text1"/>
                <w:szCs w:val="21"/>
                <w:lang w:eastAsia="en-US"/>
                <w14:textFill>
                  <w14:solidFill>
                    <w14:schemeClr w14:val="tx1"/>
                  </w14:solidFill>
                </w14:textFill>
              </w:rPr>
              <w:t>履约</w:t>
            </w:r>
            <w:r>
              <w:rPr>
                <w:rFonts w:hint="eastAsia"/>
                <w:color w:val="000000" w:themeColor="text1"/>
                <w:szCs w:val="21"/>
                <w14:textFill>
                  <w14:solidFill>
                    <w14:schemeClr w14:val="tx1"/>
                  </w14:solidFill>
                </w14:textFill>
              </w:rPr>
              <w:t>（支付）担保</w:t>
            </w:r>
          </w:p>
        </w:tc>
        <w:tc>
          <w:tcPr>
            <w:tcW w:w="5198" w:type="dxa"/>
            <w:tcBorders>
              <w:top w:val="single" w:color="auto" w:sz="4" w:space="0"/>
              <w:left w:val="single" w:color="auto" w:sz="4" w:space="0"/>
              <w:bottom w:val="single" w:color="auto" w:sz="4" w:space="0"/>
              <w:right w:val="single" w:color="auto" w:sz="4" w:space="0"/>
            </w:tcBorders>
          </w:tcPr>
          <w:p>
            <w:pPr>
              <w:pStyle w:val="65"/>
              <w:snapToGrid w:val="0"/>
              <w:ind w:left="10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CellMar>
            <w:top w:w="0" w:type="dxa"/>
            <w:left w:w="108" w:type="dxa"/>
            <w:bottom w:w="0" w:type="dxa"/>
            <w:right w:w="108" w:type="dxa"/>
          </w:tblCellMar>
        </w:tblPrEx>
        <w:trPr>
          <w:trHeight w:val="422" w:hRule="atLeast"/>
          <w:jc w:val="center"/>
        </w:trPr>
        <w:tc>
          <w:tcPr>
            <w:tcW w:w="8338" w:type="dxa"/>
            <w:gridSpan w:val="3"/>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cs="宋体"/>
                <w:szCs w:val="21"/>
              </w:rPr>
            </w:pPr>
            <w:r>
              <w:rPr>
                <w:rFonts w:hint="eastAsia" w:ascii="宋体" w:hAnsi="宋体" w:cs="宋体"/>
                <w:szCs w:val="21"/>
              </w:rPr>
              <w:t>10.1 词语定义</w:t>
            </w:r>
          </w:p>
        </w:tc>
      </w:tr>
      <w:tr>
        <w:tblPrEx>
          <w:tblCellMar>
            <w:top w:w="0" w:type="dxa"/>
            <w:left w:w="108" w:type="dxa"/>
            <w:bottom w:w="0" w:type="dxa"/>
            <w:right w:w="108" w:type="dxa"/>
          </w:tblCellMar>
        </w:tblPrEx>
        <w:trPr>
          <w:trHeight w:val="77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10.1.1</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宋体" w:hAnsi="宋体" w:cs="宋体"/>
                <w:szCs w:val="21"/>
              </w:rPr>
            </w:pPr>
            <w:r>
              <w:rPr>
                <w:rFonts w:hint="eastAsia" w:ascii="宋体" w:hAnsi="宋体" w:cs="宋体"/>
                <w:szCs w:val="21"/>
              </w:rPr>
              <w:t>不良行为记录</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不良行为记录是指：202</w:t>
            </w:r>
            <w:r>
              <w:rPr>
                <w:rFonts w:hint="eastAsia" w:ascii="宋体" w:hAnsi="宋体" w:cs="宋体"/>
                <w:szCs w:val="21"/>
                <w:lang w:val="en-US" w:eastAsia="zh-CN"/>
              </w:rPr>
              <w:t>1</w:t>
            </w:r>
            <w:r>
              <w:rPr>
                <w:rFonts w:hint="eastAsia" w:ascii="宋体" w:hAnsi="宋体" w:cs="宋体"/>
                <w:szCs w:val="21"/>
              </w:rPr>
              <w:t>年1月1日以来投标人在工程建设过程中因违反有关工程建设的法律、法规、规章或强制性标准和执业行为规范，经县级以上建设行政主管部门或其委托的执法监督机构查实和行政处罚，形成的不良行为记录。</w:t>
            </w:r>
          </w:p>
        </w:tc>
      </w:tr>
      <w:tr>
        <w:tblPrEx>
          <w:tblCellMar>
            <w:top w:w="0" w:type="dxa"/>
            <w:left w:w="108" w:type="dxa"/>
            <w:bottom w:w="0" w:type="dxa"/>
            <w:right w:w="108" w:type="dxa"/>
          </w:tblCellMar>
        </w:tblPrEx>
        <w:trPr>
          <w:trHeight w:val="3243"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10.2</w:t>
            </w:r>
          </w:p>
        </w:tc>
        <w:tc>
          <w:tcPr>
            <w:tcW w:w="21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cs="宋体"/>
                <w:szCs w:val="21"/>
              </w:rPr>
            </w:pPr>
            <w:r>
              <w:rPr>
                <w:rFonts w:hint="eastAsia" w:ascii="宋体" w:hAnsi="宋体" w:cs="宋体"/>
                <w:szCs w:val="21"/>
              </w:rPr>
              <w:t>中标公示</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在中标通知书发出前，招标人将中标候选人的情况在本招标项目招标公告发布的同一媒介予以公示，公示期不少于3日。公示期内招标人或经授权的代理机构有权对所有中标候选人提交的投标文件内容进行检查，如发现有弄虚作假嫌疑，投标单位有义务在规定时间内向招标人提供合理说明，如说明被查证不实，则取消其中标候选人资格并上报相关部门进行处罚。</w:t>
            </w:r>
          </w:p>
          <w:p>
            <w:pPr>
              <w:adjustRightInd w:val="0"/>
              <w:snapToGrid w:val="0"/>
              <w:jc w:val="left"/>
              <w:rPr>
                <w:rFonts w:ascii="宋体" w:hAnsi="宋体" w:cs="宋体"/>
                <w:szCs w:val="21"/>
              </w:rPr>
            </w:pPr>
            <w:r>
              <w:rPr>
                <w:rFonts w:hint="eastAsia" w:ascii="宋体" w:hAnsi="宋体" w:cs="宋体"/>
                <w:szCs w:val="21"/>
              </w:rPr>
              <w:t>公示期满截止之日前如果中标候选人在中国裁判文书网（http://wenshu.court.gov.cn/）（包括法人，法定代表人，法定代表人授权委托人，</w:t>
            </w:r>
            <w:r>
              <w:rPr>
                <w:rFonts w:hint="eastAsia" w:ascii="宋体" w:hAnsi="宋体" w:cs="宋体"/>
                <w:color w:val="000000" w:themeColor="text1"/>
                <w:szCs w:val="21"/>
                <w14:textFill>
                  <w14:solidFill>
                    <w14:schemeClr w14:val="tx1"/>
                  </w14:solidFill>
                </w14:textFill>
              </w:rPr>
              <w:t>项目总监）</w:t>
            </w:r>
            <w:r>
              <w:rPr>
                <w:rFonts w:hint="eastAsia" w:ascii="宋体" w:hAnsi="宋体" w:cs="宋体"/>
                <w:szCs w:val="21"/>
              </w:rPr>
              <w:t>有行贿、受贿记录的，在“信用中国”网站(www.creditchina.gov.cn) 上被列入黑名单的；在中国政府采购网（www.ccgp.gov.cn）上被列入政府采购严重违法失信行为记录名单的，则取消其中标候选人资格并上报相关部门进行处罚。</w:t>
            </w:r>
          </w:p>
        </w:tc>
      </w:tr>
      <w:tr>
        <w:tblPrEx>
          <w:tblCellMar>
            <w:top w:w="0" w:type="dxa"/>
            <w:left w:w="108" w:type="dxa"/>
            <w:bottom w:w="0" w:type="dxa"/>
            <w:right w:w="108" w:type="dxa"/>
          </w:tblCellMar>
        </w:tblPrEx>
        <w:trPr>
          <w:trHeight w:val="102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10.3</w:t>
            </w:r>
          </w:p>
        </w:tc>
        <w:tc>
          <w:tcPr>
            <w:tcW w:w="21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知识产权</w:t>
            </w:r>
          </w:p>
        </w:tc>
        <w:tc>
          <w:tcPr>
            <w:tcW w:w="5198"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textAlignment w:val="baseline"/>
              <w:rPr>
                <w:rFonts w:ascii="宋体" w:hAnsi="宋体" w:cs="宋体"/>
                <w:szCs w:val="21"/>
              </w:rPr>
            </w:pPr>
            <w:r>
              <w:rPr>
                <w:rFonts w:hint="eastAsia" w:ascii="宋体" w:hAnsi="宋体" w:cs="宋体"/>
                <w:szCs w:val="21"/>
              </w:rPr>
              <w:t>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10.4</w:t>
            </w:r>
          </w:p>
        </w:tc>
        <w:tc>
          <w:tcPr>
            <w:tcW w:w="21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重新招标的其他情形</w:t>
            </w:r>
          </w:p>
        </w:tc>
        <w:tc>
          <w:tcPr>
            <w:tcW w:w="519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有下列情形之一的，招标人将重新招标：</w:t>
            </w:r>
          </w:p>
          <w:p>
            <w:pPr>
              <w:adjustRightInd w:val="0"/>
              <w:snapToGrid w:val="0"/>
              <w:jc w:val="left"/>
              <w:textAlignment w:val="baseline"/>
              <w:rPr>
                <w:rFonts w:ascii="宋体" w:hAnsi="宋体" w:cs="宋体"/>
                <w:kern w:val="0"/>
                <w:szCs w:val="21"/>
              </w:rPr>
            </w:pPr>
            <w:r>
              <w:rPr>
                <w:rFonts w:hint="eastAsia" w:ascii="宋体" w:hAnsi="宋体" w:cs="宋体"/>
                <w:szCs w:val="21"/>
              </w:rPr>
              <w:t>（1）投标截止时间止，投标人少于3个的；（2）经评标委员会评审后否决所有投标的</w:t>
            </w:r>
          </w:p>
        </w:tc>
      </w:tr>
      <w:tr>
        <w:tblPrEx>
          <w:tblCellMar>
            <w:top w:w="0" w:type="dxa"/>
            <w:left w:w="108" w:type="dxa"/>
            <w:bottom w:w="0" w:type="dxa"/>
            <w:right w:w="108" w:type="dxa"/>
          </w:tblCellMar>
        </w:tblPrEx>
        <w:trPr>
          <w:trHeight w:val="1163"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10.5</w:t>
            </w:r>
          </w:p>
        </w:tc>
        <w:tc>
          <w:tcPr>
            <w:tcW w:w="21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监  督</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 xml:space="preserve">本项目的招标投标活动及其相关当事人应当接受有管辖权的行政监督部门依法实施的监督。 </w:t>
            </w:r>
          </w:p>
          <w:p>
            <w:pPr>
              <w:adjustRightInd w:val="0"/>
              <w:snapToGrid w:val="0"/>
              <w:rPr>
                <w:rFonts w:ascii="宋体" w:hAnsi="宋体" w:cs="宋体"/>
                <w:szCs w:val="21"/>
              </w:rPr>
            </w:pPr>
            <w:r>
              <w:rPr>
                <w:rFonts w:hint="eastAsia" w:ascii="宋体" w:hAnsi="宋体" w:cs="宋体"/>
                <w:szCs w:val="21"/>
              </w:rPr>
              <w:t>监督部门：焦作市建设工程招标投标管理办公室</w:t>
            </w:r>
          </w:p>
          <w:p>
            <w:pPr>
              <w:adjustRightInd w:val="0"/>
              <w:snapToGrid w:val="0"/>
              <w:rPr>
                <w:rFonts w:ascii="宋体" w:hAnsi="宋体" w:cs="宋体"/>
                <w:szCs w:val="21"/>
              </w:rPr>
            </w:pPr>
            <w:r>
              <w:rPr>
                <w:rFonts w:hint="eastAsia" w:ascii="宋体" w:hAnsi="宋体" w:cs="宋体"/>
                <w:szCs w:val="21"/>
              </w:rPr>
              <w:t>电    话：0391-3557108</w:t>
            </w:r>
          </w:p>
        </w:tc>
      </w:tr>
      <w:tr>
        <w:tblPrEx>
          <w:tblCellMar>
            <w:top w:w="0" w:type="dxa"/>
            <w:left w:w="108" w:type="dxa"/>
            <w:bottom w:w="0" w:type="dxa"/>
            <w:right w:w="108" w:type="dxa"/>
          </w:tblCellMar>
        </w:tblPrEx>
        <w:trPr>
          <w:trHeight w:val="791"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10.6</w:t>
            </w:r>
          </w:p>
        </w:tc>
        <w:tc>
          <w:tcPr>
            <w:tcW w:w="21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招标代理服务费</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color w:val="000000" w:themeColor="text1"/>
                <w:szCs w:val="21"/>
                <w14:textFill>
                  <w14:solidFill>
                    <w14:schemeClr w14:val="tx1"/>
                  </w14:solidFill>
                </w14:textFill>
              </w:rPr>
              <w:t>代理服务费：招标代理服务费由中标人承担并支付，收费标准按照豫招协[2023]002号文件，河南省招标投标协会关于印发《河南省招标代理服务收费指导意见》的通知执行。</w:t>
            </w:r>
          </w:p>
        </w:tc>
      </w:tr>
      <w:tr>
        <w:tblPrEx>
          <w:tblCellMar>
            <w:top w:w="0" w:type="dxa"/>
            <w:left w:w="108" w:type="dxa"/>
            <w:bottom w:w="0" w:type="dxa"/>
            <w:right w:w="108" w:type="dxa"/>
          </w:tblCellMar>
        </w:tblPrEx>
        <w:trPr>
          <w:trHeight w:val="1958"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10.7</w:t>
            </w:r>
          </w:p>
        </w:tc>
        <w:tc>
          <w:tcPr>
            <w:tcW w:w="21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r>
              <w:rPr>
                <w:rFonts w:hint="eastAsia" w:ascii="宋体" w:hAnsi="宋体" w:cs="宋体"/>
                <w:szCs w:val="21"/>
              </w:rPr>
              <w:t>解释权</w:t>
            </w:r>
          </w:p>
        </w:tc>
        <w:tc>
          <w:tcPr>
            <w:tcW w:w="519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391" w:hRule="atLeast"/>
          <w:jc w:val="center"/>
        </w:trPr>
        <w:tc>
          <w:tcPr>
            <w:tcW w:w="833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10.8 招标人补充的其他内容</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szCs w:val="21"/>
              </w:rPr>
            </w:pPr>
            <w:bookmarkStart w:id="27" w:name="_Toc144974497"/>
            <w:bookmarkStart w:id="28" w:name="_Toc152042305"/>
            <w:bookmarkStart w:id="29" w:name="_Toc247527553"/>
            <w:bookmarkStart w:id="30" w:name="_Toc247513952"/>
            <w:bookmarkStart w:id="31" w:name="_Toc152045529"/>
            <w:r>
              <w:rPr>
                <w:rFonts w:hint="eastAsia" w:ascii="宋体" w:hAnsi="宋体" w:cs="宋体"/>
                <w:b/>
                <w:bCs/>
                <w:szCs w:val="21"/>
              </w:rPr>
              <w:t>特别提示</w:t>
            </w:r>
          </w:p>
        </w:tc>
        <w:tc>
          <w:tcPr>
            <w:tcW w:w="73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cs="宋体"/>
                <w:szCs w:val="21"/>
              </w:rPr>
            </w:pPr>
            <w:r>
              <w:rPr>
                <w:rFonts w:hint="eastAsia" w:ascii="宋体" w:hAnsi="宋体" w:cs="宋体"/>
                <w:szCs w:val="21"/>
              </w:rPr>
              <w:t>1、潜在投标人如对招标文件有异议，请在规定时间内在焦作市公共资源交易系统平台上提出，以其他方式递交的异议不予接受。</w:t>
            </w:r>
          </w:p>
          <w:p>
            <w:pPr>
              <w:adjustRightInd w:val="0"/>
              <w:snapToGrid w:val="0"/>
              <w:ind w:firstLine="420" w:firstLineChars="200"/>
              <w:rPr>
                <w:rFonts w:ascii="宋体" w:hAnsi="宋体" w:cs="宋体"/>
                <w:szCs w:val="21"/>
              </w:rPr>
            </w:pPr>
            <w:r>
              <w:rPr>
                <w:rFonts w:hint="eastAsia" w:ascii="宋体" w:hAnsi="宋体" w:cs="宋体"/>
                <w:szCs w:val="21"/>
              </w:rPr>
              <w:t>2、投标人在投标截止时间前应随时关注焦作市公共资源交易系统平台发出的有关本项目的答疑、修改等相关内容。</w:t>
            </w:r>
          </w:p>
          <w:p>
            <w:pPr>
              <w:adjustRightInd w:val="0"/>
              <w:snapToGrid w:val="0"/>
              <w:ind w:firstLine="420" w:firstLineChars="200"/>
              <w:rPr>
                <w:rFonts w:ascii="宋体" w:hAnsi="宋体" w:cs="宋体"/>
                <w:szCs w:val="21"/>
              </w:rPr>
            </w:pPr>
            <w:r>
              <w:rPr>
                <w:rFonts w:hint="eastAsia" w:ascii="宋体" w:hAnsi="宋体" w:cs="宋体"/>
                <w:szCs w:val="21"/>
              </w:rPr>
              <w:t>3、投标人应独立制作、修改和上传投标文件。评标过程中，如有投标人存在“投标文件制作机器码一致”，则视其投标无效，并承担因“投标文件制作机器码一致”所造成的不良后果。</w:t>
            </w:r>
          </w:p>
          <w:p>
            <w:pPr>
              <w:adjustRightInd w:val="0"/>
              <w:snapToGrid w:val="0"/>
              <w:ind w:firstLine="420" w:firstLineChars="200"/>
              <w:rPr>
                <w:rFonts w:ascii="宋体" w:hAnsi="宋体" w:cs="宋体"/>
                <w:szCs w:val="21"/>
              </w:rPr>
            </w:pPr>
            <w:r>
              <w:rPr>
                <w:rFonts w:hint="eastAsia"/>
                <w:szCs w:val="21"/>
              </w:rPr>
              <w:t>4、投标人必须保证其投标文件中所有资料（扫描件）的真实性和确定性，一旦发现投标文件中</w:t>
            </w:r>
            <w:r>
              <w:rPr>
                <w:rFonts w:hint="eastAsia" w:ascii="宋体" w:hAnsi="宋体" w:cs="宋体"/>
                <w:szCs w:val="21"/>
              </w:rPr>
              <w:t>的资料（扫描件）存在弄虚作假骗取中标的，将取消其中标资资格，并对其做出承诺。</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napToGrid w:val="0"/>
              <w:jc w:val="center"/>
              <w:textAlignment w:val="baseline"/>
              <w:rPr>
                <w:rFonts w:ascii="宋体" w:hAnsi="宋体" w:cs="宋体"/>
                <w:b/>
                <w:bCs/>
                <w:szCs w:val="21"/>
              </w:rPr>
            </w:pPr>
            <w:r>
              <w:rPr>
                <w:rFonts w:hint="eastAsia" w:ascii="宋体" w:hAnsi="宋体" w:cs="宋体"/>
                <w:szCs w:val="21"/>
              </w:rPr>
              <w:t>备注</w:t>
            </w:r>
          </w:p>
        </w:tc>
        <w:tc>
          <w:tcPr>
            <w:tcW w:w="73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rPr>
                <w:rFonts w:ascii="宋体" w:hAnsi="宋体" w:cs="宋体"/>
                <w:szCs w:val="21"/>
              </w:rPr>
            </w:pPr>
            <w:r>
              <w:rPr>
                <w:rFonts w:hint="eastAsia" w:ascii="宋体" w:hAnsi="宋体" w:cs="宋体"/>
                <w:kern w:val="0"/>
                <w:szCs w:val="21"/>
              </w:rPr>
              <w:t>其他未尽事宜按照招投标法及相关法律法规执行。</w:t>
            </w:r>
          </w:p>
        </w:tc>
      </w:tr>
    </w:tbl>
    <w:p>
      <w:pPr>
        <w:pStyle w:val="3"/>
        <w:pageBreakBefore/>
        <w:spacing w:line="360" w:lineRule="auto"/>
        <w:rPr>
          <w:rFonts w:ascii="宋体" w:hAnsi="宋体" w:eastAsia="宋体" w:cs="宋体"/>
        </w:rPr>
      </w:pPr>
      <w:bookmarkStart w:id="32" w:name="_Toc29689"/>
      <w:bookmarkStart w:id="33" w:name="_Toc32377"/>
      <w:bookmarkStart w:id="34" w:name="_Toc7590"/>
      <w:bookmarkStart w:id="35" w:name="_Toc15553"/>
      <w:bookmarkStart w:id="36" w:name="_Toc18515"/>
      <w:r>
        <w:rPr>
          <w:rFonts w:hint="eastAsia" w:ascii="宋体" w:hAnsi="宋体" w:eastAsia="宋体" w:cs="宋体"/>
        </w:rPr>
        <w:t>1. 总则</w:t>
      </w:r>
      <w:bookmarkEnd w:id="27"/>
      <w:bookmarkEnd w:id="28"/>
      <w:bookmarkEnd w:id="29"/>
      <w:bookmarkEnd w:id="30"/>
      <w:bookmarkEnd w:id="31"/>
      <w:bookmarkEnd w:id="32"/>
      <w:bookmarkEnd w:id="33"/>
      <w:bookmarkEnd w:id="34"/>
      <w:bookmarkEnd w:id="35"/>
      <w:bookmarkEnd w:id="36"/>
    </w:p>
    <w:p>
      <w:pPr>
        <w:spacing w:line="360" w:lineRule="auto"/>
        <w:rPr>
          <w:rFonts w:ascii="宋体" w:hAnsi="宋体" w:cs="宋体"/>
          <w:b/>
          <w:sz w:val="24"/>
        </w:rPr>
      </w:pPr>
      <w:bookmarkStart w:id="37" w:name="_Toc30125"/>
      <w:bookmarkStart w:id="38" w:name="_Toc435930032"/>
      <w:bookmarkStart w:id="39" w:name="_Toc152045530"/>
      <w:bookmarkStart w:id="40" w:name="_Toc436315326"/>
      <w:bookmarkStart w:id="41" w:name="_Toc144974498"/>
      <w:bookmarkStart w:id="42" w:name="_Toc436316936"/>
      <w:bookmarkStart w:id="43" w:name="_Toc247527554"/>
      <w:bookmarkStart w:id="44" w:name="_Toc18685"/>
      <w:bookmarkStart w:id="45" w:name="_Toc152042306"/>
      <w:bookmarkStart w:id="46" w:name="_Toc247513953"/>
      <w:r>
        <w:rPr>
          <w:rFonts w:hint="eastAsia" w:ascii="宋体" w:hAnsi="宋体" w:cs="宋体"/>
          <w:b/>
          <w:sz w:val="24"/>
        </w:rPr>
        <w:t>1.1 项目概况</w:t>
      </w:r>
      <w:bookmarkEnd w:id="37"/>
      <w:bookmarkEnd w:id="38"/>
      <w:bookmarkEnd w:id="39"/>
      <w:bookmarkEnd w:id="40"/>
      <w:bookmarkEnd w:id="41"/>
      <w:bookmarkEnd w:id="42"/>
      <w:bookmarkEnd w:id="43"/>
      <w:bookmarkEnd w:id="44"/>
      <w:bookmarkEnd w:id="45"/>
      <w:bookmarkEnd w:id="46"/>
    </w:p>
    <w:p>
      <w:pPr>
        <w:spacing w:line="360" w:lineRule="auto"/>
        <w:ind w:firstLine="420" w:firstLineChars="200"/>
        <w:rPr>
          <w:rFonts w:ascii="宋体" w:hAnsi="宋体" w:cs="宋体"/>
        </w:rPr>
      </w:pPr>
      <w:r>
        <w:rPr>
          <w:rFonts w:hint="eastAsia" w:ascii="宋体" w:hAnsi="宋体" w:cs="宋体"/>
        </w:rPr>
        <w:t>1.1.1根据《中华人民共和国招标投标法》等有关法律、法规和规章的规定，本招标项目已具备招标条件，现对该项目进行招标。</w:t>
      </w:r>
    </w:p>
    <w:p>
      <w:pPr>
        <w:spacing w:line="360" w:lineRule="auto"/>
        <w:ind w:firstLine="420" w:firstLineChars="200"/>
        <w:rPr>
          <w:rFonts w:ascii="宋体" w:hAnsi="宋体" w:cs="宋体"/>
        </w:rPr>
      </w:pPr>
      <w:r>
        <w:rPr>
          <w:rFonts w:hint="eastAsia" w:ascii="宋体" w:hAnsi="宋体" w:cs="宋体"/>
        </w:rPr>
        <w:t>1.1.2 招标人：见投标人须知前附表。</w:t>
      </w:r>
    </w:p>
    <w:p>
      <w:pPr>
        <w:spacing w:line="360" w:lineRule="auto"/>
        <w:ind w:firstLine="420" w:firstLineChars="200"/>
        <w:rPr>
          <w:rFonts w:ascii="宋体" w:hAnsi="宋体" w:cs="宋体"/>
        </w:rPr>
      </w:pPr>
      <w:r>
        <w:rPr>
          <w:rFonts w:hint="eastAsia" w:ascii="宋体" w:hAnsi="宋体" w:cs="宋体"/>
        </w:rPr>
        <w:t>1.1.3 招标代理机构：见投标人须知前附表。</w:t>
      </w:r>
    </w:p>
    <w:p>
      <w:pPr>
        <w:spacing w:line="360" w:lineRule="auto"/>
        <w:ind w:firstLine="420" w:firstLineChars="200"/>
        <w:rPr>
          <w:rFonts w:ascii="宋体" w:hAnsi="宋体" w:cs="宋体"/>
        </w:rPr>
      </w:pPr>
      <w:r>
        <w:rPr>
          <w:rFonts w:hint="eastAsia" w:ascii="宋体" w:hAnsi="宋体" w:cs="宋体"/>
        </w:rPr>
        <w:t>1.1.4 招标项目名称：见投标人须知前附表。</w:t>
      </w:r>
    </w:p>
    <w:p>
      <w:pPr>
        <w:spacing w:line="360" w:lineRule="auto"/>
        <w:ind w:firstLine="420" w:firstLineChars="200"/>
        <w:rPr>
          <w:rFonts w:ascii="宋体" w:hAnsi="宋体" w:cs="宋体"/>
        </w:rPr>
      </w:pPr>
      <w:r>
        <w:rPr>
          <w:rFonts w:hint="eastAsia" w:ascii="宋体" w:hAnsi="宋体" w:cs="宋体"/>
        </w:rPr>
        <w:t>1.1.5 项目建设地点：见投标人须知前附表。</w:t>
      </w:r>
    </w:p>
    <w:p>
      <w:pPr>
        <w:spacing w:line="360" w:lineRule="auto"/>
        <w:rPr>
          <w:rFonts w:ascii="宋体" w:hAnsi="宋体" w:cs="宋体"/>
          <w:b/>
          <w:sz w:val="24"/>
        </w:rPr>
      </w:pPr>
      <w:bookmarkStart w:id="47" w:name="_Toc152042307"/>
      <w:bookmarkStart w:id="48" w:name="_Toc436316937"/>
      <w:bookmarkStart w:id="49" w:name="_Toc5223"/>
      <w:bookmarkStart w:id="50" w:name="_Toc144974499"/>
      <w:bookmarkStart w:id="51" w:name="_Toc152045531"/>
      <w:bookmarkStart w:id="52" w:name="_Toc12870"/>
      <w:bookmarkStart w:id="53" w:name="_Toc435930033"/>
      <w:bookmarkStart w:id="54" w:name="_Toc247527555"/>
      <w:bookmarkStart w:id="55" w:name="_Toc247513954"/>
      <w:bookmarkStart w:id="56" w:name="_Toc436315327"/>
      <w:r>
        <w:rPr>
          <w:rFonts w:hint="eastAsia" w:ascii="宋体" w:hAnsi="宋体" w:cs="宋体"/>
          <w:b/>
          <w:sz w:val="24"/>
        </w:rPr>
        <w:t>1.2 项目的资金来源和落实情况</w:t>
      </w:r>
      <w:bookmarkEnd w:id="47"/>
      <w:bookmarkEnd w:id="48"/>
      <w:bookmarkEnd w:id="49"/>
      <w:bookmarkEnd w:id="50"/>
      <w:bookmarkEnd w:id="51"/>
      <w:bookmarkEnd w:id="52"/>
      <w:bookmarkEnd w:id="53"/>
      <w:bookmarkEnd w:id="54"/>
      <w:bookmarkEnd w:id="55"/>
      <w:bookmarkEnd w:id="56"/>
    </w:p>
    <w:p>
      <w:pPr>
        <w:spacing w:line="360" w:lineRule="auto"/>
        <w:ind w:firstLine="420" w:firstLineChars="200"/>
        <w:rPr>
          <w:rFonts w:ascii="宋体" w:hAnsi="宋体" w:cs="宋体"/>
        </w:rPr>
      </w:pPr>
      <w:r>
        <w:rPr>
          <w:rFonts w:hint="eastAsia" w:ascii="宋体" w:hAnsi="宋体" w:cs="宋体"/>
        </w:rPr>
        <w:t>1.2.1 资金来源及比例：见投标人须知前附表。</w:t>
      </w:r>
    </w:p>
    <w:p>
      <w:pPr>
        <w:spacing w:line="360" w:lineRule="auto"/>
        <w:ind w:firstLine="420" w:firstLineChars="200"/>
        <w:rPr>
          <w:rFonts w:ascii="宋体" w:hAnsi="宋体" w:cs="宋体"/>
        </w:rPr>
      </w:pPr>
      <w:r>
        <w:rPr>
          <w:rFonts w:hint="eastAsia" w:ascii="宋体" w:hAnsi="宋体" w:cs="宋体"/>
        </w:rPr>
        <w:t>1.2.2 资金落实情况：见投标人须知前附表。</w:t>
      </w:r>
    </w:p>
    <w:p>
      <w:pPr>
        <w:spacing w:line="360" w:lineRule="auto"/>
        <w:rPr>
          <w:rFonts w:ascii="宋体" w:hAnsi="宋体" w:cs="宋体"/>
          <w:b/>
          <w:sz w:val="24"/>
        </w:rPr>
      </w:pPr>
      <w:bookmarkStart w:id="57" w:name="_Toc247527556"/>
      <w:bookmarkStart w:id="58" w:name="_Toc144974500"/>
      <w:bookmarkStart w:id="59" w:name="_Toc152045532"/>
      <w:bookmarkStart w:id="60" w:name="_Toc152042308"/>
      <w:bookmarkStart w:id="61" w:name="_Toc247513955"/>
      <w:bookmarkStart w:id="62" w:name="_Toc24676"/>
      <w:bookmarkStart w:id="63" w:name="_Toc436316938"/>
      <w:bookmarkStart w:id="64" w:name="_Toc435930034"/>
      <w:bookmarkStart w:id="65" w:name="_Toc436315328"/>
      <w:bookmarkStart w:id="66" w:name="_Toc25858"/>
      <w:r>
        <w:rPr>
          <w:rFonts w:hint="eastAsia" w:ascii="宋体" w:hAnsi="宋体" w:cs="宋体"/>
          <w:b/>
          <w:sz w:val="24"/>
        </w:rPr>
        <w:t>1.3 招标范围、计划工期和</w:t>
      </w:r>
      <w:bookmarkEnd w:id="57"/>
      <w:bookmarkEnd w:id="58"/>
      <w:bookmarkEnd w:id="59"/>
      <w:bookmarkEnd w:id="60"/>
      <w:bookmarkEnd w:id="61"/>
      <w:r>
        <w:rPr>
          <w:rFonts w:hint="eastAsia" w:ascii="宋体" w:hAnsi="宋体" w:cs="宋体"/>
          <w:b/>
          <w:sz w:val="24"/>
        </w:rPr>
        <w:t>质量标准</w:t>
      </w:r>
      <w:bookmarkEnd w:id="62"/>
      <w:bookmarkEnd w:id="63"/>
      <w:bookmarkEnd w:id="64"/>
      <w:bookmarkEnd w:id="65"/>
      <w:bookmarkEnd w:id="66"/>
    </w:p>
    <w:p>
      <w:pPr>
        <w:spacing w:line="360" w:lineRule="auto"/>
        <w:ind w:firstLine="420" w:firstLineChars="200"/>
        <w:rPr>
          <w:rFonts w:ascii="宋体" w:hAnsi="宋体" w:cs="宋体"/>
        </w:rPr>
      </w:pPr>
      <w:r>
        <w:rPr>
          <w:rFonts w:hint="eastAsia" w:ascii="宋体" w:hAnsi="宋体" w:cs="宋体"/>
        </w:rPr>
        <w:t>1.3.1 招标范围：见投标人须知前附表。</w:t>
      </w:r>
    </w:p>
    <w:p>
      <w:pPr>
        <w:spacing w:line="360" w:lineRule="auto"/>
        <w:ind w:firstLine="420" w:firstLineChars="200"/>
        <w:rPr>
          <w:rFonts w:ascii="宋体" w:hAnsi="宋体" w:cs="宋体"/>
        </w:rPr>
      </w:pPr>
      <w:r>
        <w:rPr>
          <w:rFonts w:hint="eastAsia" w:ascii="宋体" w:hAnsi="宋体" w:cs="宋体"/>
        </w:rPr>
        <w:t>1.3.2 监理</w:t>
      </w:r>
      <w:r>
        <w:rPr>
          <w:rFonts w:hint="eastAsia" w:ascii="宋体" w:hAnsi="宋体" w:cs="宋体"/>
          <w:color w:val="000000" w:themeColor="text1"/>
          <w14:textFill>
            <w14:solidFill>
              <w14:schemeClr w14:val="tx1"/>
            </w14:solidFill>
          </w14:textFill>
        </w:rPr>
        <w:t>服务期限：</w:t>
      </w:r>
      <w:r>
        <w:rPr>
          <w:rFonts w:hint="eastAsia" w:ascii="宋体" w:hAnsi="宋体" w:cs="宋体"/>
        </w:rPr>
        <w:t>见投标人须知前附表。</w:t>
      </w:r>
    </w:p>
    <w:p>
      <w:pPr>
        <w:spacing w:line="360" w:lineRule="auto"/>
        <w:ind w:firstLine="420" w:firstLineChars="200"/>
        <w:rPr>
          <w:rFonts w:ascii="宋体" w:hAnsi="宋体" w:cs="宋体"/>
        </w:rPr>
      </w:pPr>
      <w:r>
        <w:rPr>
          <w:rFonts w:hint="eastAsia" w:ascii="宋体" w:hAnsi="宋体" w:cs="宋体"/>
        </w:rPr>
        <w:t>1.3.3 质量要求：见投标人须知前附表。</w:t>
      </w:r>
    </w:p>
    <w:p>
      <w:pPr>
        <w:spacing w:line="360" w:lineRule="auto"/>
        <w:ind w:firstLine="420" w:firstLineChars="200"/>
        <w:rPr>
          <w:rFonts w:ascii="宋体" w:hAnsi="宋体" w:cs="宋体"/>
        </w:rPr>
      </w:pPr>
      <w:r>
        <w:rPr>
          <w:rFonts w:hint="eastAsia" w:ascii="宋体" w:hAnsi="宋体" w:cs="宋体"/>
        </w:rPr>
        <w:t>1.3.4 本标段资格审查方式：见投标人须知前附表。</w:t>
      </w:r>
    </w:p>
    <w:p>
      <w:pPr>
        <w:spacing w:line="360" w:lineRule="auto"/>
        <w:rPr>
          <w:rFonts w:ascii="宋体" w:hAnsi="宋体" w:cs="宋体"/>
          <w:b/>
          <w:sz w:val="24"/>
        </w:rPr>
      </w:pPr>
      <w:bookmarkStart w:id="67" w:name="_Toc435930035"/>
      <w:bookmarkStart w:id="68" w:name="_Toc247527558"/>
      <w:bookmarkStart w:id="69" w:name="_Toc29338"/>
      <w:bookmarkStart w:id="70" w:name="_Toc152042310"/>
      <w:bookmarkStart w:id="71" w:name="_Toc144974502"/>
      <w:bookmarkStart w:id="72" w:name="_Toc152045534"/>
      <w:bookmarkStart w:id="73" w:name="_Toc436316939"/>
      <w:bookmarkStart w:id="74" w:name="_Toc436315329"/>
      <w:bookmarkStart w:id="75" w:name="_Toc247513957"/>
      <w:bookmarkStart w:id="76" w:name="_Toc22836"/>
      <w:r>
        <w:rPr>
          <w:rFonts w:hint="eastAsia" w:ascii="宋体" w:hAnsi="宋体" w:cs="宋体"/>
          <w:b/>
          <w:sz w:val="24"/>
        </w:rPr>
        <w:t>1.4 投标人资格要求</w:t>
      </w:r>
      <w:bookmarkEnd w:id="67"/>
      <w:bookmarkEnd w:id="68"/>
      <w:bookmarkEnd w:id="69"/>
      <w:bookmarkEnd w:id="70"/>
      <w:bookmarkEnd w:id="71"/>
      <w:bookmarkEnd w:id="72"/>
      <w:bookmarkEnd w:id="73"/>
      <w:bookmarkEnd w:id="74"/>
      <w:bookmarkEnd w:id="75"/>
      <w:bookmarkEnd w:id="76"/>
    </w:p>
    <w:p>
      <w:pPr>
        <w:spacing w:line="360" w:lineRule="auto"/>
        <w:ind w:firstLine="420"/>
        <w:rPr>
          <w:rFonts w:ascii="宋体" w:hAnsi="宋体" w:cs="宋体"/>
        </w:rPr>
      </w:pPr>
      <w:r>
        <w:rPr>
          <w:rFonts w:hint="eastAsia" w:ascii="宋体" w:hAnsi="宋体" w:cs="宋体"/>
        </w:rPr>
        <w:t>1.4.1 投标人应具备承担本工程监理的资质条件、能力和信誉。</w:t>
      </w:r>
    </w:p>
    <w:p>
      <w:pPr>
        <w:spacing w:line="360" w:lineRule="auto"/>
        <w:ind w:firstLine="420"/>
        <w:rPr>
          <w:rFonts w:ascii="宋体" w:hAnsi="宋体" w:cs="宋体"/>
        </w:rPr>
      </w:pPr>
      <w:r>
        <w:rPr>
          <w:rFonts w:hint="eastAsia" w:ascii="宋体" w:hAnsi="宋体" w:cs="宋体"/>
        </w:rPr>
        <w:t>（1）资质条件：见投标人须知前附表；</w:t>
      </w:r>
    </w:p>
    <w:p>
      <w:pPr>
        <w:spacing w:line="360" w:lineRule="auto"/>
        <w:ind w:firstLine="420"/>
        <w:rPr>
          <w:rFonts w:ascii="宋体" w:hAnsi="宋体" w:cs="宋体"/>
        </w:rPr>
      </w:pPr>
      <w:r>
        <w:rPr>
          <w:rFonts w:hint="eastAsia" w:ascii="宋体" w:hAnsi="宋体" w:cs="宋体"/>
        </w:rPr>
        <w:t>（2）项目总监资格：见投标人须知前附表；</w:t>
      </w:r>
    </w:p>
    <w:p>
      <w:pPr>
        <w:spacing w:line="360" w:lineRule="auto"/>
        <w:ind w:firstLine="420"/>
        <w:rPr>
          <w:rFonts w:ascii="宋体" w:hAnsi="宋体" w:cs="宋体"/>
        </w:rPr>
      </w:pPr>
      <w:r>
        <w:rPr>
          <w:rFonts w:hint="eastAsia" w:ascii="宋体" w:hAnsi="宋体" w:cs="宋体"/>
        </w:rPr>
        <w:t>（3）财务要求：见投标人须知前附表；</w:t>
      </w:r>
    </w:p>
    <w:p>
      <w:pPr>
        <w:spacing w:line="360" w:lineRule="auto"/>
        <w:ind w:firstLine="420"/>
        <w:rPr>
          <w:rFonts w:ascii="宋体" w:hAnsi="宋体" w:cs="宋体"/>
        </w:rPr>
      </w:pPr>
      <w:r>
        <w:rPr>
          <w:rFonts w:hint="eastAsia" w:ascii="宋体" w:hAnsi="宋体" w:cs="宋体"/>
        </w:rPr>
        <w:t>（5）信誉要求：见投标人须知前附表；</w:t>
      </w:r>
    </w:p>
    <w:p>
      <w:pPr>
        <w:spacing w:line="360" w:lineRule="auto"/>
        <w:ind w:firstLine="420"/>
        <w:rPr>
          <w:rFonts w:ascii="宋体" w:hAnsi="宋体" w:cs="宋体"/>
          <w:sz w:val="22"/>
        </w:rPr>
      </w:pPr>
      <w:r>
        <w:rPr>
          <w:rFonts w:hint="eastAsia" w:ascii="宋体" w:hAnsi="宋体" w:cs="宋体"/>
        </w:rPr>
        <w:t>（6）其他要求：见投标人须知前附表。</w:t>
      </w:r>
    </w:p>
    <w:p>
      <w:pPr>
        <w:spacing w:line="360" w:lineRule="auto"/>
        <w:rPr>
          <w:rFonts w:ascii="宋体" w:hAnsi="宋体" w:cs="宋体"/>
        </w:rPr>
      </w:pPr>
      <w:r>
        <w:rPr>
          <w:rFonts w:hint="eastAsia" w:ascii="宋体" w:hAnsi="宋体" w:cs="宋体"/>
          <w:sz w:val="22"/>
        </w:rPr>
        <w:t xml:space="preserve">    </w:t>
      </w:r>
      <w:r>
        <w:rPr>
          <w:rFonts w:hint="eastAsia" w:ascii="宋体" w:hAnsi="宋体" w:cs="宋体"/>
        </w:rPr>
        <w:t xml:space="preserve">1.4.2 本项目不接受联合体投标。投标人须知前附表规定接受联合体投标的，除应符合本章第1.4.1项和投标人须知前附表的要求外，还应遵守以下规定： </w:t>
      </w:r>
    </w:p>
    <w:p>
      <w:pPr>
        <w:spacing w:line="360" w:lineRule="auto"/>
        <w:ind w:firstLine="315" w:firstLineChars="150"/>
        <w:rPr>
          <w:rFonts w:ascii="宋体" w:hAnsi="宋体" w:cs="宋体"/>
        </w:rPr>
      </w:pPr>
      <w:r>
        <w:rPr>
          <w:rFonts w:hint="eastAsia" w:ascii="宋体" w:hAnsi="宋体" w:cs="宋体"/>
        </w:rPr>
        <w:t>（1）联合体各方应按招标文件提供的格式签订联合体协议书，明确联合体牵头人和各方权利义务；</w:t>
      </w:r>
    </w:p>
    <w:p>
      <w:pPr>
        <w:spacing w:line="360" w:lineRule="auto"/>
        <w:ind w:firstLine="315" w:firstLineChars="150"/>
        <w:rPr>
          <w:rFonts w:ascii="宋体" w:hAnsi="宋体" w:cs="宋体"/>
        </w:rPr>
      </w:pPr>
      <w:r>
        <w:rPr>
          <w:rFonts w:hint="eastAsia" w:ascii="宋体" w:hAnsi="宋体" w:cs="宋体"/>
        </w:rPr>
        <w:t>（2）由同一专业的单位组成的联合体，按照资质等级较低的单位确定资质等级；</w:t>
      </w:r>
    </w:p>
    <w:p>
      <w:pPr>
        <w:spacing w:line="360" w:lineRule="auto"/>
        <w:ind w:firstLine="315" w:firstLineChars="150"/>
        <w:rPr>
          <w:rFonts w:ascii="宋体" w:hAnsi="宋体" w:cs="宋体"/>
        </w:rPr>
      </w:pPr>
      <w:r>
        <w:rPr>
          <w:rFonts w:hint="eastAsia" w:ascii="宋体" w:hAnsi="宋体" w:cs="宋体"/>
        </w:rPr>
        <w:t>（3）联合体各方不得再以自己名义单独或参加其他联合体在本招标项目中投标。</w:t>
      </w:r>
    </w:p>
    <w:p>
      <w:pPr>
        <w:spacing w:line="360" w:lineRule="auto"/>
        <w:ind w:firstLine="420" w:firstLineChars="200"/>
        <w:rPr>
          <w:rFonts w:ascii="宋体" w:hAnsi="宋体" w:cs="宋体"/>
        </w:rPr>
      </w:pPr>
      <w:r>
        <w:rPr>
          <w:rFonts w:hint="eastAsia" w:ascii="宋体" w:hAnsi="宋体" w:cs="宋体"/>
        </w:rPr>
        <w:t>1.4.3 投标人存在下列情形之一不得投标：</w:t>
      </w:r>
    </w:p>
    <w:p>
      <w:pPr>
        <w:spacing w:line="360" w:lineRule="auto"/>
        <w:ind w:firstLine="315" w:firstLineChars="150"/>
        <w:rPr>
          <w:rFonts w:ascii="宋体" w:hAnsi="宋体" w:cs="宋体"/>
        </w:rPr>
      </w:pPr>
      <w:r>
        <w:rPr>
          <w:rFonts w:hint="eastAsia" w:ascii="宋体" w:hAnsi="宋体" w:cs="宋体"/>
        </w:rPr>
        <w:t>（1）为招标人不具有独立法人资格的附属机构（单位）；</w:t>
      </w:r>
    </w:p>
    <w:p>
      <w:pPr>
        <w:spacing w:line="360" w:lineRule="auto"/>
        <w:ind w:firstLine="315" w:firstLineChars="150"/>
        <w:rPr>
          <w:rFonts w:ascii="宋体" w:hAnsi="宋体" w:cs="宋体"/>
        </w:rPr>
      </w:pPr>
      <w:r>
        <w:rPr>
          <w:rFonts w:hint="eastAsia" w:ascii="宋体" w:hAnsi="宋体" w:cs="宋体"/>
        </w:rPr>
        <w:t>（2）与招标人存在利害关系且可能影响招标公正性；</w:t>
      </w:r>
    </w:p>
    <w:p>
      <w:pPr>
        <w:spacing w:line="360" w:lineRule="auto"/>
        <w:ind w:firstLine="315" w:firstLineChars="150"/>
        <w:rPr>
          <w:rFonts w:ascii="宋体" w:hAnsi="宋体" w:cs="宋体"/>
        </w:rPr>
      </w:pPr>
      <w:r>
        <w:rPr>
          <w:rFonts w:hint="eastAsia" w:ascii="宋体" w:hAnsi="宋体" w:cs="宋体"/>
        </w:rPr>
        <w:t>（3）与本招标项目的其他投标人为同一单位负责人；</w:t>
      </w:r>
    </w:p>
    <w:p>
      <w:pPr>
        <w:spacing w:line="360" w:lineRule="auto"/>
        <w:ind w:firstLine="315" w:firstLineChars="150"/>
        <w:rPr>
          <w:rFonts w:ascii="宋体" w:hAnsi="宋体" w:cs="宋体"/>
        </w:rPr>
      </w:pPr>
      <w:r>
        <w:rPr>
          <w:rFonts w:hint="eastAsia" w:ascii="宋体" w:hAnsi="宋体" w:cs="宋体"/>
        </w:rPr>
        <w:t>（4）与本招标项目的其他投标人存在控股、管理关系；</w:t>
      </w:r>
    </w:p>
    <w:p>
      <w:pPr>
        <w:spacing w:line="360" w:lineRule="auto"/>
        <w:ind w:firstLine="315" w:firstLineChars="150"/>
        <w:rPr>
          <w:rFonts w:ascii="宋体" w:hAnsi="宋体" w:cs="宋体"/>
        </w:rPr>
      </w:pPr>
      <w:r>
        <w:rPr>
          <w:rFonts w:hint="eastAsia" w:ascii="宋体" w:hAnsi="宋体" w:cs="宋体"/>
        </w:rPr>
        <w:t>（5）为本项目的代建人；</w:t>
      </w:r>
    </w:p>
    <w:p>
      <w:pPr>
        <w:spacing w:line="360" w:lineRule="auto"/>
        <w:ind w:firstLine="315" w:firstLineChars="150"/>
        <w:rPr>
          <w:rFonts w:ascii="宋体" w:hAnsi="宋体" w:cs="宋体"/>
        </w:rPr>
      </w:pPr>
      <w:r>
        <w:rPr>
          <w:rFonts w:hint="eastAsia" w:ascii="宋体" w:hAnsi="宋体" w:cs="宋体"/>
        </w:rPr>
        <w:t>（6）为本项目提供招标代理服务的；</w:t>
      </w:r>
    </w:p>
    <w:p>
      <w:pPr>
        <w:spacing w:line="360" w:lineRule="auto"/>
        <w:ind w:firstLine="315" w:firstLineChars="150"/>
        <w:rPr>
          <w:rFonts w:ascii="宋体" w:hAnsi="宋体" w:cs="宋体"/>
        </w:rPr>
      </w:pPr>
      <w:r>
        <w:rPr>
          <w:rFonts w:hint="eastAsia" w:ascii="宋体" w:hAnsi="宋体" w:cs="宋体"/>
        </w:rPr>
        <w:t>（7）与本招标项目的代建人或招标代理机构同为一个法定代表人；</w:t>
      </w:r>
    </w:p>
    <w:p>
      <w:pPr>
        <w:spacing w:line="360" w:lineRule="auto"/>
        <w:ind w:firstLine="315" w:firstLineChars="150"/>
        <w:rPr>
          <w:rFonts w:ascii="宋体" w:hAnsi="宋体" w:cs="宋体"/>
        </w:rPr>
      </w:pPr>
      <w:r>
        <w:rPr>
          <w:rFonts w:hint="eastAsia" w:ascii="宋体" w:hAnsi="宋体" w:cs="宋体"/>
        </w:rPr>
        <w:t>（8）与本招标项目的代建人或招标代理机构存在控股或参股关系；</w:t>
      </w:r>
    </w:p>
    <w:p>
      <w:pPr>
        <w:spacing w:line="360" w:lineRule="auto"/>
        <w:ind w:firstLine="315" w:firstLineChars="150"/>
        <w:rPr>
          <w:rFonts w:ascii="宋体" w:hAnsi="宋体" w:cs="宋体"/>
        </w:rPr>
      </w:pPr>
      <w:r>
        <w:rPr>
          <w:rFonts w:hint="eastAsia" w:ascii="宋体" w:hAnsi="宋体" w:cs="宋体"/>
        </w:rPr>
        <w:t>（9）被依法暂停或者取消投标资格；</w:t>
      </w:r>
    </w:p>
    <w:p>
      <w:pPr>
        <w:spacing w:line="360" w:lineRule="auto"/>
        <w:ind w:firstLine="315" w:firstLineChars="150"/>
        <w:rPr>
          <w:rFonts w:ascii="宋体" w:hAnsi="宋体" w:cs="宋体"/>
        </w:rPr>
      </w:pPr>
      <w:r>
        <w:rPr>
          <w:rFonts w:hint="eastAsia" w:ascii="宋体" w:hAnsi="宋体" w:cs="宋体"/>
        </w:rPr>
        <w:t>（10）被责令停产停业、暂扣或者吊销许可证、暂扣或者吊销执照；</w:t>
      </w:r>
    </w:p>
    <w:p>
      <w:pPr>
        <w:spacing w:line="360" w:lineRule="auto"/>
        <w:ind w:firstLine="315" w:firstLineChars="150"/>
        <w:rPr>
          <w:rFonts w:ascii="宋体" w:hAnsi="宋体" w:cs="宋体"/>
        </w:rPr>
      </w:pPr>
      <w:r>
        <w:rPr>
          <w:rFonts w:hint="eastAsia" w:ascii="宋体" w:hAnsi="宋体" w:cs="宋体"/>
        </w:rPr>
        <w:t>（11）进入清算程序，或被宣告破产，或其他丧失履约能力的情形；</w:t>
      </w:r>
    </w:p>
    <w:p>
      <w:pPr>
        <w:spacing w:line="360" w:lineRule="auto"/>
        <w:ind w:firstLine="315" w:firstLineChars="150"/>
        <w:rPr>
          <w:rFonts w:ascii="宋体" w:hAnsi="宋体" w:cs="宋体"/>
        </w:rPr>
      </w:pPr>
      <w:r>
        <w:rPr>
          <w:rFonts w:hint="eastAsia" w:ascii="宋体" w:hAnsi="宋体" w:cs="宋体"/>
        </w:rPr>
        <w:t>（12）在最近三年内发生重大质量问题（以相关行业主管部门的行政处罚决定或司法机关出具的有关法律文书为准）；</w:t>
      </w:r>
    </w:p>
    <w:p>
      <w:pPr>
        <w:spacing w:line="360" w:lineRule="auto"/>
        <w:ind w:firstLine="315" w:firstLineChars="150"/>
        <w:rPr>
          <w:rFonts w:ascii="宋体" w:hAnsi="宋体" w:cs="宋体"/>
        </w:rPr>
      </w:pPr>
      <w:r>
        <w:rPr>
          <w:rFonts w:hint="eastAsia" w:ascii="宋体" w:hAnsi="宋体" w:cs="宋体"/>
        </w:rPr>
        <w:t>（13）被工商行政管理机关在全国企业信用信息公示系统中列入严重违法失信企业名单；</w:t>
      </w:r>
    </w:p>
    <w:p>
      <w:pPr>
        <w:spacing w:line="360" w:lineRule="auto"/>
        <w:ind w:firstLine="315" w:firstLineChars="150"/>
        <w:rPr>
          <w:rFonts w:ascii="宋体" w:hAnsi="宋体" w:cs="宋体"/>
        </w:rPr>
      </w:pPr>
      <w:r>
        <w:rPr>
          <w:rFonts w:hint="eastAsia" w:ascii="宋体" w:hAnsi="宋体" w:cs="宋体"/>
        </w:rPr>
        <w:t>（14）被最高人民法院在“信用中国”网站（www.creditchina.gov.cn）或各级信用信息共享平台中列入失信被执行人名单；</w:t>
      </w:r>
    </w:p>
    <w:p>
      <w:pPr>
        <w:spacing w:line="360" w:lineRule="auto"/>
        <w:ind w:firstLine="315" w:firstLineChars="150"/>
        <w:rPr>
          <w:rFonts w:ascii="宋体" w:hAnsi="宋体" w:cs="宋体"/>
        </w:rPr>
      </w:pPr>
      <w:r>
        <w:rPr>
          <w:rFonts w:hint="eastAsia" w:ascii="宋体" w:hAnsi="宋体" w:cs="宋体"/>
        </w:rPr>
        <w:t>（15）在近三年内投标人或其法定代表人、拟委任的项目负责人有行贿犯罪行为的（以检察机关职务犯罪预防部门出具的查询结果为准）；</w:t>
      </w:r>
    </w:p>
    <w:p>
      <w:pPr>
        <w:spacing w:line="360" w:lineRule="auto"/>
        <w:ind w:firstLine="315" w:firstLineChars="150"/>
        <w:rPr>
          <w:rFonts w:ascii="宋体" w:hAnsi="宋体" w:cs="宋体"/>
        </w:rPr>
      </w:pPr>
      <w:r>
        <w:rPr>
          <w:rFonts w:hint="eastAsia" w:ascii="宋体" w:hAnsi="宋体" w:cs="宋体"/>
        </w:rPr>
        <w:t>（16）法律法规或投标人须知前附表规定的其他情形。</w:t>
      </w:r>
    </w:p>
    <w:p>
      <w:pPr>
        <w:spacing w:line="360" w:lineRule="auto"/>
        <w:rPr>
          <w:rFonts w:ascii="宋体" w:hAnsi="宋体" w:cs="宋体"/>
          <w:b/>
          <w:sz w:val="24"/>
        </w:rPr>
      </w:pPr>
      <w:bookmarkStart w:id="77" w:name="_Toc144974503"/>
      <w:bookmarkStart w:id="78" w:name="_Toc436316940"/>
      <w:bookmarkStart w:id="79" w:name="_Toc247513958"/>
      <w:bookmarkStart w:id="80" w:name="_Toc435930036"/>
      <w:bookmarkStart w:id="81" w:name="_Toc436315330"/>
      <w:bookmarkStart w:id="82" w:name="_Toc3801"/>
      <w:bookmarkStart w:id="83" w:name="_Toc152042311"/>
      <w:bookmarkStart w:id="84" w:name="_Toc247527559"/>
      <w:bookmarkStart w:id="85" w:name="_Toc152045535"/>
      <w:bookmarkStart w:id="86" w:name="_Toc19812"/>
      <w:r>
        <w:rPr>
          <w:rFonts w:hint="eastAsia" w:ascii="宋体" w:hAnsi="宋体" w:cs="宋体"/>
          <w:b/>
          <w:sz w:val="24"/>
        </w:rPr>
        <w:t>1.5 费用承担</w:t>
      </w:r>
      <w:bookmarkEnd w:id="77"/>
      <w:bookmarkEnd w:id="78"/>
      <w:bookmarkEnd w:id="79"/>
      <w:bookmarkEnd w:id="80"/>
      <w:bookmarkEnd w:id="81"/>
      <w:bookmarkEnd w:id="82"/>
      <w:bookmarkEnd w:id="83"/>
      <w:bookmarkEnd w:id="84"/>
      <w:bookmarkEnd w:id="85"/>
      <w:bookmarkEnd w:id="86"/>
    </w:p>
    <w:p>
      <w:pPr>
        <w:spacing w:line="360" w:lineRule="auto"/>
        <w:ind w:firstLine="420" w:firstLineChars="200"/>
        <w:rPr>
          <w:rFonts w:ascii="宋体" w:hAnsi="宋体" w:cs="宋体"/>
        </w:rPr>
      </w:pPr>
      <w:r>
        <w:rPr>
          <w:rFonts w:hint="eastAsia" w:ascii="宋体" w:hAnsi="宋体" w:cs="宋体"/>
        </w:rPr>
        <w:t xml:space="preserve"> 投标人准备和参加投标活动发生的费用自理。</w:t>
      </w:r>
    </w:p>
    <w:p>
      <w:pPr>
        <w:spacing w:line="360" w:lineRule="auto"/>
        <w:rPr>
          <w:rFonts w:ascii="宋体" w:hAnsi="宋体" w:cs="宋体"/>
          <w:b/>
          <w:sz w:val="24"/>
        </w:rPr>
      </w:pPr>
      <w:bookmarkStart w:id="87" w:name="_Toc20716"/>
      <w:bookmarkStart w:id="88" w:name="_Toc27893"/>
      <w:bookmarkStart w:id="89" w:name="_Toc144974504"/>
      <w:bookmarkStart w:id="90" w:name="_Toc152045536"/>
      <w:bookmarkStart w:id="91" w:name="_Toc435930037"/>
      <w:bookmarkStart w:id="92" w:name="_Toc247527560"/>
      <w:bookmarkStart w:id="93" w:name="_Toc436316941"/>
      <w:bookmarkStart w:id="94" w:name="_Toc436315331"/>
      <w:bookmarkStart w:id="95" w:name="_Toc152042312"/>
      <w:bookmarkStart w:id="96" w:name="_Toc247513959"/>
      <w:r>
        <w:rPr>
          <w:rFonts w:hint="eastAsia" w:ascii="宋体" w:hAnsi="宋体" w:cs="宋体"/>
          <w:b/>
          <w:sz w:val="24"/>
        </w:rPr>
        <w:t>1.6 保密</w:t>
      </w:r>
      <w:bookmarkEnd w:id="87"/>
      <w:bookmarkEnd w:id="88"/>
      <w:bookmarkEnd w:id="89"/>
      <w:bookmarkEnd w:id="90"/>
      <w:bookmarkEnd w:id="91"/>
      <w:bookmarkEnd w:id="92"/>
      <w:bookmarkEnd w:id="93"/>
      <w:bookmarkEnd w:id="94"/>
      <w:bookmarkEnd w:id="95"/>
      <w:bookmarkEnd w:id="96"/>
    </w:p>
    <w:p>
      <w:pPr>
        <w:spacing w:line="360" w:lineRule="auto"/>
        <w:ind w:firstLine="420" w:firstLineChars="200"/>
        <w:rPr>
          <w:rFonts w:ascii="宋体" w:hAnsi="宋体" w:cs="宋体"/>
        </w:rPr>
      </w:pPr>
      <w:r>
        <w:rPr>
          <w:rFonts w:hint="eastAsia" w:ascii="宋体" w:hAnsi="宋体" w:cs="宋体"/>
        </w:rPr>
        <w:t xml:space="preserve">参与招标投标活动的各方应对招标文件和投标文件中的商业和技术等秘密保密，否则应承担相应的法律责任。 </w:t>
      </w:r>
    </w:p>
    <w:p>
      <w:pPr>
        <w:spacing w:line="360" w:lineRule="auto"/>
        <w:rPr>
          <w:rFonts w:ascii="宋体" w:hAnsi="宋体" w:cs="宋体"/>
          <w:b/>
          <w:sz w:val="24"/>
        </w:rPr>
      </w:pPr>
      <w:bookmarkStart w:id="97" w:name="_Toc144974505"/>
      <w:bookmarkStart w:id="98" w:name="_Toc4582"/>
      <w:bookmarkStart w:id="99" w:name="_Toc247527561"/>
      <w:bookmarkStart w:id="100" w:name="_Toc247513960"/>
      <w:bookmarkStart w:id="101" w:name="_Toc152045537"/>
      <w:bookmarkStart w:id="102" w:name="_Toc436316942"/>
      <w:bookmarkStart w:id="103" w:name="_Toc152042313"/>
      <w:bookmarkStart w:id="104" w:name="_Toc436315332"/>
      <w:bookmarkStart w:id="105" w:name="_Toc435930038"/>
      <w:bookmarkStart w:id="106" w:name="_Toc21667"/>
      <w:r>
        <w:rPr>
          <w:rFonts w:hint="eastAsia" w:ascii="宋体" w:hAnsi="宋体" w:cs="宋体"/>
          <w:b/>
          <w:sz w:val="24"/>
        </w:rPr>
        <w:t>1.7 语言</w:t>
      </w:r>
      <w:bookmarkEnd w:id="97"/>
      <w:r>
        <w:rPr>
          <w:rFonts w:hint="eastAsia" w:ascii="宋体" w:hAnsi="宋体" w:cs="宋体"/>
          <w:b/>
          <w:sz w:val="24"/>
        </w:rPr>
        <w:t>文字</w:t>
      </w:r>
      <w:bookmarkEnd w:id="98"/>
      <w:bookmarkEnd w:id="99"/>
      <w:bookmarkEnd w:id="100"/>
      <w:bookmarkEnd w:id="101"/>
      <w:bookmarkEnd w:id="102"/>
      <w:bookmarkEnd w:id="103"/>
      <w:bookmarkEnd w:id="104"/>
      <w:bookmarkEnd w:id="105"/>
      <w:bookmarkEnd w:id="106"/>
    </w:p>
    <w:p>
      <w:pPr>
        <w:spacing w:line="360" w:lineRule="auto"/>
        <w:ind w:firstLine="420" w:firstLineChars="200"/>
        <w:rPr>
          <w:rFonts w:ascii="宋体" w:hAnsi="宋体" w:cs="宋体"/>
        </w:rPr>
      </w:pPr>
      <w:r>
        <w:rPr>
          <w:rFonts w:hint="eastAsia" w:ascii="宋体" w:hAnsi="宋体" w:cs="宋体"/>
        </w:rPr>
        <w:t>招标投标文件使用的语言文字为中文。专用术语使用外文的，应附有中文注释。</w:t>
      </w:r>
    </w:p>
    <w:p>
      <w:pPr>
        <w:spacing w:line="360" w:lineRule="auto"/>
        <w:rPr>
          <w:rFonts w:ascii="宋体" w:hAnsi="宋体" w:cs="宋体"/>
          <w:b/>
          <w:sz w:val="24"/>
        </w:rPr>
      </w:pPr>
      <w:bookmarkStart w:id="107" w:name="_Toc247513961"/>
      <w:bookmarkStart w:id="108" w:name="_Toc247527562"/>
      <w:bookmarkStart w:id="109" w:name="_Toc152045538"/>
      <w:bookmarkStart w:id="110" w:name="_Toc436316943"/>
      <w:bookmarkStart w:id="111" w:name="_Toc144974506"/>
      <w:bookmarkStart w:id="112" w:name="_Toc21212"/>
      <w:bookmarkStart w:id="113" w:name="_Toc7634"/>
      <w:bookmarkStart w:id="114" w:name="_Toc435930039"/>
      <w:bookmarkStart w:id="115" w:name="_Toc436315333"/>
      <w:bookmarkStart w:id="116" w:name="_Toc152042314"/>
      <w:r>
        <w:rPr>
          <w:rFonts w:hint="eastAsia" w:ascii="宋体" w:hAnsi="宋体" w:cs="宋体"/>
          <w:b/>
          <w:sz w:val="24"/>
        </w:rPr>
        <w:t>1.8 计量单位</w:t>
      </w:r>
      <w:bookmarkEnd w:id="107"/>
      <w:bookmarkEnd w:id="108"/>
      <w:bookmarkEnd w:id="109"/>
      <w:bookmarkEnd w:id="110"/>
      <w:bookmarkEnd w:id="111"/>
      <w:bookmarkEnd w:id="112"/>
      <w:bookmarkEnd w:id="113"/>
      <w:bookmarkEnd w:id="114"/>
      <w:bookmarkEnd w:id="115"/>
      <w:bookmarkEnd w:id="116"/>
    </w:p>
    <w:p>
      <w:pPr>
        <w:spacing w:line="360" w:lineRule="auto"/>
        <w:ind w:firstLine="420" w:firstLineChars="200"/>
        <w:rPr>
          <w:rFonts w:ascii="宋体" w:hAnsi="宋体" w:cs="宋体"/>
        </w:rPr>
      </w:pPr>
      <w:r>
        <w:rPr>
          <w:rFonts w:hint="eastAsia" w:ascii="宋体" w:hAnsi="宋体" w:cs="宋体"/>
        </w:rPr>
        <w:t>所有计量均采用中华人民共和国法定计量单位。</w:t>
      </w:r>
    </w:p>
    <w:p>
      <w:pPr>
        <w:spacing w:line="360" w:lineRule="auto"/>
        <w:rPr>
          <w:rFonts w:ascii="宋体" w:hAnsi="宋体" w:cs="宋体"/>
          <w:b/>
          <w:sz w:val="24"/>
        </w:rPr>
      </w:pPr>
      <w:bookmarkStart w:id="117" w:name="_Toc436315334"/>
      <w:bookmarkStart w:id="118" w:name="_Toc436316944"/>
      <w:bookmarkStart w:id="119" w:name="_Toc18050"/>
      <w:bookmarkStart w:id="120" w:name="_Toc144974507"/>
      <w:bookmarkStart w:id="121" w:name="_Toc435930040"/>
      <w:bookmarkStart w:id="122" w:name="_Toc14531"/>
      <w:bookmarkStart w:id="123" w:name="_Toc152045539"/>
      <w:bookmarkStart w:id="124" w:name="_Toc247513962"/>
      <w:bookmarkStart w:id="125" w:name="_Toc152042315"/>
      <w:bookmarkStart w:id="126" w:name="_Toc247527563"/>
      <w:r>
        <w:rPr>
          <w:rFonts w:hint="eastAsia" w:ascii="宋体" w:hAnsi="宋体" w:cs="宋体"/>
          <w:b/>
          <w:sz w:val="24"/>
        </w:rPr>
        <w:t>1.9 踏勘现场</w:t>
      </w:r>
      <w:bookmarkEnd w:id="117"/>
      <w:bookmarkEnd w:id="118"/>
      <w:bookmarkEnd w:id="119"/>
      <w:bookmarkEnd w:id="120"/>
      <w:bookmarkEnd w:id="121"/>
      <w:bookmarkEnd w:id="122"/>
      <w:bookmarkEnd w:id="123"/>
      <w:bookmarkEnd w:id="124"/>
      <w:bookmarkEnd w:id="125"/>
      <w:bookmarkEnd w:id="126"/>
    </w:p>
    <w:p>
      <w:pPr>
        <w:spacing w:line="360" w:lineRule="auto"/>
        <w:ind w:firstLine="420" w:firstLineChars="200"/>
        <w:rPr>
          <w:rFonts w:ascii="宋体" w:hAnsi="宋体" w:cs="宋体"/>
        </w:rPr>
      </w:pPr>
      <w:r>
        <w:rPr>
          <w:rFonts w:hint="eastAsia" w:ascii="宋体" w:hAnsi="宋体" w:cs="宋体"/>
        </w:rPr>
        <w:t>1.9.1 投标人须知前附表规定组织踏勘现场的，招标人按投标人须知前附表规定的时间、地点组织投标人踏勘项目现场。</w:t>
      </w:r>
    </w:p>
    <w:p>
      <w:pPr>
        <w:spacing w:line="360" w:lineRule="auto"/>
        <w:ind w:firstLine="420" w:firstLineChars="200"/>
        <w:rPr>
          <w:rFonts w:ascii="宋体" w:hAnsi="宋体" w:cs="宋体"/>
        </w:rPr>
      </w:pPr>
      <w:r>
        <w:rPr>
          <w:rFonts w:hint="eastAsia" w:ascii="宋体" w:hAnsi="宋体" w:cs="宋体"/>
        </w:rPr>
        <w:t>1.9.2 投标人踏勘现场发生的费用自理。</w:t>
      </w:r>
    </w:p>
    <w:p>
      <w:pPr>
        <w:spacing w:line="360" w:lineRule="auto"/>
        <w:ind w:firstLine="420" w:firstLineChars="200"/>
        <w:rPr>
          <w:rFonts w:ascii="宋体" w:hAnsi="宋体" w:cs="宋体"/>
        </w:rPr>
      </w:pPr>
      <w:r>
        <w:rPr>
          <w:rFonts w:hint="eastAsia" w:ascii="宋体" w:hAnsi="宋体" w:cs="宋体"/>
        </w:rPr>
        <w:t>1.9.3 除招标人的原因外，投标人自行负责在踏勘现场中所发生的人员伤亡和财产损失。</w:t>
      </w:r>
    </w:p>
    <w:p>
      <w:pPr>
        <w:spacing w:line="360" w:lineRule="auto"/>
        <w:ind w:firstLine="420" w:firstLineChars="200"/>
        <w:rPr>
          <w:rFonts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cs="宋体"/>
          <w:b/>
          <w:sz w:val="24"/>
        </w:rPr>
      </w:pPr>
      <w:bookmarkStart w:id="127" w:name="_Toc24325"/>
      <w:bookmarkStart w:id="128" w:name="_Toc152042316"/>
      <w:bookmarkStart w:id="129" w:name="_Toc435930041"/>
      <w:bookmarkStart w:id="130" w:name="_Toc436316945"/>
      <w:bookmarkStart w:id="131" w:name="_Toc436315335"/>
      <w:bookmarkStart w:id="132" w:name="_Toc152045540"/>
      <w:bookmarkStart w:id="133" w:name="_Toc16718"/>
      <w:bookmarkStart w:id="134" w:name="_Toc247513963"/>
      <w:bookmarkStart w:id="135" w:name="_Toc144974508"/>
      <w:bookmarkStart w:id="136" w:name="_Toc247527564"/>
      <w:r>
        <w:rPr>
          <w:rFonts w:hint="eastAsia" w:ascii="宋体" w:hAnsi="宋体" w:cs="宋体"/>
          <w:b/>
          <w:sz w:val="24"/>
        </w:rPr>
        <w:t>1.10 投标预备会</w:t>
      </w:r>
      <w:bookmarkEnd w:id="127"/>
      <w:bookmarkEnd w:id="128"/>
      <w:bookmarkEnd w:id="129"/>
      <w:bookmarkEnd w:id="130"/>
      <w:bookmarkEnd w:id="131"/>
      <w:bookmarkEnd w:id="132"/>
      <w:bookmarkEnd w:id="133"/>
      <w:bookmarkEnd w:id="134"/>
      <w:bookmarkEnd w:id="135"/>
      <w:bookmarkEnd w:id="136"/>
    </w:p>
    <w:p>
      <w:pPr>
        <w:spacing w:line="360" w:lineRule="auto"/>
        <w:ind w:firstLine="420" w:firstLineChars="200"/>
        <w:rPr>
          <w:rFonts w:ascii="宋体" w:hAnsi="宋体" w:cs="宋体"/>
        </w:rPr>
      </w:pPr>
      <w:r>
        <w:rPr>
          <w:rFonts w:hint="eastAsia" w:ascii="宋体" w:hAnsi="宋体" w:cs="宋体"/>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cs="宋体"/>
        </w:rPr>
      </w:pPr>
      <w:r>
        <w:rPr>
          <w:rFonts w:hint="eastAsia" w:ascii="宋体" w:hAnsi="宋体" w:cs="宋体"/>
        </w:rPr>
        <w:t>1.10.2 投标人应在投标人须知前附表规定的时间前，以书面形式将提出的问题送达招标人，以便招标人在会议期间澄清。</w:t>
      </w:r>
    </w:p>
    <w:p>
      <w:pPr>
        <w:spacing w:line="360" w:lineRule="auto"/>
        <w:ind w:firstLine="420" w:firstLineChars="200"/>
        <w:rPr>
          <w:rFonts w:ascii="宋体" w:hAnsi="宋体" w:cs="宋体"/>
        </w:rPr>
      </w:pPr>
      <w:r>
        <w:rPr>
          <w:rFonts w:hint="eastAsia" w:ascii="宋体" w:hAnsi="宋体" w:cs="宋体"/>
        </w:rPr>
        <w:t>1.10.3 投标预备会后，招标人在投标人须知前附表规定的时间内，将对投标人所提问题的澄清，以书面形式通知所有购买招标文件的投标人。该澄清内容为招标文件的组成部分。</w:t>
      </w:r>
    </w:p>
    <w:p>
      <w:pPr>
        <w:spacing w:line="360" w:lineRule="auto"/>
        <w:rPr>
          <w:rFonts w:ascii="宋体" w:hAnsi="宋体" w:cs="宋体"/>
          <w:b/>
          <w:sz w:val="24"/>
        </w:rPr>
      </w:pPr>
      <w:bookmarkStart w:id="137" w:name="_Toc144974509"/>
      <w:bookmarkStart w:id="138" w:name="_Toc436315336"/>
      <w:bookmarkStart w:id="139" w:name="_Toc247513964"/>
      <w:bookmarkStart w:id="140" w:name="_Toc11680"/>
      <w:bookmarkStart w:id="141" w:name="_Toc435930042"/>
      <w:bookmarkStart w:id="142" w:name="_Toc436316946"/>
      <w:bookmarkStart w:id="143" w:name="_Toc152045541"/>
      <w:bookmarkStart w:id="144" w:name="_Toc11628"/>
      <w:bookmarkStart w:id="145" w:name="_Toc247527565"/>
      <w:bookmarkStart w:id="146" w:name="_Toc152042317"/>
      <w:r>
        <w:rPr>
          <w:rFonts w:hint="eastAsia" w:ascii="宋体" w:hAnsi="宋体" w:cs="宋体"/>
          <w:b/>
          <w:sz w:val="24"/>
        </w:rPr>
        <w:t>1.11 分包</w:t>
      </w:r>
      <w:bookmarkEnd w:id="137"/>
      <w:bookmarkEnd w:id="138"/>
      <w:bookmarkEnd w:id="139"/>
      <w:bookmarkEnd w:id="140"/>
      <w:bookmarkEnd w:id="141"/>
      <w:bookmarkEnd w:id="142"/>
      <w:bookmarkEnd w:id="143"/>
      <w:bookmarkEnd w:id="144"/>
      <w:bookmarkEnd w:id="145"/>
      <w:bookmarkEnd w:id="146"/>
    </w:p>
    <w:p>
      <w:pPr>
        <w:spacing w:line="360" w:lineRule="auto"/>
        <w:ind w:firstLine="420" w:firstLineChars="200"/>
        <w:rPr>
          <w:rFonts w:ascii="宋体" w:hAnsi="宋体" w:cs="宋体"/>
        </w:rPr>
      </w:pPr>
      <w:r>
        <w:rPr>
          <w:rFonts w:hint="eastAsia" w:ascii="宋体" w:hAnsi="宋体" w:cs="宋体"/>
        </w:rPr>
        <w:t>不允许。</w:t>
      </w:r>
    </w:p>
    <w:p>
      <w:pPr>
        <w:spacing w:line="360" w:lineRule="auto"/>
        <w:rPr>
          <w:rFonts w:ascii="宋体" w:hAnsi="宋体" w:cs="宋体"/>
          <w:b/>
          <w:sz w:val="24"/>
        </w:rPr>
      </w:pPr>
      <w:bookmarkStart w:id="147" w:name="_Toc247513965"/>
      <w:bookmarkStart w:id="148" w:name="_Toc435930043"/>
      <w:bookmarkStart w:id="149" w:name="_Toc30909"/>
      <w:bookmarkStart w:id="150" w:name="_Toc436315337"/>
      <w:bookmarkStart w:id="151" w:name="_Toc19301"/>
      <w:bookmarkStart w:id="152" w:name="_Toc247527566"/>
      <w:bookmarkStart w:id="153" w:name="_Toc436316947"/>
      <w:r>
        <w:rPr>
          <w:rFonts w:hint="eastAsia" w:ascii="宋体" w:hAnsi="宋体" w:cs="宋体"/>
          <w:b/>
          <w:sz w:val="24"/>
        </w:rPr>
        <w:t>1.12 偏离</w:t>
      </w:r>
      <w:bookmarkEnd w:id="147"/>
      <w:bookmarkEnd w:id="148"/>
      <w:bookmarkEnd w:id="149"/>
      <w:bookmarkEnd w:id="150"/>
      <w:bookmarkEnd w:id="151"/>
      <w:bookmarkEnd w:id="152"/>
      <w:bookmarkEnd w:id="153"/>
    </w:p>
    <w:p>
      <w:pPr>
        <w:spacing w:line="360" w:lineRule="auto"/>
        <w:ind w:firstLine="359" w:firstLineChars="171"/>
        <w:rPr>
          <w:rFonts w:ascii="宋体" w:hAnsi="宋体" w:cs="宋体"/>
        </w:rPr>
      </w:pPr>
      <w:r>
        <w:rPr>
          <w:rFonts w:hint="eastAsia" w:ascii="宋体" w:hAnsi="宋体" w:cs="宋体"/>
        </w:rPr>
        <w:t>本项目不允许偏离。</w:t>
      </w:r>
    </w:p>
    <w:p>
      <w:pPr>
        <w:pStyle w:val="3"/>
        <w:keepNext w:val="0"/>
        <w:keepLines w:val="0"/>
        <w:spacing w:line="360" w:lineRule="auto"/>
        <w:rPr>
          <w:rFonts w:ascii="宋体" w:hAnsi="宋体" w:eastAsia="宋体" w:cs="宋体"/>
        </w:rPr>
      </w:pPr>
      <w:bookmarkStart w:id="154" w:name="_Toc9595"/>
      <w:bookmarkStart w:id="155" w:name="_Toc247513966"/>
      <w:bookmarkStart w:id="156" w:name="_Toc152042318"/>
      <w:bookmarkStart w:id="157" w:name="_Toc15109"/>
      <w:bookmarkStart w:id="158" w:name="_Toc144974510"/>
      <w:bookmarkStart w:id="159" w:name="_Toc247527567"/>
      <w:bookmarkStart w:id="160" w:name="_Toc18906"/>
      <w:bookmarkStart w:id="161" w:name="_Toc152045542"/>
      <w:bookmarkStart w:id="162" w:name="_Toc21773"/>
      <w:bookmarkStart w:id="163" w:name="_Toc3035"/>
      <w:r>
        <w:rPr>
          <w:rFonts w:hint="eastAsia" w:ascii="宋体" w:hAnsi="宋体" w:eastAsia="宋体" w:cs="宋体"/>
        </w:rPr>
        <w:t>2. 招标文件</w:t>
      </w:r>
      <w:bookmarkEnd w:id="154"/>
      <w:bookmarkEnd w:id="155"/>
      <w:bookmarkEnd w:id="156"/>
      <w:bookmarkEnd w:id="157"/>
      <w:bookmarkEnd w:id="158"/>
      <w:bookmarkEnd w:id="159"/>
      <w:bookmarkEnd w:id="160"/>
      <w:bookmarkEnd w:id="161"/>
      <w:bookmarkEnd w:id="162"/>
      <w:bookmarkEnd w:id="163"/>
    </w:p>
    <w:p>
      <w:pPr>
        <w:spacing w:line="360" w:lineRule="auto"/>
        <w:rPr>
          <w:rFonts w:ascii="宋体" w:hAnsi="宋体" w:cs="宋体"/>
          <w:b/>
          <w:sz w:val="24"/>
        </w:rPr>
      </w:pPr>
      <w:bookmarkStart w:id="164" w:name="_Toc247527568"/>
      <w:bookmarkStart w:id="165" w:name="_Toc247513967"/>
      <w:bookmarkStart w:id="166" w:name="_Toc152045543"/>
      <w:bookmarkStart w:id="167" w:name="_Toc435930045"/>
      <w:bookmarkStart w:id="168" w:name="_Toc144974511"/>
      <w:bookmarkStart w:id="169" w:name="_Toc291"/>
      <w:bookmarkStart w:id="170" w:name="_Toc436316949"/>
      <w:bookmarkStart w:id="171" w:name="_Toc436315339"/>
      <w:bookmarkStart w:id="172" w:name="_Toc152042319"/>
      <w:bookmarkStart w:id="173" w:name="_Toc31087"/>
      <w:r>
        <w:rPr>
          <w:rFonts w:hint="eastAsia" w:ascii="宋体" w:hAnsi="宋体" w:cs="宋体"/>
          <w:b/>
          <w:sz w:val="24"/>
        </w:rPr>
        <w:t>2.1 招标文件的组成</w:t>
      </w:r>
      <w:bookmarkEnd w:id="164"/>
      <w:bookmarkEnd w:id="165"/>
      <w:bookmarkEnd w:id="166"/>
      <w:bookmarkEnd w:id="167"/>
      <w:bookmarkEnd w:id="168"/>
      <w:bookmarkEnd w:id="169"/>
      <w:bookmarkEnd w:id="170"/>
      <w:bookmarkEnd w:id="171"/>
      <w:bookmarkEnd w:id="172"/>
      <w:bookmarkEnd w:id="173"/>
    </w:p>
    <w:p>
      <w:pPr>
        <w:spacing w:line="440" w:lineRule="exact"/>
        <w:rPr>
          <w:rFonts w:ascii="宋体" w:hAnsi="宋体" w:cs="宋体"/>
        </w:rPr>
      </w:pPr>
      <w:r>
        <w:rPr>
          <w:rFonts w:hint="eastAsia" w:ascii="宋体" w:hAnsi="宋体" w:cs="宋体"/>
        </w:rPr>
        <w:t>本招标文件包括：</w:t>
      </w:r>
    </w:p>
    <w:p>
      <w:pPr>
        <w:spacing w:line="440" w:lineRule="exact"/>
        <w:ind w:firstLine="420" w:firstLineChars="200"/>
        <w:rPr>
          <w:rFonts w:ascii="宋体" w:hAnsi="宋体" w:cs="宋体"/>
        </w:rPr>
      </w:pPr>
      <w:r>
        <w:rPr>
          <w:rFonts w:hint="eastAsia" w:ascii="宋体" w:hAnsi="宋体" w:cs="宋体"/>
        </w:rPr>
        <w:t>（1）招标公告；</w:t>
      </w:r>
    </w:p>
    <w:p>
      <w:pPr>
        <w:spacing w:line="440" w:lineRule="exact"/>
        <w:ind w:firstLine="420" w:firstLineChars="200"/>
        <w:rPr>
          <w:rFonts w:ascii="宋体" w:hAnsi="宋体" w:cs="宋体"/>
        </w:rPr>
      </w:pPr>
      <w:r>
        <w:rPr>
          <w:rFonts w:hint="eastAsia" w:ascii="宋体" w:hAnsi="宋体" w:cs="宋体"/>
        </w:rPr>
        <w:t>（2）投标人须知；</w:t>
      </w:r>
    </w:p>
    <w:p>
      <w:pPr>
        <w:spacing w:line="440" w:lineRule="exact"/>
        <w:ind w:firstLine="420" w:firstLineChars="200"/>
        <w:rPr>
          <w:rFonts w:ascii="宋体" w:hAnsi="宋体" w:cs="宋体"/>
        </w:rPr>
      </w:pPr>
      <w:r>
        <w:rPr>
          <w:rFonts w:hint="eastAsia" w:ascii="宋体" w:hAnsi="宋体" w:cs="宋体"/>
        </w:rPr>
        <w:t>（3）评标办法；</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（4）技术条件和技术规范；</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（5）合同条款及格式；</w:t>
      </w:r>
    </w:p>
    <w:p>
      <w:pPr>
        <w:spacing w:line="44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（6）投标文件格式。</w:t>
      </w:r>
    </w:p>
    <w:p>
      <w:pPr>
        <w:spacing w:line="440" w:lineRule="exact"/>
        <w:ind w:firstLine="420" w:firstLineChars="200"/>
        <w:rPr>
          <w:rFonts w:ascii="宋体" w:hAnsi="宋体" w:cs="宋体"/>
        </w:rPr>
      </w:pPr>
      <w:r>
        <w:rPr>
          <w:rFonts w:hint="eastAsia" w:ascii="宋体" w:hAnsi="宋体" w:cs="宋体"/>
        </w:rPr>
        <w:t>根据本章第1.10 款、第2.2 款和第2.3 款对招标文件所作的澄清、修改，构成招标文件的组成部分。</w:t>
      </w:r>
    </w:p>
    <w:p>
      <w:pPr>
        <w:spacing w:line="440" w:lineRule="exact"/>
        <w:rPr>
          <w:rFonts w:ascii="宋体" w:hAnsi="宋体" w:cs="宋体"/>
          <w:b/>
          <w:sz w:val="24"/>
        </w:rPr>
      </w:pPr>
      <w:bookmarkStart w:id="174" w:name="_Toc247527569"/>
      <w:bookmarkStart w:id="175" w:name="_Toc24890"/>
      <w:bookmarkStart w:id="176" w:name="_Toc435930046"/>
      <w:bookmarkStart w:id="177" w:name="_Toc21539"/>
      <w:bookmarkStart w:id="178" w:name="_Toc152045544"/>
      <w:bookmarkStart w:id="179" w:name="_Toc436316950"/>
      <w:bookmarkStart w:id="180" w:name="_Toc247513968"/>
      <w:bookmarkStart w:id="181" w:name="_Toc152042320"/>
      <w:bookmarkStart w:id="182" w:name="_Toc144974512"/>
      <w:bookmarkStart w:id="183" w:name="_Toc436315340"/>
      <w:r>
        <w:rPr>
          <w:rFonts w:hint="eastAsia" w:ascii="宋体" w:hAnsi="宋体" w:cs="宋体"/>
          <w:b/>
          <w:sz w:val="24"/>
        </w:rPr>
        <w:t>2.2</w:t>
      </w:r>
      <w:bookmarkEnd w:id="174"/>
      <w:bookmarkEnd w:id="175"/>
      <w:bookmarkEnd w:id="176"/>
      <w:bookmarkEnd w:id="177"/>
      <w:bookmarkEnd w:id="178"/>
      <w:bookmarkEnd w:id="179"/>
      <w:bookmarkEnd w:id="180"/>
      <w:bookmarkEnd w:id="181"/>
      <w:bookmarkEnd w:id="182"/>
      <w:bookmarkEnd w:id="183"/>
      <w:r>
        <w:rPr>
          <w:rFonts w:hint="eastAsia" w:ascii="宋体" w:hAnsi="宋体" w:cs="宋体"/>
          <w:b/>
          <w:sz w:val="24"/>
        </w:rPr>
        <w:t xml:space="preserve"> 招标文件的澄清</w:t>
      </w:r>
    </w:p>
    <w:p>
      <w:pPr>
        <w:spacing w:line="440" w:lineRule="exact"/>
        <w:ind w:firstLine="420" w:firstLineChars="200"/>
        <w:rPr>
          <w:rFonts w:ascii="宋体" w:hAnsi="宋体" w:cs="宋体"/>
        </w:rPr>
      </w:pPr>
      <w:r>
        <w:rPr>
          <w:rFonts w:hint="eastAsia" w:ascii="宋体" w:hAnsi="宋体" w:cs="宋体"/>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否则由此引起的任何后果均由投标人自己承担，招标人与招标代理机构均不承担任何责任。</w:t>
      </w:r>
    </w:p>
    <w:p>
      <w:pPr>
        <w:spacing w:line="440" w:lineRule="exact"/>
        <w:ind w:firstLine="420" w:firstLineChars="200"/>
        <w:rPr>
          <w:rFonts w:ascii="宋体" w:hAnsi="宋体" w:cs="宋体"/>
        </w:rPr>
      </w:pPr>
      <w:r>
        <w:rPr>
          <w:rFonts w:hint="eastAsia" w:ascii="宋体" w:hAnsi="宋体" w:cs="宋体"/>
        </w:rPr>
        <w:t>2.2.2 招标文件的澄清将在投标人须知前附表规定的投标截止时间15天前以交易平台形式发布澄清公告，但不指明澄清问题的来源。如果澄清发出的时间距投标截止时间不足15天，相应延长投标截止时间。</w:t>
      </w:r>
    </w:p>
    <w:p>
      <w:pPr>
        <w:spacing w:line="440" w:lineRule="exact"/>
        <w:ind w:firstLine="420" w:firstLineChars="200"/>
        <w:rPr>
          <w:rFonts w:ascii="宋体" w:hAnsi="宋体" w:cs="宋体"/>
        </w:rPr>
      </w:pPr>
      <w:r>
        <w:rPr>
          <w:rFonts w:hint="eastAsia" w:ascii="宋体" w:hAnsi="宋体" w:cs="宋体"/>
        </w:rPr>
        <w:t>2.2.3 投标人在收到澄清后，应在投标人须知前附表规定的时间内以交易平台形式通知招标人，确认已收到该澄清。</w:t>
      </w:r>
    </w:p>
    <w:p>
      <w:pPr>
        <w:spacing w:line="360" w:lineRule="auto"/>
        <w:rPr>
          <w:rFonts w:ascii="宋体" w:hAnsi="宋体" w:cs="宋体"/>
          <w:b/>
          <w:sz w:val="24"/>
        </w:rPr>
      </w:pPr>
      <w:bookmarkStart w:id="184" w:name="_Toc435930047"/>
      <w:bookmarkStart w:id="185" w:name="_Toc144974513"/>
      <w:bookmarkStart w:id="186" w:name="_Toc247527570"/>
      <w:bookmarkStart w:id="187" w:name="_Toc152045545"/>
      <w:bookmarkStart w:id="188" w:name="_Toc8210"/>
      <w:bookmarkStart w:id="189" w:name="_Toc436316951"/>
      <w:bookmarkStart w:id="190" w:name="_Toc152042321"/>
      <w:bookmarkStart w:id="191" w:name="_Toc18025"/>
      <w:bookmarkStart w:id="192" w:name="_Toc247513969"/>
      <w:bookmarkStart w:id="193" w:name="_Toc436315341"/>
      <w:r>
        <w:rPr>
          <w:rFonts w:hint="eastAsia" w:ascii="宋体" w:hAnsi="宋体" w:cs="宋体"/>
          <w:b/>
          <w:sz w:val="24"/>
        </w:rPr>
        <w:t>2.3 招标文件的修改</w:t>
      </w:r>
      <w:bookmarkEnd w:id="184"/>
      <w:bookmarkEnd w:id="185"/>
      <w:bookmarkEnd w:id="186"/>
      <w:bookmarkEnd w:id="187"/>
      <w:bookmarkEnd w:id="188"/>
      <w:bookmarkEnd w:id="189"/>
      <w:bookmarkEnd w:id="190"/>
      <w:bookmarkEnd w:id="191"/>
      <w:bookmarkEnd w:id="192"/>
      <w:bookmarkEnd w:id="193"/>
    </w:p>
    <w:p>
      <w:pPr>
        <w:spacing w:line="440" w:lineRule="exact"/>
        <w:ind w:firstLine="420" w:firstLineChars="200"/>
        <w:rPr>
          <w:rFonts w:ascii="宋体" w:hAnsi="宋体" w:cs="宋体"/>
        </w:rPr>
      </w:pPr>
      <w:bookmarkStart w:id="194" w:name="_Toc436315343"/>
      <w:bookmarkStart w:id="195" w:name="_Toc7921"/>
      <w:bookmarkStart w:id="196" w:name="_Toc247513971"/>
      <w:bookmarkStart w:id="197" w:name="_Toc436316953"/>
      <w:bookmarkStart w:id="198" w:name="_Toc247527572"/>
      <w:bookmarkStart w:id="199" w:name="_Toc152042323"/>
      <w:bookmarkStart w:id="200" w:name="_Toc152045547"/>
      <w:bookmarkStart w:id="201" w:name="_Toc144974515"/>
      <w:bookmarkStart w:id="202" w:name="_Toc435930049"/>
      <w:bookmarkStart w:id="203" w:name="_Toc31130"/>
      <w:r>
        <w:rPr>
          <w:rFonts w:hint="eastAsia" w:ascii="宋体" w:hAnsi="宋体" w:cs="宋体"/>
        </w:rPr>
        <w:t xml:space="preserve">2.3.1 在投标截止时间15天前，招标人可以修改招标文件，如有修改，将在交易平台上发布变更公告。如果修改招标文件的时间距投标截止时间不足15天，相应延长投标截止时间。 </w:t>
      </w:r>
    </w:p>
    <w:p>
      <w:pPr>
        <w:spacing w:line="440" w:lineRule="exact"/>
        <w:ind w:firstLine="420" w:firstLineChars="200"/>
        <w:rPr>
          <w:rFonts w:ascii="宋体" w:hAnsi="宋体" w:cs="宋体"/>
        </w:rPr>
      </w:pPr>
      <w:r>
        <w:rPr>
          <w:rFonts w:hint="eastAsia" w:ascii="宋体" w:hAnsi="宋体" w:cs="宋体"/>
        </w:rPr>
        <w:t>2.3.2 投标人收到修改内容后，应在投标人须知前附表规定的时间内通知招标人，自招标文件修改在相关网站发布起，即默认为投标人收到。</w:t>
      </w:r>
    </w:p>
    <w:p>
      <w:pPr>
        <w:pStyle w:val="3"/>
        <w:keepNext w:val="0"/>
        <w:keepLines w:val="0"/>
        <w:spacing w:line="360" w:lineRule="auto"/>
        <w:rPr>
          <w:rFonts w:ascii="宋体" w:hAnsi="宋体" w:eastAsia="宋体" w:cs="宋体"/>
        </w:rPr>
      </w:pPr>
      <w:bookmarkStart w:id="204" w:name="_Toc12823"/>
      <w:bookmarkStart w:id="205" w:name="_Toc14227"/>
      <w:bookmarkStart w:id="206" w:name="_Toc24696"/>
      <w:bookmarkStart w:id="207" w:name="_Toc9026"/>
      <w:bookmarkStart w:id="208" w:name="_Toc763"/>
      <w:r>
        <w:rPr>
          <w:rFonts w:hint="eastAsia" w:ascii="宋体" w:hAnsi="宋体" w:eastAsia="宋体" w:cs="宋体"/>
        </w:rPr>
        <w:t>3. 投标文件</w:t>
      </w:r>
      <w:bookmarkEnd w:id="204"/>
      <w:bookmarkEnd w:id="205"/>
      <w:bookmarkEnd w:id="206"/>
      <w:bookmarkEnd w:id="207"/>
      <w:bookmarkEnd w:id="208"/>
    </w:p>
    <w:p>
      <w:pPr>
        <w:spacing w:line="360" w:lineRule="auto"/>
        <w:rPr>
          <w:rFonts w:ascii="宋体" w:hAnsi="宋体" w:cs="宋体"/>
          <w:b/>
          <w:sz w:val="24"/>
        </w:rPr>
      </w:pPr>
      <w:r>
        <w:rPr>
          <w:rFonts w:hint="eastAsia" w:ascii="宋体" w:hAnsi="宋体" w:cs="宋体"/>
          <w:b/>
          <w:sz w:val="24"/>
        </w:rPr>
        <w:t>3.1 投标文件的组成</w:t>
      </w:r>
      <w:bookmarkEnd w:id="194"/>
      <w:bookmarkEnd w:id="195"/>
      <w:bookmarkEnd w:id="196"/>
      <w:bookmarkEnd w:id="197"/>
      <w:bookmarkEnd w:id="198"/>
      <w:bookmarkEnd w:id="199"/>
      <w:bookmarkEnd w:id="200"/>
      <w:bookmarkEnd w:id="201"/>
      <w:bookmarkEnd w:id="202"/>
      <w:bookmarkEnd w:id="203"/>
    </w:p>
    <w:p>
      <w:pPr>
        <w:spacing w:line="360" w:lineRule="auto"/>
        <w:rPr>
          <w:rFonts w:ascii="宋体" w:hAnsi="宋体" w:cs="宋体"/>
        </w:rPr>
      </w:pPr>
      <w:r>
        <w:rPr>
          <w:rFonts w:hint="eastAsia" w:ascii="宋体" w:hAnsi="宋体" w:cs="宋体"/>
        </w:rPr>
        <w:t>　　3.1.1 投标文件应包括下列内容：</w:t>
      </w:r>
    </w:p>
    <w:p>
      <w:pPr>
        <w:spacing w:line="360" w:lineRule="auto"/>
        <w:ind w:firstLine="420" w:firstLineChars="200"/>
        <w:rPr>
          <w:rFonts w:ascii="宋体" w:hAnsi="宋体" w:cs="宋体"/>
        </w:rPr>
      </w:pPr>
      <w:bookmarkStart w:id="209" w:name="_Toc16620"/>
      <w:bookmarkStart w:id="210" w:name="_Toc152042324"/>
      <w:bookmarkStart w:id="211" w:name="_Toc247527573"/>
      <w:bookmarkStart w:id="212" w:name="_Toc4853"/>
      <w:bookmarkStart w:id="213" w:name="_Toc152045548"/>
      <w:bookmarkStart w:id="214" w:name="_Toc436316954"/>
      <w:bookmarkStart w:id="215" w:name="_Toc247513972"/>
      <w:bookmarkStart w:id="216" w:name="_Toc436315344"/>
      <w:bookmarkStart w:id="217" w:name="_Toc144974516"/>
      <w:bookmarkStart w:id="218" w:name="_Toc435930050"/>
      <w:r>
        <w:rPr>
          <w:rFonts w:hint="eastAsia" w:ascii="宋体" w:hAnsi="宋体" w:cs="宋体"/>
        </w:rPr>
        <w:t>（1）投标函及投标函附录</w:t>
      </w:r>
    </w:p>
    <w:p>
      <w:pPr>
        <w:spacing w:line="360" w:lineRule="auto"/>
        <w:ind w:firstLine="420" w:firstLineChars="200"/>
        <w:rPr>
          <w:rFonts w:ascii="宋体" w:hAnsi="宋体" w:cs="宋体"/>
        </w:rPr>
      </w:pPr>
      <w:r>
        <w:rPr>
          <w:rFonts w:hint="eastAsia" w:ascii="宋体" w:hAnsi="宋体" w:cs="宋体"/>
        </w:rPr>
        <w:t>（2）法定代表人身份证明</w:t>
      </w:r>
    </w:p>
    <w:p>
      <w:pPr>
        <w:spacing w:line="360" w:lineRule="auto"/>
        <w:ind w:firstLine="420" w:firstLineChars="200"/>
        <w:rPr>
          <w:rFonts w:ascii="宋体" w:hAnsi="宋体" w:cs="宋体"/>
        </w:rPr>
      </w:pPr>
      <w:r>
        <w:rPr>
          <w:rFonts w:hint="eastAsia" w:ascii="宋体" w:hAnsi="宋体" w:cs="宋体"/>
        </w:rPr>
        <w:t>（3）授权委托书</w:t>
      </w:r>
    </w:p>
    <w:p>
      <w:pPr>
        <w:spacing w:line="360" w:lineRule="auto"/>
        <w:ind w:firstLine="420" w:firstLineChars="200"/>
        <w:rPr>
          <w:rFonts w:ascii="宋体" w:hAnsi="宋体" w:cs="宋体"/>
        </w:rPr>
      </w:pPr>
      <w:r>
        <w:rPr>
          <w:rFonts w:hint="eastAsia" w:ascii="宋体" w:hAnsi="宋体" w:cs="宋体"/>
        </w:rPr>
        <w:t>（4）投标保证金</w:t>
      </w:r>
    </w:p>
    <w:p>
      <w:pPr>
        <w:spacing w:line="360" w:lineRule="auto"/>
        <w:ind w:firstLine="420" w:firstLineChars="200"/>
        <w:rPr>
          <w:rFonts w:ascii="宋体" w:hAnsi="宋体" w:cs="宋体"/>
        </w:rPr>
      </w:pPr>
      <w:r>
        <w:rPr>
          <w:rFonts w:hint="eastAsia" w:ascii="宋体" w:hAnsi="宋体" w:cs="宋体"/>
        </w:rPr>
        <w:t>（5）监理大纲</w:t>
      </w:r>
    </w:p>
    <w:p>
      <w:pPr>
        <w:spacing w:line="360" w:lineRule="auto"/>
        <w:ind w:firstLine="420" w:firstLineChars="200"/>
        <w:rPr>
          <w:rFonts w:ascii="宋体" w:hAnsi="宋体" w:cs="宋体"/>
        </w:rPr>
      </w:pPr>
      <w:r>
        <w:rPr>
          <w:rFonts w:hint="eastAsia" w:ascii="宋体" w:hAnsi="宋体" w:cs="宋体"/>
        </w:rPr>
        <w:t>（6）项目管理机构</w:t>
      </w:r>
    </w:p>
    <w:p>
      <w:pPr>
        <w:spacing w:line="360" w:lineRule="auto"/>
        <w:ind w:firstLine="420" w:firstLineChars="200"/>
        <w:rPr>
          <w:rFonts w:ascii="宋体" w:hAnsi="宋体" w:cs="宋体"/>
        </w:rPr>
      </w:pPr>
      <w:r>
        <w:rPr>
          <w:rFonts w:hint="eastAsia" w:ascii="宋体" w:hAnsi="宋体" w:cs="宋体"/>
        </w:rPr>
        <w:t>（7）资格审查资料</w:t>
      </w:r>
    </w:p>
    <w:p>
      <w:pPr>
        <w:spacing w:line="360" w:lineRule="auto"/>
        <w:ind w:firstLine="420" w:firstLineChars="200"/>
        <w:rPr>
          <w:rFonts w:ascii="宋体" w:hAnsi="宋体" w:cs="宋体"/>
        </w:rPr>
      </w:pPr>
      <w:r>
        <w:rPr>
          <w:rFonts w:hint="eastAsia" w:ascii="宋体" w:hAnsi="宋体" w:cs="宋体"/>
        </w:rPr>
        <w:t>（8）其他材料</w:t>
      </w:r>
    </w:p>
    <w:p>
      <w:pPr>
        <w:spacing w:line="360" w:lineRule="auto"/>
        <w:rPr>
          <w:rFonts w:ascii="宋体" w:hAnsi="宋体" w:cs="宋体"/>
          <w:b/>
          <w:sz w:val="24"/>
        </w:rPr>
      </w:pPr>
      <w:r>
        <w:rPr>
          <w:rFonts w:hint="eastAsia" w:ascii="宋体" w:hAnsi="宋体" w:cs="宋体"/>
          <w:b/>
          <w:sz w:val="24"/>
        </w:rPr>
        <w:t>3.2 投标报价</w:t>
      </w:r>
      <w:bookmarkEnd w:id="209"/>
      <w:bookmarkEnd w:id="210"/>
      <w:bookmarkEnd w:id="211"/>
      <w:bookmarkEnd w:id="212"/>
      <w:bookmarkEnd w:id="213"/>
      <w:bookmarkEnd w:id="214"/>
      <w:bookmarkEnd w:id="215"/>
      <w:bookmarkEnd w:id="216"/>
      <w:bookmarkEnd w:id="217"/>
      <w:bookmarkEnd w:id="218"/>
      <w:r>
        <w:rPr>
          <w:rFonts w:hint="eastAsia" w:ascii="宋体" w:hAnsi="宋体" w:cs="宋体"/>
          <w:b/>
          <w:sz w:val="24"/>
        </w:rPr>
        <w:t xml:space="preserve"> </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rPr>
        <w:t>3.2.1 投标人应按</w:t>
      </w:r>
      <w:r>
        <w:rPr>
          <w:rFonts w:hint="eastAsia" w:ascii="宋体" w:hAnsi="宋体" w:cs="宋体"/>
          <w:color w:val="000000" w:themeColor="text1"/>
          <w14:textFill>
            <w14:solidFill>
              <w14:schemeClr w14:val="tx1"/>
            </w14:solidFill>
          </w14:textFill>
        </w:rPr>
        <w:t>第六章“投标文件格式”的要求填写。</w:t>
      </w:r>
    </w:p>
    <w:p>
      <w:pPr>
        <w:spacing w:line="360" w:lineRule="auto"/>
        <w:ind w:firstLine="420" w:firstLineChars="200"/>
        <w:rPr>
          <w:rFonts w:ascii="宋体" w:hAnsi="宋体" w:cs="宋体"/>
        </w:rPr>
      </w:pPr>
      <w:r>
        <w:rPr>
          <w:rFonts w:hint="eastAsia" w:ascii="宋体" w:hAnsi="宋体" w:cs="宋体"/>
          <w:color w:val="000000" w:themeColor="text1"/>
          <w14:textFill>
            <w14:solidFill>
              <w14:schemeClr w14:val="tx1"/>
            </w14:solidFill>
          </w14:textFill>
        </w:rPr>
        <w:t>3.2.2投标报价应包括国家规定的增值税税金，除投标人须知前附表另有规定外，增值税税金按一般计税方法计算。投标人应按第六章“</w:t>
      </w:r>
      <w:r>
        <w:rPr>
          <w:rFonts w:hint="eastAsia" w:ascii="宋体" w:hAnsi="宋体" w:cs="宋体"/>
        </w:rPr>
        <w:t>投标文件格式”的要求在投标函中进行报价。</w:t>
      </w:r>
    </w:p>
    <w:p>
      <w:pPr>
        <w:spacing w:line="360" w:lineRule="auto"/>
        <w:ind w:firstLine="420" w:firstLineChars="200"/>
        <w:rPr>
          <w:rFonts w:ascii="宋体" w:hAnsi="宋体" w:cs="宋体"/>
        </w:rPr>
      </w:pPr>
      <w:r>
        <w:rPr>
          <w:rFonts w:hint="eastAsia" w:ascii="宋体" w:hAnsi="宋体" w:cs="宋体"/>
        </w:rPr>
        <w:t>3.2.3投标报价以人民币为计量币种报价，并以人民币币种签约、结算。</w:t>
      </w:r>
    </w:p>
    <w:p>
      <w:pPr>
        <w:spacing w:line="360" w:lineRule="auto"/>
        <w:ind w:firstLine="420" w:firstLineChars="200"/>
        <w:rPr>
          <w:rFonts w:ascii="宋体" w:hAnsi="宋体" w:cs="宋体"/>
        </w:rPr>
      </w:pPr>
      <w:r>
        <w:rPr>
          <w:rFonts w:hint="eastAsia" w:ascii="宋体" w:hAnsi="宋体" w:cs="宋体"/>
        </w:rPr>
        <w:t>3.2.4 投标人在投标截止时间前修改投标函中的投标报价总额，应同时修改投标文件“投标报价分析表”中的相应报价，投标报价总额为各分项金额之和。此修改须符合本章第4.3款的有关要求。</w:t>
      </w:r>
    </w:p>
    <w:p>
      <w:pPr>
        <w:spacing w:line="360" w:lineRule="auto"/>
        <w:ind w:firstLine="435"/>
        <w:rPr>
          <w:rFonts w:ascii="宋体" w:hAnsi="宋体" w:cs="宋体"/>
          <w:bCs/>
          <w:sz w:val="24"/>
        </w:rPr>
      </w:pPr>
      <w:r>
        <w:rPr>
          <w:rFonts w:hint="eastAsia" w:ascii="宋体" w:hAnsi="宋体" w:cs="宋体"/>
        </w:rPr>
        <w:t xml:space="preserve">3.2.5 </w:t>
      </w:r>
      <w:r>
        <w:rPr>
          <w:rFonts w:hint="eastAsia" w:ascii="宋体" w:hAnsi="宋体" w:cs="宋体"/>
          <w:bCs/>
        </w:rPr>
        <w:t>本项目设招标控制价，超过招标控制价的投标报价，招标人不予接受，按无效标处理。</w:t>
      </w:r>
    </w:p>
    <w:p>
      <w:pPr>
        <w:spacing w:line="360" w:lineRule="auto"/>
        <w:rPr>
          <w:rFonts w:ascii="宋体" w:hAnsi="宋体" w:cs="宋体"/>
          <w:b/>
          <w:sz w:val="24"/>
        </w:rPr>
      </w:pPr>
      <w:bookmarkStart w:id="219" w:name="_Toc436316955"/>
      <w:bookmarkStart w:id="220" w:name="_Toc28057"/>
      <w:bookmarkStart w:id="221" w:name="_Toc152042325"/>
      <w:bookmarkStart w:id="222" w:name="_Toc144974517"/>
      <w:bookmarkStart w:id="223" w:name="_Toc247513973"/>
      <w:bookmarkStart w:id="224" w:name="_Toc2197"/>
      <w:bookmarkStart w:id="225" w:name="_Toc435930051"/>
      <w:bookmarkStart w:id="226" w:name="_Toc436315345"/>
      <w:bookmarkStart w:id="227" w:name="_Toc152045549"/>
      <w:bookmarkStart w:id="228" w:name="_Toc247527574"/>
      <w:r>
        <w:rPr>
          <w:rFonts w:hint="eastAsia" w:ascii="宋体" w:hAnsi="宋体" w:cs="宋体"/>
          <w:b/>
          <w:sz w:val="24"/>
        </w:rPr>
        <w:t>3.3 投标有效期</w:t>
      </w:r>
      <w:bookmarkEnd w:id="219"/>
      <w:bookmarkEnd w:id="220"/>
      <w:bookmarkEnd w:id="221"/>
      <w:bookmarkEnd w:id="222"/>
      <w:bookmarkEnd w:id="223"/>
      <w:bookmarkEnd w:id="224"/>
      <w:bookmarkEnd w:id="225"/>
      <w:bookmarkEnd w:id="226"/>
      <w:bookmarkEnd w:id="227"/>
      <w:bookmarkEnd w:id="228"/>
    </w:p>
    <w:p>
      <w:pPr>
        <w:spacing w:line="360" w:lineRule="auto"/>
        <w:ind w:firstLine="420" w:firstLineChars="200"/>
        <w:rPr>
          <w:rFonts w:ascii="宋体" w:hAnsi="宋体" w:cs="宋体"/>
        </w:rPr>
      </w:pPr>
      <w:r>
        <w:rPr>
          <w:rFonts w:hint="eastAsia" w:ascii="宋体" w:hAnsi="宋体" w:cs="宋体"/>
        </w:rPr>
        <w:t>3.3.1 在投标人须知前附表规定的投标有效期内，投标人不得要求撤销或修改其投标文件。</w:t>
      </w:r>
    </w:p>
    <w:p>
      <w:pPr>
        <w:spacing w:line="360" w:lineRule="auto"/>
        <w:ind w:firstLine="420" w:firstLineChars="200"/>
        <w:rPr>
          <w:rFonts w:ascii="宋体" w:hAnsi="宋体" w:cs="宋体"/>
        </w:rPr>
      </w:pPr>
      <w:r>
        <w:rPr>
          <w:rFonts w:hint="eastAsia" w:ascii="宋体" w:hAnsi="宋体" w:cs="宋体"/>
        </w:rPr>
        <w:t xml:space="preserve">3.3.2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60" w:lineRule="auto"/>
        <w:rPr>
          <w:rFonts w:ascii="宋体" w:hAnsi="宋体" w:cs="宋体"/>
          <w:b/>
          <w:sz w:val="24"/>
        </w:rPr>
      </w:pPr>
      <w:bookmarkStart w:id="229" w:name="_Toc152042326"/>
      <w:bookmarkStart w:id="230" w:name="_Toc247527575"/>
      <w:bookmarkStart w:id="231" w:name="_Toc435930052"/>
      <w:bookmarkStart w:id="232" w:name="_Toc436316956"/>
      <w:bookmarkStart w:id="233" w:name="_Toc247513974"/>
      <w:bookmarkStart w:id="234" w:name="_Toc1549"/>
      <w:bookmarkStart w:id="235" w:name="_Toc436315346"/>
      <w:bookmarkStart w:id="236" w:name="_Toc12195"/>
      <w:bookmarkStart w:id="237" w:name="_Toc152045550"/>
      <w:bookmarkStart w:id="238" w:name="_Toc144974518"/>
      <w:r>
        <w:rPr>
          <w:rFonts w:hint="eastAsia" w:ascii="宋体" w:hAnsi="宋体" w:cs="宋体"/>
          <w:b/>
          <w:sz w:val="24"/>
        </w:rPr>
        <w:t>3.4 投标保证金</w:t>
      </w:r>
      <w:bookmarkEnd w:id="229"/>
      <w:bookmarkEnd w:id="230"/>
      <w:bookmarkEnd w:id="231"/>
      <w:bookmarkEnd w:id="232"/>
      <w:bookmarkEnd w:id="233"/>
      <w:bookmarkEnd w:id="234"/>
      <w:bookmarkEnd w:id="235"/>
      <w:bookmarkEnd w:id="236"/>
      <w:bookmarkEnd w:id="237"/>
      <w:bookmarkEnd w:id="238"/>
    </w:p>
    <w:p>
      <w:pPr>
        <w:spacing w:line="360" w:lineRule="auto"/>
        <w:ind w:firstLine="420" w:firstLineChars="200"/>
        <w:rPr>
          <w:rFonts w:ascii="宋体" w:hAnsi="宋体" w:cs="宋体"/>
        </w:rPr>
      </w:pPr>
      <w:r>
        <w:rPr>
          <w:rFonts w:hint="eastAsia" w:ascii="宋体" w:hAnsi="宋体" w:cs="宋体"/>
        </w:rPr>
        <w:t>3.4.1 投标人在递交投标文件的同时，应按投标人须知前附表规定的金额、担保形</w:t>
      </w:r>
      <w:r>
        <w:rPr>
          <w:rFonts w:hint="eastAsia" w:ascii="宋体" w:hAnsi="宋体" w:cs="宋体"/>
          <w:color w:val="000000" w:themeColor="text1"/>
          <w14:textFill>
            <w14:solidFill>
              <w14:schemeClr w14:val="tx1"/>
            </w14:solidFill>
          </w14:textFill>
        </w:rPr>
        <w:t>式和第六章</w:t>
      </w:r>
      <w:r>
        <w:rPr>
          <w:rFonts w:hint="eastAsia" w:ascii="宋体" w:hAnsi="宋体" w:cs="宋体"/>
        </w:rPr>
        <w:t>“投标文件格式”规定的投标保证金格式递交投标保证金，并作为其投标文件的组成部分。联合体投标的，其投标保证金由牵头人递交，并应符合投标人须知前附表的规定。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rPr>
          <w:rFonts w:ascii="宋体" w:hAnsi="宋体" w:cs="宋体"/>
        </w:rPr>
      </w:pPr>
      <w:r>
        <w:rPr>
          <w:rFonts w:hint="eastAsia" w:ascii="宋体" w:hAnsi="宋体" w:cs="宋体"/>
        </w:rPr>
        <w:t>3.4.2 投标人不按本章第3.4.1项要求提交投标保证金的，评标委员会将否决其投标。</w:t>
      </w:r>
    </w:p>
    <w:p>
      <w:pPr>
        <w:spacing w:line="360" w:lineRule="auto"/>
        <w:ind w:firstLine="420" w:firstLineChars="200"/>
        <w:rPr>
          <w:rFonts w:ascii="宋体" w:hAnsi="宋体" w:cs="宋体"/>
        </w:rPr>
      </w:pPr>
      <w:r>
        <w:rPr>
          <w:rFonts w:hint="eastAsia" w:ascii="宋体" w:hAnsi="宋体" w:cs="宋体"/>
        </w:rPr>
        <w:t>3.4.3 招标人与中标人签订合同后5个工作日内，向未中标的投标人和中标人退还投标保证金。</w:t>
      </w:r>
    </w:p>
    <w:p>
      <w:pPr>
        <w:spacing w:line="360" w:lineRule="auto"/>
        <w:ind w:firstLine="420" w:firstLineChars="200"/>
        <w:rPr>
          <w:rFonts w:ascii="宋体" w:hAnsi="宋体" w:cs="宋体"/>
        </w:rPr>
      </w:pPr>
      <w:r>
        <w:rPr>
          <w:rFonts w:hint="eastAsia" w:ascii="宋体" w:hAnsi="宋体" w:cs="宋体"/>
        </w:rPr>
        <w:t xml:space="preserve">3.4.4 有下列情形之一的，投标保证金将不予退还： </w:t>
      </w:r>
    </w:p>
    <w:p>
      <w:pPr>
        <w:spacing w:line="360" w:lineRule="auto"/>
        <w:ind w:firstLine="315" w:firstLineChars="150"/>
        <w:rPr>
          <w:rFonts w:ascii="宋体" w:hAnsi="宋体" w:cs="宋体"/>
        </w:rPr>
      </w:pPr>
      <w:r>
        <w:rPr>
          <w:rFonts w:hint="eastAsia" w:ascii="宋体" w:hAnsi="宋体" w:cs="宋体"/>
        </w:rPr>
        <w:t>（1）投标人在规定的投标有效期内撤销或修改其投标文件；</w:t>
      </w:r>
    </w:p>
    <w:p>
      <w:pPr>
        <w:spacing w:line="360" w:lineRule="auto"/>
        <w:ind w:firstLine="315" w:firstLineChars="150"/>
        <w:rPr>
          <w:rFonts w:ascii="宋体" w:hAnsi="宋体" w:cs="宋体"/>
        </w:rPr>
      </w:pPr>
      <w:r>
        <w:rPr>
          <w:rFonts w:hint="eastAsia" w:ascii="宋体" w:hAnsi="宋体" w:cs="宋体"/>
        </w:rPr>
        <w:t>（2）中标人在收到中标通知书后，无正当理由拒签合同或未按招标文件规定提交履约担保。</w:t>
      </w:r>
    </w:p>
    <w:p>
      <w:pPr>
        <w:spacing w:line="360" w:lineRule="auto"/>
        <w:ind w:firstLine="315" w:firstLineChars="150"/>
        <w:rPr>
          <w:rFonts w:ascii="宋体" w:hAnsi="宋体" w:cs="宋体"/>
        </w:rPr>
      </w:pPr>
      <w:r>
        <w:rPr>
          <w:rFonts w:hint="eastAsia" w:ascii="宋体" w:hAnsi="宋体" w:cs="宋体"/>
        </w:rPr>
        <w:t>（3）投标人在投标活动中提供虚假材料、弄虚作假、围标串标、挂靠借用资质等骗取中标并经招标投标监督机构调查核实的。</w:t>
      </w:r>
    </w:p>
    <w:p>
      <w:pPr>
        <w:spacing w:line="360" w:lineRule="auto"/>
        <w:rPr>
          <w:rFonts w:ascii="宋体" w:hAnsi="宋体" w:cs="宋体"/>
          <w:b/>
          <w:sz w:val="24"/>
        </w:rPr>
      </w:pPr>
      <w:bookmarkStart w:id="239" w:name="_Toc247527577"/>
      <w:bookmarkStart w:id="240" w:name="_Toc18504"/>
      <w:bookmarkStart w:id="241" w:name="_Toc144974520"/>
      <w:bookmarkStart w:id="242" w:name="_Toc152045552"/>
      <w:bookmarkStart w:id="243" w:name="_Toc436316957"/>
      <w:bookmarkStart w:id="244" w:name="_Toc152042328"/>
      <w:bookmarkStart w:id="245" w:name="_Toc20862"/>
      <w:bookmarkStart w:id="246" w:name="_Toc436315347"/>
      <w:bookmarkStart w:id="247" w:name="_Toc247513976"/>
      <w:bookmarkStart w:id="248" w:name="_Toc435930053"/>
      <w:r>
        <w:rPr>
          <w:rFonts w:hint="eastAsia" w:ascii="宋体" w:hAnsi="宋体" w:cs="宋体"/>
          <w:b/>
          <w:sz w:val="24"/>
        </w:rPr>
        <w:t>3.5 资格审查资料</w:t>
      </w:r>
      <w:bookmarkEnd w:id="239"/>
      <w:bookmarkEnd w:id="240"/>
      <w:bookmarkEnd w:id="241"/>
      <w:bookmarkEnd w:id="242"/>
      <w:bookmarkEnd w:id="243"/>
      <w:bookmarkEnd w:id="244"/>
      <w:bookmarkEnd w:id="245"/>
      <w:bookmarkEnd w:id="246"/>
      <w:bookmarkEnd w:id="247"/>
      <w:bookmarkEnd w:id="248"/>
    </w:p>
    <w:p>
      <w:pPr>
        <w:spacing w:line="360" w:lineRule="auto"/>
        <w:ind w:firstLine="420" w:firstLineChars="200"/>
        <w:rPr>
          <w:rFonts w:ascii="宋体" w:hAnsi="宋体" w:cs="宋体"/>
        </w:rPr>
      </w:pPr>
      <w:r>
        <w:rPr>
          <w:rFonts w:hint="eastAsia" w:ascii="宋体" w:hAnsi="宋体" w:cs="宋体"/>
        </w:rPr>
        <w:t>本工程投标单位资格审查为专家后审，专家审查时以投标文件中的扫描件或复印件为准。</w:t>
      </w:r>
    </w:p>
    <w:p>
      <w:pPr>
        <w:spacing w:line="360" w:lineRule="auto"/>
        <w:ind w:firstLine="420" w:firstLineChars="200"/>
        <w:rPr>
          <w:rFonts w:ascii="宋体" w:hAnsi="宋体" w:cs="宋体"/>
        </w:rPr>
      </w:pPr>
      <w:r>
        <w:rPr>
          <w:rFonts w:hint="eastAsia" w:ascii="宋体" w:hAnsi="宋体" w:cs="宋体"/>
        </w:rPr>
        <w:t>3.5.1 “投标人基本情况表”应附投标人营业执照、资质证书副本等材料的扫描件。</w:t>
      </w:r>
    </w:p>
    <w:p>
      <w:pPr>
        <w:spacing w:line="360" w:lineRule="auto"/>
        <w:ind w:firstLine="420" w:firstLineChars="200"/>
        <w:rPr>
          <w:rFonts w:ascii="宋体" w:hAnsi="宋体" w:cs="宋体"/>
        </w:rPr>
      </w:pPr>
      <w:r>
        <w:rPr>
          <w:rFonts w:hint="eastAsia" w:ascii="宋体" w:hAnsi="宋体" w:cs="宋体"/>
        </w:rPr>
        <w:t>3.5.2 “近年财务状况表”应附经会计师事务所或审计机构审计的财务会计报表，包括资产负债表、现金流量表、利润表和财务情况说明书的复印件，具体年份要求见投标人须知前附表。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rPr>
        <w:t>3.5.3 “近年完成的类似项目情况表”应</w:t>
      </w:r>
      <w:r>
        <w:rPr>
          <w:rFonts w:hint="eastAsia" w:ascii="宋体" w:hAnsi="宋体" w:cs="宋体"/>
          <w:color w:val="000000" w:themeColor="text1"/>
          <w14:textFill>
            <w14:solidFill>
              <w14:schemeClr w14:val="tx1"/>
            </w14:solidFill>
          </w14:textFill>
        </w:rPr>
        <w:t>附</w:t>
      </w:r>
      <w:r>
        <w:rPr>
          <w:rFonts w:ascii="宋体" w:hAnsi="宋体" w:cs="宋体"/>
          <w:color w:val="000000" w:themeColor="text1"/>
          <w:shd w:val="clear" w:color="auto" w:fill="FFFFFF"/>
          <w14:textFill>
            <w14:solidFill>
              <w14:schemeClr w14:val="tx1"/>
            </w14:solidFill>
          </w14:textFill>
        </w:rPr>
        <w:t>中标通知书、</w:t>
      </w:r>
      <w:r>
        <w:rPr>
          <w:rFonts w:hint="eastAsia" w:ascii="宋体" w:hAnsi="宋体" w:cs="宋体"/>
          <w:color w:val="000000" w:themeColor="text1"/>
          <w:shd w:val="clear" w:color="auto" w:fill="FFFFFF"/>
          <w14:textFill>
            <w14:solidFill>
              <w14:schemeClr w14:val="tx1"/>
            </w14:solidFill>
          </w14:textFill>
        </w:rPr>
        <w:t>合同协议书、中标公示网页截图</w:t>
      </w:r>
      <w:r>
        <w:rPr>
          <w:rFonts w:hint="eastAsia" w:ascii="宋体" w:hAnsi="宋体"/>
          <w:color w:val="000000" w:themeColor="text1"/>
          <w14:textFill>
            <w14:solidFill>
              <w14:schemeClr w14:val="tx1"/>
            </w14:solidFill>
          </w14:textFill>
        </w:rPr>
        <w:t>的扫描件</w:t>
      </w:r>
      <w:r>
        <w:rPr>
          <w:rFonts w:hint="eastAsia" w:ascii="宋体" w:hAnsi="宋体" w:cs="宋体"/>
          <w:color w:val="000000" w:themeColor="text1"/>
          <w14:textFill>
            <w14:solidFill>
              <w14:schemeClr w14:val="tx1"/>
            </w14:solidFill>
          </w14:textFill>
        </w:rPr>
        <w:t>，具体年份要求见投标人须知前附表。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3.5.4“正在监理和新承接的项目情况表”应附</w:t>
      </w:r>
      <w:r>
        <w:rPr>
          <w:rFonts w:hint="eastAsia" w:ascii="宋体" w:hAnsi="宋体"/>
          <w:color w:val="000000" w:themeColor="text1"/>
          <w14:textFill>
            <w14:solidFill>
              <w14:schemeClr w14:val="tx1"/>
            </w14:solidFill>
          </w14:textFill>
        </w:rPr>
        <w:t>合同协议书</w:t>
      </w:r>
      <w:r>
        <w:rPr>
          <w:rFonts w:hint="eastAsia" w:ascii="宋体" w:hAnsi="宋体" w:cs="宋体"/>
          <w:color w:val="000000" w:themeColor="text1"/>
          <w14:textFill>
            <w14:solidFill>
              <w14:schemeClr w14:val="tx1"/>
            </w14:solidFill>
          </w14:textFill>
        </w:rPr>
        <w:t>。每张表格只填写一个项目，并标明序号。</w:t>
      </w:r>
    </w:p>
    <w:p>
      <w:pPr>
        <w:spacing w:line="440" w:lineRule="exact"/>
        <w:rPr>
          <w:rFonts w:ascii="宋体" w:hAnsi="宋体" w:cs="宋体"/>
        </w:rPr>
      </w:pPr>
      <w:r>
        <w:rPr>
          <w:rFonts w:hint="eastAsia" w:ascii="宋体" w:hAnsi="宋体" w:cs="宋体"/>
        </w:rPr>
        <w:t xml:space="preserve">    3.5.5“近年发生的诉讼及仲裁情况” 以单位提供的证明为准，具体年份要求见投标人须知前附表。</w:t>
      </w:r>
    </w:p>
    <w:p>
      <w:pPr>
        <w:spacing w:line="360" w:lineRule="auto"/>
        <w:ind w:firstLine="420" w:firstLineChars="200"/>
        <w:rPr>
          <w:rFonts w:ascii="宋体" w:hAnsi="宋体" w:cs="宋体"/>
        </w:rPr>
      </w:pPr>
      <w:r>
        <w:rPr>
          <w:rFonts w:hint="eastAsia" w:ascii="宋体" w:hAnsi="宋体" w:cs="宋体"/>
        </w:rPr>
        <w:t>3.5.6投标人须知前附表规定接受联合体投标的，本章第3.5.1项至第3.5.5项规定的表格和资料应包括联合体各方相关情况。</w:t>
      </w:r>
    </w:p>
    <w:p>
      <w:pPr>
        <w:spacing w:line="360" w:lineRule="auto"/>
        <w:rPr>
          <w:rFonts w:ascii="宋体" w:hAnsi="宋体" w:cs="宋体"/>
          <w:b/>
          <w:sz w:val="24"/>
        </w:rPr>
      </w:pPr>
      <w:bookmarkStart w:id="249" w:name="_Toc247513977"/>
      <w:bookmarkStart w:id="250" w:name="_Toc144974521"/>
      <w:bookmarkStart w:id="251" w:name="_Toc152042329"/>
      <w:bookmarkStart w:id="252" w:name="_Toc152045553"/>
      <w:bookmarkStart w:id="253" w:name="_Toc247527578"/>
      <w:bookmarkStart w:id="254" w:name="_Toc4254"/>
      <w:bookmarkStart w:id="255" w:name="_Toc13170"/>
      <w:bookmarkStart w:id="256" w:name="_Toc436315348"/>
      <w:bookmarkStart w:id="257" w:name="_Toc436316958"/>
      <w:bookmarkStart w:id="258" w:name="_Toc435930054"/>
      <w:r>
        <w:rPr>
          <w:rFonts w:hint="eastAsia" w:ascii="宋体" w:hAnsi="宋体" w:cs="宋体"/>
          <w:b/>
          <w:sz w:val="24"/>
        </w:rPr>
        <w:t>3.6 备选投标方案</w:t>
      </w:r>
      <w:bookmarkEnd w:id="249"/>
      <w:bookmarkEnd w:id="250"/>
      <w:bookmarkEnd w:id="251"/>
      <w:bookmarkEnd w:id="252"/>
      <w:bookmarkEnd w:id="253"/>
      <w:r>
        <w:rPr>
          <w:rFonts w:hint="eastAsia" w:ascii="宋体" w:hAnsi="宋体" w:cs="宋体"/>
          <w:b/>
          <w:sz w:val="24"/>
        </w:rPr>
        <w:t>（不适用于本项目）</w:t>
      </w:r>
      <w:bookmarkEnd w:id="254"/>
      <w:bookmarkEnd w:id="255"/>
      <w:bookmarkEnd w:id="256"/>
      <w:bookmarkEnd w:id="257"/>
      <w:bookmarkEnd w:id="258"/>
    </w:p>
    <w:p>
      <w:pPr>
        <w:spacing w:line="360" w:lineRule="auto"/>
        <w:ind w:firstLine="420" w:firstLineChars="200"/>
        <w:rPr>
          <w:rFonts w:ascii="宋体" w:hAns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rPr>
          <w:rFonts w:ascii="宋体" w:hAnsi="宋体" w:cs="宋体"/>
          <w:b/>
          <w:sz w:val="24"/>
        </w:rPr>
      </w:pPr>
      <w:bookmarkStart w:id="259" w:name="_Toc247527579"/>
      <w:bookmarkStart w:id="260" w:name="_Toc152045554"/>
      <w:bookmarkStart w:id="261" w:name="_Toc144974522"/>
      <w:bookmarkStart w:id="262" w:name="_Toc436315349"/>
      <w:bookmarkStart w:id="263" w:name="_Toc152042330"/>
      <w:bookmarkStart w:id="264" w:name="_Toc435930055"/>
      <w:bookmarkStart w:id="265" w:name="_Toc247513978"/>
      <w:bookmarkStart w:id="266" w:name="_Toc30904"/>
      <w:bookmarkStart w:id="267" w:name="_Toc3512"/>
      <w:bookmarkStart w:id="268" w:name="_Toc436316959"/>
      <w:r>
        <w:rPr>
          <w:rFonts w:hint="eastAsia" w:ascii="宋体" w:hAnsi="宋体" w:cs="宋体"/>
          <w:b/>
          <w:sz w:val="24"/>
        </w:rPr>
        <w:t>3.7 投标文件的编制</w:t>
      </w:r>
      <w:bookmarkEnd w:id="259"/>
      <w:bookmarkEnd w:id="260"/>
      <w:bookmarkEnd w:id="261"/>
      <w:bookmarkEnd w:id="262"/>
      <w:bookmarkEnd w:id="263"/>
      <w:bookmarkEnd w:id="264"/>
      <w:bookmarkEnd w:id="265"/>
      <w:bookmarkEnd w:id="266"/>
      <w:bookmarkEnd w:id="267"/>
      <w:bookmarkEnd w:id="268"/>
    </w:p>
    <w:p>
      <w:pPr>
        <w:spacing w:line="360" w:lineRule="auto"/>
        <w:ind w:firstLine="420" w:firstLineChars="200"/>
        <w:rPr>
          <w:rFonts w:ascii="宋体" w:hAnsi="宋体" w:cs="宋体"/>
        </w:rPr>
      </w:pPr>
      <w:bookmarkStart w:id="269" w:name="_Toc247513979"/>
      <w:bookmarkStart w:id="270" w:name="_Toc152042331"/>
      <w:bookmarkStart w:id="271" w:name="_Toc247527580"/>
      <w:bookmarkStart w:id="272" w:name="_Toc144974523"/>
      <w:bookmarkStart w:id="273" w:name="_Toc152045555"/>
      <w:r>
        <w:rPr>
          <w:rFonts w:hint="eastAsia" w:ascii="宋体" w:hAnsi="宋体" w:cs="宋体"/>
        </w:rPr>
        <w:t>3.7.1 投标文件应按第六章“投标文件格式”使用焦作市公共资源交易系统投标文件制作专用工具软件编制。其中，投标函附录在满足招标文件实质性要求的基础上，可以提出比招标文件要求更有利于招标人的承诺。</w:t>
      </w:r>
    </w:p>
    <w:p>
      <w:pPr>
        <w:spacing w:line="360" w:lineRule="auto"/>
        <w:ind w:firstLine="420" w:firstLineChars="200"/>
        <w:rPr>
          <w:rFonts w:ascii="宋体" w:hAnsi="宋体" w:cs="宋体"/>
        </w:rPr>
      </w:pPr>
      <w:r>
        <w:rPr>
          <w:rFonts w:hint="eastAsia" w:ascii="宋体" w:hAnsi="宋体" w:cs="宋体"/>
        </w:rPr>
        <w:t>3.7.2 投标文件应当对招标文件有关监理工作范围、投标有效期、工期控制目标、质量控制目标、安全控制目标等实质性内容作出响应。</w:t>
      </w:r>
    </w:p>
    <w:p>
      <w:pPr>
        <w:spacing w:line="360" w:lineRule="auto"/>
        <w:ind w:firstLine="420" w:firstLineChars="200"/>
        <w:rPr>
          <w:rFonts w:ascii="宋体" w:hAnsi="宋体" w:cs="宋体"/>
        </w:rPr>
      </w:pPr>
      <w:r>
        <w:rPr>
          <w:rFonts w:hint="eastAsia" w:ascii="宋体" w:hAnsi="宋体" w:cs="宋体"/>
        </w:rPr>
        <w:t>3.7.3 以电子投标文件上传件为准，签字或盖章的具体要求见投标人须知前附表。</w:t>
      </w:r>
    </w:p>
    <w:p>
      <w:pPr>
        <w:spacing w:line="360" w:lineRule="auto"/>
        <w:ind w:firstLine="420" w:firstLineChars="200"/>
        <w:rPr>
          <w:rFonts w:ascii="宋体" w:hAnsi="宋体" w:cs="宋体"/>
        </w:rPr>
      </w:pPr>
      <w:r>
        <w:rPr>
          <w:rFonts w:hint="eastAsia" w:ascii="宋体" w:hAnsi="宋体" w:cs="宋体"/>
        </w:rPr>
        <w:t>3.7.4 加密的电子投标文件壹份（*.jztf 格式在会员系统指定位置上传）；自备非加密的电子投标文件壹份，如有紧急情况，在不见面开标按要求上传。</w:t>
      </w:r>
    </w:p>
    <w:p>
      <w:pPr>
        <w:pStyle w:val="3"/>
        <w:keepNext w:val="0"/>
        <w:keepLines w:val="0"/>
        <w:spacing w:line="360" w:lineRule="auto"/>
        <w:rPr>
          <w:rFonts w:ascii="宋体" w:hAnsi="宋体" w:eastAsia="宋体" w:cs="宋体"/>
        </w:rPr>
      </w:pPr>
      <w:bookmarkStart w:id="274" w:name="_Toc737"/>
      <w:bookmarkStart w:id="275" w:name="_Toc15934"/>
      <w:bookmarkStart w:id="276" w:name="_Toc10628"/>
      <w:bookmarkStart w:id="277" w:name="_Toc19114"/>
      <w:bookmarkStart w:id="278" w:name="_Toc11080"/>
      <w:r>
        <w:rPr>
          <w:rFonts w:hint="eastAsia" w:ascii="宋体" w:hAnsi="宋体" w:eastAsia="宋体" w:cs="宋体"/>
        </w:rPr>
        <w:t>4. 投标</w:t>
      </w:r>
      <w:bookmarkEnd w:id="269"/>
      <w:bookmarkEnd w:id="270"/>
      <w:bookmarkEnd w:id="271"/>
      <w:bookmarkEnd w:id="272"/>
      <w:bookmarkEnd w:id="273"/>
      <w:bookmarkEnd w:id="274"/>
      <w:bookmarkEnd w:id="275"/>
      <w:bookmarkEnd w:id="276"/>
      <w:bookmarkEnd w:id="277"/>
      <w:bookmarkEnd w:id="278"/>
    </w:p>
    <w:p>
      <w:pPr>
        <w:spacing w:line="360" w:lineRule="auto"/>
        <w:rPr>
          <w:rFonts w:ascii="宋体" w:hAnsi="宋体" w:cs="宋体"/>
          <w:b/>
          <w:sz w:val="24"/>
        </w:rPr>
      </w:pPr>
      <w:bookmarkStart w:id="279" w:name="_Toc5221"/>
      <w:bookmarkStart w:id="280" w:name="_Toc247527581"/>
      <w:bookmarkStart w:id="281" w:name="_Toc436315351"/>
      <w:bookmarkStart w:id="282" w:name="_Toc152042332"/>
      <w:bookmarkStart w:id="283" w:name="_Toc152045556"/>
      <w:bookmarkStart w:id="284" w:name="_Toc436316961"/>
      <w:bookmarkStart w:id="285" w:name="_Toc247513980"/>
      <w:bookmarkStart w:id="286" w:name="_Toc435930057"/>
      <w:bookmarkStart w:id="287" w:name="_Toc144974524"/>
      <w:bookmarkStart w:id="288" w:name="_Toc18393"/>
      <w:r>
        <w:rPr>
          <w:rFonts w:hint="eastAsia" w:ascii="宋体" w:hAnsi="宋体" w:cs="宋体"/>
          <w:b/>
          <w:sz w:val="24"/>
        </w:rPr>
        <w:t>4.1 投标文件的密封和标记</w:t>
      </w:r>
      <w:bookmarkEnd w:id="279"/>
      <w:bookmarkEnd w:id="280"/>
      <w:bookmarkEnd w:id="281"/>
      <w:bookmarkEnd w:id="282"/>
      <w:bookmarkEnd w:id="283"/>
      <w:bookmarkEnd w:id="284"/>
      <w:bookmarkEnd w:id="285"/>
      <w:bookmarkEnd w:id="286"/>
      <w:bookmarkEnd w:id="287"/>
      <w:bookmarkEnd w:id="288"/>
    </w:p>
    <w:p>
      <w:pPr>
        <w:spacing w:line="360" w:lineRule="auto"/>
        <w:ind w:firstLine="420" w:firstLineChars="200"/>
        <w:rPr>
          <w:rFonts w:ascii="宋体" w:hAnsi="宋体" w:cs="宋体"/>
        </w:rPr>
      </w:pPr>
      <w:bookmarkStart w:id="289" w:name="4.1.1_网上上传的电子投标文件应使用数字证书认证并加密。"/>
      <w:bookmarkEnd w:id="289"/>
      <w:bookmarkStart w:id="290" w:name="_Toc436315352"/>
      <w:bookmarkStart w:id="291" w:name="_Toc602"/>
      <w:bookmarkStart w:id="292" w:name="_Toc247513981"/>
      <w:bookmarkStart w:id="293" w:name="_Toc436316962"/>
      <w:bookmarkStart w:id="294" w:name="_Toc152045557"/>
      <w:bookmarkStart w:id="295" w:name="_Toc8142"/>
      <w:bookmarkStart w:id="296" w:name="_Toc247527582"/>
      <w:bookmarkStart w:id="297" w:name="_Toc144974525"/>
      <w:bookmarkStart w:id="298" w:name="_Toc152042333"/>
      <w:bookmarkStart w:id="299" w:name="_Toc435930058"/>
      <w:r>
        <w:rPr>
          <w:rFonts w:hint="eastAsia" w:ascii="宋体" w:hAnsi="宋体" w:cs="宋体"/>
        </w:rPr>
        <w:t>4.1.1网上上传的电子投标文件应使用数字证书认证并加密。</w:t>
      </w:r>
    </w:p>
    <w:p>
      <w:pPr>
        <w:spacing w:line="360" w:lineRule="auto"/>
        <w:rPr>
          <w:rFonts w:ascii="宋体" w:hAnsi="宋体" w:cs="宋体"/>
          <w:b/>
          <w:sz w:val="24"/>
        </w:rPr>
      </w:pPr>
      <w:r>
        <w:rPr>
          <w:rFonts w:hint="eastAsia" w:ascii="宋体" w:hAnsi="宋体" w:cs="宋体"/>
          <w:b/>
          <w:sz w:val="24"/>
        </w:rPr>
        <w:t>4.2投标文件的递交</w:t>
      </w:r>
    </w:p>
    <w:p>
      <w:pPr>
        <w:spacing w:line="360" w:lineRule="auto"/>
        <w:ind w:firstLine="420" w:firstLineChars="200"/>
        <w:rPr>
          <w:rFonts w:ascii="宋体" w:hAnsi="宋体" w:cs="宋体"/>
        </w:rPr>
      </w:pPr>
      <w:r>
        <w:rPr>
          <w:rFonts w:hint="eastAsia" w:ascii="宋体" w:hAnsi="宋体" w:cs="宋体"/>
        </w:rPr>
        <w:t>4.2.1 投标人应在投标人须知前附表规定的投标截止时间前递交投标文件。</w:t>
      </w:r>
    </w:p>
    <w:p>
      <w:pPr>
        <w:spacing w:line="360" w:lineRule="auto"/>
        <w:ind w:firstLine="420" w:firstLineChars="200"/>
        <w:rPr>
          <w:rFonts w:ascii="宋体" w:hAnsi="宋体" w:cs="宋体"/>
        </w:rPr>
      </w:pPr>
      <w:r>
        <w:rPr>
          <w:rFonts w:hint="eastAsia" w:ascii="宋体" w:hAnsi="宋体" w:cs="宋体"/>
        </w:rPr>
        <w:t>4.2.2上传的电子版投标人通过下载招标文件的电子招标投标交易平台递交电子投标文件。</w:t>
      </w:r>
    </w:p>
    <w:p>
      <w:pPr>
        <w:spacing w:line="360" w:lineRule="auto"/>
        <w:ind w:firstLine="420" w:firstLineChars="200"/>
        <w:rPr>
          <w:rFonts w:ascii="宋体" w:hAnsi="宋体" w:cs="宋体"/>
        </w:rPr>
      </w:pPr>
      <w:r>
        <w:rPr>
          <w:rFonts w:hint="eastAsia" w:ascii="宋体" w:hAnsi="宋体" w:cs="宋体"/>
        </w:rPr>
        <w:t>4.2.3投标人完成电子投标文件上传后，电子招标投标交易平台即时向投标人发出递交回执通知。递交时间以递交回执通知载明的传输完成时间为准。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ascii="宋体" w:hAnsi="宋体" w:cs="宋体"/>
        </w:rPr>
      </w:pPr>
      <w:r>
        <w:rPr>
          <w:rFonts w:hint="eastAsia" w:ascii="宋体" w:hAnsi="宋体" w:cs="宋体"/>
        </w:rPr>
        <w:t>4.2.4逾期送达的投标文件，电子招标投标交易平台将予以拒收。</w:t>
      </w:r>
    </w:p>
    <w:bookmarkEnd w:id="290"/>
    <w:bookmarkEnd w:id="291"/>
    <w:bookmarkEnd w:id="292"/>
    <w:bookmarkEnd w:id="293"/>
    <w:bookmarkEnd w:id="294"/>
    <w:bookmarkEnd w:id="295"/>
    <w:bookmarkEnd w:id="296"/>
    <w:bookmarkEnd w:id="297"/>
    <w:bookmarkEnd w:id="298"/>
    <w:bookmarkEnd w:id="299"/>
    <w:p>
      <w:pPr>
        <w:spacing w:line="360" w:lineRule="auto"/>
        <w:rPr>
          <w:rFonts w:ascii="宋体" w:hAnsi="宋体" w:cs="宋体"/>
          <w:b/>
          <w:sz w:val="24"/>
        </w:rPr>
      </w:pPr>
      <w:bookmarkStart w:id="300" w:name="_Toc23385"/>
      <w:bookmarkStart w:id="301" w:name="_Toc17621"/>
      <w:bookmarkStart w:id="302" w:name="_Toc435930059"/>
      <w:bookmarkStart w:id="303" w:name="_Toc247527583"/>
      <w:bookmarkStart w:id="304" w:name="_Toc152045558"/>
      <w:bookmarkStart w:id="305" w:name="_Toc436316963"/>
      <w:bookmarkStart w:id="306" w:name="_Toc144974526"/>
      <w:bookmarkStart w:id="307" w:name="_Toc247513982"/>
      <w:bookmarkStart w:id="308" w:name="_Toc436315353"/>
      <w:bookmarkStart w:id="309" w:name="_Toc152042334"/>
      <w:r>
        <w:rPr>
          <w:rFonts w:hint="eastAsia" w:ascii="宋体" w:hAnsi="宋体" w:cs="宋体"/>
          <w:b/>
          <w:sz w:val="24"/>
        </w:rPr>
        <w:t>4.3投标文件的修改与撤回</w:t>
      </w:r>
      <w:bookmarkEnd w:id="300"/>
      <w:bookmarkEnd w:id="301"/>
      <w:bookmarkEnd w:id="302"/>
      <w:bookmarkEnd w:id="303"/>
      <w:bookmarkEnd w:id="304"/>
      <w:bookmarkEnd w:id="305"/>
      <w:bookmarkEnd w:id="306"/>
      <w:bookmarkEnd w:id="307"/>
      <w:bookmarkEnd w:id="308"/>
      <w:bookmarkEnd w:id="309"/>
    </w:p>
    <w:p>
      <w:pPr>
        <w:spacing w:line="360" w:lineRule="auto"/>
        <w:ind w:firstLine="420" w:firstLineChars="200"/>
        <w:rPr>
          <w:rFonts w:ascii="宋体" w:hAnsi="宋体" w:cs="宋体"/>
        </w:rPr>
      </w:pPr>
      <w:r>
        <w:rPr>
          <w:rFonts w:hint="eastAsia" w:ascii="宋体" w:hAnsi="宋体" w:cs="宋体"/>
        </w:rPr>
        <w:t>4.3.1</w:t>
      </w:r>
      <w:r>
        <w:rPr>
          <w:rFonts w:hint="eastAsia" w:ascii="宋体" w:hAnsi="宋体" w:cs="宋体"/>
          <w:color w:val="000000" w:themeColor="text1"/>
          <w14:textFill>
            <w14:solidFill>
              <w14:schemeClr w14:val="tx1"/>
            </w14:solidFill>
          </w14:textFill>
        </w:rPr>
        <w:t xml:space="preserve"> 在投标人须知前附表第2.2.2</w:t>
      </w:r>
      <w:r>
        <w:rPr>
          <w:rFonts w:hint="eastAsia" w:ascii="宋体" w:hAnsi="宋体" w:cs="宋体"/>
        </w:rPr>
        <w:t>项规定的投标截止时间前，投标人可以修改或撤回已递交的投标文件，</w:t>
      </w:r>
      <w:r>
        <w:rPr>
          <w:rFonts w:hint="eastAsia" w:ascii="宋体" w:hAnsi="宋体" w:cs="宋体"/>
          <w:spacing w:val="-3"/>
        </w:rPr>
        <w:t>最终投标文件以投标截至时间前完成上传至焦作市公共资源交易系统最后一份投标文件为准。</w:t>
      </w:r>
    </w:p>
    <w:p>
      <w:pPr>
        <w:spacing w:line="360" w:lineRule="auto"/>
        <w:ind w:firstLine="420" w:firstLineChars="200"/>
        <w:rPr>
          <w:rFonts w:ascii="宋体" w:hAnsi="宋体" w:cs="宋体"/>
        </w:rPr>
      </w:pPr>
      <w:r>
        <w:rPr>
          <w:rFonts w:hint="eastAsia" w:ascii="宋体" w:hAnsi="宋体" w:cs="宋体"/>
        </w:rPr>
        <w:t xml:space="preserve">4.3.2 </w:t>
      </w:r>
      <w:r>
        <w:rPr>
          <w:rFonts w:hint="eastAsia" w:ascii="宋体" w:hAnsi="宋体" w:cs="宋体"/>
          <w:spacing w:val="-7"/>
        </w:rPr>
        <w:t xml:space="preserve">修改的投标文件应按照本章第 </w:t>
      </w:r>
      <w:r>
        <w:rPr>
          <w:rFonts w:hint="eastAsia" w:ascii="宋体" w:hAnsi="宋体" w:cs="宋体"/>
        </w:rPr>
        <w:t>3</w:t>
      </w:r>
      <w:r>
        <w:rPr>
          <w:rFonts w:hint="eastAsia" w:ascii="宋体" w:hAnsi="宋体" w:cs="宋体"/>
          <w:spacing w:val="-23"/>
        </w:rPr>
        <w:t xml:space="preserve"> 条、第 </w:t>
      </w:r>
      <w:r>
        <w:rPr>
          <w:rFonts w:hint="eastAsia" w:ascii="宋体" w:hAnsi="宋体" w:cs="宋体"/>
        </w:rPr>
        <w:t>4</w:t>
      </w:r>
      <w:r>
        <w:rPr>
          <w:rFonts w:hint="eastAsia" w:ascii="宋体" w:hAnsi="宋体" w:cs="宋体"/>
          <w:spacing w:val="-9"/>
        </w:rPr>
        <w:t xml:space="preserve"> 条规定进行编制和递交。</w:t>
      </w:r>
    </w:p>
    <w:p>
      <w:pPr>
        <w:pStyle w:val="3"/>
        <w:spacing w:line="360" w:lineRule="auto"/>
        <w:rPr>
          <w:rFonts w:ascii="宋体" w:hAnsi="宋体" w:eastAsia="宋体" w:cs="宋体"/>
        </w:rPr>
      </w:pPr>
      <w:bookmarkStart w:id="310" w:name="_Toc29715"/>
      <w:bookmarkStart w:id="311" w:name="_Toc247527584"/>
      <w:bookmarkStart w:id="312" w:name="_Toc144974527"/>
      <w:bookmarkStart w:id="313" w:name="_Toc152045559"/>
      <w:bookmarkStart w:id="314" w:name="_Toc31720"/>
      <w:bookmarkStart w:id="315" w:name="_Toc9882"/>
      <w:bookmarkStart w:id="316" w:name="_Toc247513983"/>
      <w:bookmarkStart w:id="317" w:name="_Toc1421"/>
      <w:bookmarkStart w:id="318" w:name="_Toc152042335"/>
      <w:bookmarkStart w:id="319" w:name="_Toc29725"/>
      <w:r>
        <w:rPr>
          <w:rFonts w:hint="eastAsia" w:ascii="宋体" w:hAnsi="宋体" w:eastAsia="宋体" w:cs="宋体"/>
        </w:rPr>
        <w:t>5. 开标</w:t>
      </w:r>
      <w:bookmarkEnd w:id="310"/>
      <w:bookmarkEnd w:id="311"/>
      <w:bookmarkEnd w:id="312"/>
      <w:bookmarkEnd w:id="313"/>
      <w:bookmarkEnd w:id="314"/>
      <w:bookmarkEnd w:id="315"/>
      <w:bookmarkEnd w:id="316"/>
      <w:bookmarkEnd w:id="317"/>
      <w:bookmarkEnd w:id="318"/>
      <w:bookmarkEnd w:id="319"/>
    </w:p>
    <w:p>
      <w:pPr>
        <w:spacing w:line="360" w:lineRule="auto"/>
        <w:rPr>
          <w:rFonts w:ascii="宋体" w:hAnsi="宋体" w:cs="宋体"/>
          <w:b/>
          <w:sz w:val="24"/>
        </w:rPr>
      </w:pPr>
      <w:bookmarkStart w:id="320" w:name="_Toc17465"/>
      <w:bookmarkStart w:id="321" w:name="_Toc355"/>
      <w:bookmarkStart w:id="322" w:name="_Toc152045560"/>
      <w:bookmarkStart w:id="323" w:name="_Toc436316965"/>
      <w:bookmarkStart w:id="324" w:name="_Toc436315355"/>
      <w:bookmarkStart w:id="325" w:name="_Toc435930061"/>
      <w:bookmarkStart w:id="326" w:name="_Toc152042336"/>
      <w:bookmarkStart w:id="327" w:name="_Toc247527585"/>
      <w:bookmarkStart w:id="328" w:name="_Toc247513984"/>
      <w:bookmarkStart w:id="329" w:name="_Toc144974528"/>
      <w:r>
        <w:rPr>
          <w:rFonts w:hint="eastAsia" w:ascii="宋体" w:hAnsi="宋体" w:cs="宋体"/>
          <w:b/>
          <w:sz w:val="24"/>
        </w:rPr>
        <w:t>5.1 开标时间和地点</w:t>
      </w:r>
      <w:bookmarkEnd w:id="320"/>
      <w:bookmarkEnd w:id="321"/>
      <w:bookmarkEnd w:id="322"/>
      <w:bookmarkEnd w:id="323"/>
      <w:bookmarkEnd w:id="324"/>
      <w:bookmarkEnd w:id="325"/>
      <w:bookmarkEnd w:id="326"/>
      <w:bookmarkEnd w:id="327"/>
      <w:bookmarkEnd w:id="328"/>
      <w:bookmarkEnd w:id="329"/>
    </w:p>
    <w:p>
      <w:pPr>
        <w:spacing w:line="400" w:lineRule="exact"/>
        <w:ind w:firstLine="420" w:firstLineChars="200"/>
        <w:rPr>
          <w:rFonts w:ascii="宋体" w:hAnsi="宋体" w:cs="宋体"/>
        </w:rPr>
      </w:pPr>
      <w:r>
        <w:rPr>
          <w:rFonts w:hint="eastAsia" w:ascii="宋体" w:hAnsi="宋体" w:cs="宋体"/>
        </w:rPr>
        <w:t>5.1.1 招标人在投标人须知前附表第 2.2.2 项规定的投标截止时间（开标时间）和投标人须知前附表规定的地点进行公开开标。</w:t>
      </w:r>
    </w:p>
    <w:p>
      <w:pPr>
        <w:spacing w:line="400" w:lineRule="exact"/>
        <w:ind w:firstLine="420" w:firstLineChars="200"/>
        <w:rPr>
          <w:rFonts w:ascii="宋体" w:hAnsi="宋体" w:cs="宋体"/>
        </w:rPr>
      </w:pPr>
      <w:r>
        <w:rPr>
          <w:rFonts w:hint="eastAsia" w:ascii="宋体" w:hAnsi="宋体" w:cs="宋体"/>
        </w:rPr>
        <w:t>5.1.2 投标人须在投标人须知前附表规定的时间内完成解密。由投标人的自身原因，在规定时间内解密不成功的，作为无效标处理。</w:t>
      </w:r>
    </w:p>
    <w:p>
      <w:pPr>
        <w:pStyle w:val="44"/>
        <w:rPr>
          <w:rFonts w:hAnsi="宋体" w:cs="宋体"/>
          <w:color w:val="auto"/>
        </w:rPr>
      </w:pPr>
    </w:p>
    <w:p>
      <w:pPr>
        <w:spacing w:line="360" w:lineRule="auto"/>
        <w:rPr>
          <w:rFonts w:ascii="宋体" w:hAnsi="宋体" w:cs="宋体"/>
          <w:b/>
          <w:sz w:val="24"/>
        </w:rPr>
      </w:pPr>
      <w:bookmarkStart w:id="330" w:name="_Toc28411"/>
      <w:bookmarkStart w:id="331" w:name="_Toc247527586"/>
      <w:bookmarkStart w:id="332" w:name="_Toc144974529"/>
      <w:bookmarkStart w:id="333" w:name="_Toc436316966"/>
      <w:bookmarkStart w:id="334" w:name="_Toc436315356"/>
      <w:bookmarkStart w:id="335" w:name="_Toc152042337"/>
      <w:bookmarkStart w:id="336" w:name="_Toc28237"/>
      <w:bookmarkStart w:id="337" w:name="_Toc435930062"/>
      <w:bookmarkStart w:id="338" w:name="_Toc152045561"/>
      <w:bookmarkStart w:id="339" w:name="_Toc247513985"/>
      <w:r>
        <w:rPr>
          <w:rFonts w:hint="eastAsia" w:ascii="宋体" w:hAnsi="宋体" w:cs="宋体"/>
          <w:b/>
          <w:sz w:val="24"/>
        </w:rPr>
        <w:t>5.2 开标程序</w:t>
      </w:r>
      <w:bookmarkEnd w:id="330"/>
      <w:bookmarkEnd w:id="331"/>
      <w:bookmarkEnd w:id="332"/>
      <w:bookmarkEnd w:id="333"/>
      <w:bookmarkEnd w:id="334"/>
      <w:bookmarkEnd w:id="335"/>
      <w:bookmarkEnd w:id="336"/>
      <w:bookmarkEnd w:id="337"/>
      <w:bookmarkEnd w:id="338"/>
      <w:bookmarkEnd w:id="339"/>
    </w:p>
    <w:p>
      <w:pPr>
        <w:spacing w:line="400" w:lineRule="exact"/>
        <w:ind w:firstLine="420" w:firstLineChars="200"/>
        <w:rPr>
          <w:rFonts w:ascii="宋体" w:hAnsi="宋体" w:cs="宋体"/>
        </w:rPr>
      </w:pPr>
      <w:bookmarkStart w:id="340" w:name="_Toc436315357"/>
      <w:bookmarkStart w:id="341" w:name="_Toc435930063"/>
      <w:bookmarkStart w:id="342" w:name="_Toc22282"/>
      <w:bookmarkStart w:id="343" w:name="_Toc16020"/>
      <w:bookmarkStart w:id="344" w:name="_Toc436316967"/>
      <w:r>
        <w:rPr>
          <w:rFonts w:hint="eastAsia" w:ascii="宋体" w:hAnsi="宋体" w:cs="宋体"/>
        </w:rPr>
        <w:t>5.2.1本项目采用电子开标。到投标截止时间止，各投标人对电子投标文件进行解密。解密完成后各投标人的电子投标文件的实质性内容将自动显示在网页中。投标人在投标截止时间前未上传电子投标文件的将视为放弃投标。</w:t>
      </w:r>
    </w:p>
    <w:p>
      <w:pPr>
        <w:spacing w:line="400" w:lineRule="exact"/>
        <w:ind w:firstLine="420" w:firstLineChars="200"/>
        <w:rPr>
          <w:rFonts w:ascii="宋体" w:hAnsi="宋体" w:cs="宋体"/>
        </w:rPr>
      </w:pPr>
      <w:r>
        <w:rPr>
          <w:rFonts w:hint="eastAsia" w:ascii="宋体" w:hAnsi="宋体" w:cs="宋体"/>
        </w:rPr>
        <w:t>主持人按下列程序进行开标：</w:t>
      </w:r>
    </w:p>
    <w:p>
      <w:pPr>
        <w:spacing w:line="400" w:lineRule="exact"/>
        <w:ind w:firstLine="420" w:firstLineChars="200"/>
        <w:rPr>
          <w:rFonts w:ascii="宋体" w:hAnsi="宋体" w:cs="宋体"/>
        </w:rPr>
      </w:pPr>
      <w:r>
        <w:rPr>
          <w:rFonts w:hint="eastAsia" w:ascii="宋体" w:hAnsi="宋体" w:cs="宋体"/>
        </w:rPr>
        <w:t>（1）电子投标文件解密；</w:t>
      </w:r>
    </w:p>
    <w:p>
      <w:pPr>
        <w:spacing w:line="400" w:lineRule="exact"/>
        <w:ind w:firstLine="420" w:firstLineChars="200"/>
        <w:rPr>
          <w:rFonts w:ascii="宋体" w:hAnsi="宋体" w:cs="宋体"/>
        </w:rPr>
      </w:pPr>
      <w:r>
        <w:rPr>
          <w:rFonts w:hint="eastAsia" w:ascii="宋体" w:hAnsi="宋体" w:cs="宋体"/>
        </w:rPr>
        <w:t>（2）开标并显示开标记录；</w:t>
      </w:r>
    </w:p>
    <w:p>
      <w:pPr>
        <w:spacing w:line="400" w:lineRule="exact"/>
        <w:ind w:firstLine="420" w:firstLineChars="200"/>
        <w:rPr>
          <w:rFonts w:ascii="宋体" w:hAnsi="宋体" w:cs="宋体"/>
        </w:rPr>
      </w:pPr>
      <w:r>
        <w:rPr>
          <w:rFonts w:hint="eastAsia" w:ascii="宋体" w:hAnsi="宋体" w:cs="宋体"/>
        </w:rPr>
        <w:t>（3）开标结束。</w:t>
      </w:r>
    </w:p>
    <w:p>
      <w:pPr>
        <w:spacing w:line="400" w:lineRule="exact"/>
        <w:ind w:firstLine="420" w:firstLineChars="200"/>
        <w:rPr>
          <w:rFonts w:ascii="宋体" w:hAnsi="宋体" w:cs="宋体"/>
        </w:rPr>
      </w:pPr>
      <w:r>
        <w:rPr>
          <w:rFonts w:hint="eastAsia" w:ascii="宋体" w:hAnsi="宋体" w:cs="宋体"/>
        </w:rPr>
        <w:t>5.2.2 开标时出现下列情况的，招标人将拒绝其开标。</w:t>
      </w:r>
    </w:p>
    <w:p>
      <w:pPr>
        <w:spacing w:line="400" w:lineRule="exact"/>
        <w:ind w:firstLine="420" w:firstLineChars="200"/>
        <w:rPr>
          <w:rFonts w:ascii="宋体" w:hAnsi="宋体" w:cs="宋体"/>
        </w:rPr>
      </w:pPr>
      <w:r>
        <w:rPr>
          <w:rFonts w:hint="eastAsia" w:ascii="宋体" w:hAnsi="宋体" w:cs="宋体"/>
        </w:rPr>
        <w:t>投标人未按投标人须知表5.1项规定的时间内解密投标文件的.</w:t>
      </w:r>
    </w:p>
    <w:bookmarkEnd w:id="340"/>
    <w:bookmarkEnd w:id="341"/>
    <w:bookmarkEnd w:id="342"/>
    <w:bookmarkEnd w:id="343"/>
    <w:bookmarkEnd w:id="344"/>
    <w:p>
      <w:pPr>
        <w:pStyle w:val="3"/>
        <w:spacing w:line="360" w:lineRule="auto"/>
        <w:rPr>
          <w:rFonts w:ascii="宋体" w:hAnsi="宋体" w:eastAsia="宋体" w:cs="宋体"/>
        </w:rPr>
      </w:pPr>
      <w:bookmarkStart w:id="345" w:name="_Toc19454"/>
      <w:bookmarkStart w:id="346" w:name="_Toc21617"/>
      <w:bookmarkStart w:id="347" w:name="_Toc247527587"/>
      <w:bookmarkStart w:id="348" w:name="_Toc22900"/>
      <w:bookmarkStart w:id="349" w:name="_Toc247513986"/>
      <w:bookmarkStart w:id="350" w:name="_Toc2231"/>
      <w:bookmarkStart w:id="351" w:name="_Toc152045562"/>
      <w:bookmarkStart w:id="352" w:name="_Toc8425"/>
      <w:bookmarkStart w:id="353" w:name="_Toc152042338"/>
      <w:bookmarkStart w:id="354" w:name="_Toc144974530"/>
      <w:r>
        <w:rPr>
          <w:rFonts w:hint="eastAsia" w:ascii="宋体" w:hAnsi="宋体" w:eastAsia="宋体" w:cs="宋体"/>
        </w:rPr>
        <w:t>6. 评标</w:t>
      </w:r>
      <w:bookmarkEnd w:id="345"/>
      <w:bookmarkEnd w:id="346"/>
      <w:bookmarkEnd w:id="347"/>
      <w:bookmarkEnd w:id="348"/>
      <w:bookmarkEnd w:id="349"/>
      <w:bookmarkEnd w:id="350"/>
      <w:bookmarkEnd w:id="351"/>
      <w:bookmarkEnd w:id="352"/>
      <w:bookmarkEnd w:id="353"/>
      <w:bookmarkEnd w:id="354"/>
    </w:p>
    <w:p>
      <w:pPr>
        <w:spacing w:line="360" w:lineRule="auto"/>
        <w:rPr>
          <w:rFonts w:ascii="宋体" w:hAnsi="宋体" w:cs="宋体"/>
          <w:b/>
          <w:sz w:val="24"/>
        </w:rPr>
      </w:pPr>
      <w:bookmarkStart w:id="355" w:name="_Toc19506"/>
      <w:bookmarkStart w:id="356" w:name="_Toc152042339"/>
      <w:bookmarkStart w:id="357" w:name="_Toc436316969"/>
      <w:bookmarkStart w:id="358" w:name="_Toc435930065"/>
      <w:bookmarkStart w:id="359" w:name="_Toc9937"/>
      <w:bookmarkStart w:id="360" w:name="_Toc247527588"/>
      <w:bookmarkStart w:id="361" w:name="_Toc247513987"/>
      <w:bookmarkStart w:id="362" w:name="_Toc152045563"/>
      <w:bookmarkStart w:id="363" w:name="_Toc144974531"/>
      <w:bookmarkStart w:id="364" w:name="_Toc436315359"/>
      <w:r>
        <w:rPr>
          <w:rFonts w:hint="eastAsia" w:ascii="宋体" w:hAnsi="宋体" w:cs="宋体"/>
          <w:b/>
          <w:sz w:val="24"/>
        </w:rPr>
        <w:t>6.1 评标委员会</w:t>
      </w:r>
      <w:bookmarkEnd w:id="355"/>
      <w:bookmarkEnd w:id="356"/>
      <w:bookmarkEnd w:id="357"/>
      <w:bookmarkEnd w:id="358"/>
      <w:bookmarkEnd w:id="359"/>
      <w:bookmarkEnd w:id="360"/>
      <w:bookmarkEnd w:id="361"/>
      <w:bookmarkEnd w:id="362"/>
      <w:bookmarkEnd w:id="363"/>
      <w:bookmarkEnd w:id="364"/>
    </w:p>
    <w:p>
      <w:pPr>
        <w:spacing w:line="360" w:lineRule="auto"/>
        <w:ind w:firstLine="420" w:firstLineChars="200"/>
        <w:rPr>
          <w:rFonts w:ascii="宋体" w:hAnsi="宋体" w:cs="宋体"/>
        </w:rPr>
      </w:pPr>
      <w:r>
        <w:rPr>
          <w:rFonts w:hint="eastAsia" w:ascii="宋体" w:hAnsi="宋体" w:cs="宋体"/>
        </w:rPr>
        <w:t>6.1.1 评标由招标人依法组建的评标委员会负责。评标委员会由招标人，以及有关技术、经济等方面的专家组成。评标委员会成员人数以及技术、经济等方面专家的确定方式见投标人须知前附表。</w:t>
      </w:r>
    </w:p>
    <w:p>
      <w:pPr>
        <w:spacing w:line="360" w:lineRule="auto"/>
        <w:ind w:firstLine="420" w:firstLineChars="200"/>
        <w:rPr>
          <w:rFonts w:ascii="宋体" w:hAnsi="宋体" w:cs="宋体"/>
        </w:rPr>
      </w:pPr>
      <w:r>
        <w:rPr>
          <w:rFonts w:hint="eastAsia" w:ascii="宋体" w:hAnsi="宋体" w:cs="宋体"/>
        </w:rPr>
        <w:t>6.1.2 评标委员会成员有下列情形之一的，应当回避：</w:t>
      </w:r>
    </w:p>
    <w:p>
      <w:pPr>
        <w:spacing w:line="360" w:lineRule="auto"/>
        <w:ind w:firstLine="420" w:firstLineChars="200"/>
        <w:rPr>
          <w:rFonts w:ascii="宋体" w:hAnsi="宋体" w:cs="宋体"/>
        </w:rPr>
      </w:pPr>
      <w:r>
        <w:rPr>
          <w:rFonts w:hint="eastAsia" w:ascii="宋体" w:hAnsi="宋体" w:cs="宋体"/>
        </w:rPr>
        <w:t>（1）投标人或投标人主要负责人的近亲属；</w:t>
      </w:r>
    </w:p>
    <w:p>
      <w:pPr>
        <w:spacing w:line="360" w:lineRule="auto"/>
        <w:ind w:firstLine="420" w:firstLineChars="200"/>
        <w:rPr>
          <w:rFonts w:ascii="宋体" w:hAnsi="宋体" w:cs="宋体"/>
        </w:rPr>
      </w:pPr>
      <w:r>
        <w:rPr>
          <w:rFonts w:hint="eastAsia" w:ascii="宋体" w:hAnsi="宋体" w:cs="宋体"/>
        </w:rPr>
        <w:t>（2）项目主管部门或者行政监督部门的人员；</w:t>
      </w:r>
    </w:p>
    <w:p>
      <w:pPr>
        <w:spacing w:line="360" w:lineRule="auto"/>
        <w:ind w:firstLine="420" w:firstLineChars="200"/>
        <w:rPr>
          <w:rFonts w:ascii="宋体" w:hAnsi="宋体" w:cs="宋体"/>
        </w:rPr>
      </w:pPr>
      <w:r>
        <w:rPr>
          <w:rFonts w:hint="eastAsia" w:ascii="宋体" w:hAnsi="宋体" w:cs="宋体"/>
        </w:rPr>
        <w:t>（3）与投标人有经济利益关系，可能影响对投标公正评审的；</w:t>
      </w:r>
    </w:p>
    <w:p>
      <w:pPr>
        <w:spacing w:line="360" w:lineRule="auto"/>
        <w:ind w:firstLine="420" w:firstLineChars="200"/>
        <w:rPr>
          <w:rFonts w:ascii="宋体" w:hAnsi="宋体" w:cs="宋体"/>
        </w:rPr>
      </w:pPr>
      <w:r>
        <w:rPr>
          <w:rFonts w:hint="eastAsia" w:ascii="宋体" w:hAnsi="宋体" w:cs="宋体"/>
        </w:rPr>
        <w:t>（4）曾因在招标、评标以及其他与招标投标有关活动中从事违法行为而受过行政处罚或刑事处罚的；</w:t>
      </w:r>
    </w:p>
    <w:p>
      <w:pPr>
        <w:spacing w:line="400" w:lineRule="exact"/>
        <w:ind w:firstLine="420" w:firstLineChars="200"/>
        <w:jc w:val="left"/>
        <w:rPr>
          <w:rFonts w:ascii="宋体" w:hAnsi="宋体" w:cs="宋体"/>
        </w:rPr>
      </w:pPr>
      <w:r>
        <w:rPr>
          <w:rFonts w:hint="eastAsia" w:ascii="宋体" w:hAnsi="宋体" w:cs="宋体"/>
        </w:rPr>
        <w:t>6.1.3评标过程中，评标委员会成员有回避事由，擅离职守或因健康原因不能继续评标的应该及时更换。被更换的评标委员会成员作出的评审结论无效，由更换后的评标委员会成员重新进行评审。</w:t>
      </w:r>
    </w:p>
    <w:p>
      <w:pPr>
        <w:spacing w:line="360" w:lineRule="auto"/>
        <w:rPr>
          <w:rFonts w:ascii="宋体" w:hAnsi="宋体" w:cs="宋体"/>
          <w:b/>
          <w:sz w:val="24"/>
        </w:rPr>
      </w:pPr>
      <w:bookmarkStart w:id="365" w:name="_Toc436316970"/>
      <w:bookmarkStart w:id="366" w:name="_Toc27869"/>
      <w:bookmarkStart w:id="367" w:name="_Toc436315360"/>
      <w:bookmarkStart w:id="368" w:name="_Toc152045564"/>
      <w:bookmarkStart w:id="369" w:name="_Toc152042340"/>
      <w:bookmarkStart w:id="370" w:name="_Toc247527589"/>
      <w:bookmarkStart w:id="371" w:name="_Toc144974532"/>
      <w:bookmarkStart w:id="372" w:name="_Toc247513988"/>
      <w:bookmarkStart w:id="373" w:name="_Toc23372"/>
      <w:bookmarkStart w:id="374" w:name="_Toc435930066"/>
      <w:r>
        <w:rPr>
          <w:rFonts w:hint="eastAsia" w:ascii="宋体" w:hAnsi="宋体" w:cs="宋体"/>
          <w:b/>
          <w:sz w:val="24"/>
        </w:rPr>
        <w:t>6.2 评标原则</w:t>
      </w:r>
      <w:bookmarkEnd w:id="365"/>
      <w:bookmarkEnd w:id="366"/>
      <w:bookmarkEnd w:id="367"/>
      <w:bookmarkEnd w:id="368"/>
      <w:bookmarkEnd w:id="369"/>
      <w:bookmarkEnd w:id="370"/>
      <w:bookmarkEnd w:id="371"/>
      <w:bookmarkEnd w:id="372"/>
      <w:bookmarkEnd w:id="373"/>
      <w:bookmarkEnd w:id="374"/>
      <w:r>
        <w:rPr>
          <w:rFonts w:hint="eastAsia" w:ascii="宋体" w:hAnsi="宋体" w:cs="宋体"/>
          <w:b/>
          <w:sz w:val="24"/>
        </w:rPr>
        <w:tab/>
      </w:r>
    </w:p>
    <w:p>
      <w:pPr>
        <w:spacing w:line="360" w:lineRule="auto"/>
        <w:ind w:firstLine="420" w:firstLineChars="200"/>
        <w:rPr>
          <w:rFonts w:ascii="宋体" w:hAnsi="宋体" w:cs="宋体"/>
        </w:rPr>
      </w:pPr>
      <w:r>
        <w:rPr>
          <w:rFonts w:hint="eastAsia" w:ascii="宋体" w:hAnsi="宋体" w:cs="宋体"/>
        </w:rPr>
        <w:t>评标活动遵循公平、公正、科学和择优的原则。</w:t>
      </w:r>
    </w:p>
    <w:p>
      <w:pPr>
        <w:spacing w:line="360" w:lineRule="auto"/>
        <w:rPr>
          <w:rFonts w:ascii="宋体" w:hAnsi="宋体" w:cs="宋体"/>
          <w:b/>
          <w:sz w:val="24"/>
        </w:rPr>
      </w:pPr>
      <w:bookmarkStart w:id="375" w:name="_Toc247513989"/>
      <w:bookmarkStart w:id="376" w:name="_Toc247527590"/>
      <w:bookmarkStart w:id="377" w:name="_Toc152045565"/>
      <w:bookmarkStart w:id="378" w:name="_Toc436315361"/>
      <w:bookmarkStart w:id="379" w:name="_Toc144974533"/>
      <w:bookmarkStart w:id="380" w:name="_Toc435930067"/>
      <w:bookmarkStart w:id="381" w:name="_Toc17560"/>
      <w:bookmarkStart w:id="382" w:name="_Toc436316971"/>
      <w:bookmarkStart w:id="383" w:name="_Toc11181"/>
      <w:bookmarkStart w:id="384" w:name="_Toc152042341"/>
      <w:r>
        <w:rPr>
          <w:rFonts w:hint="eastAsia" w:ascii="宋体" w:hAnsi="宋体" w:cs="宋体"/>
          <w:b/>
          <w:sz w:val="24"/>
        </w:rPr>
        <w:t>6.3 评标</w:t>
      </w:r>
      <w:bookmarkEnd w:id="375"/>
      <w:bookmarkEnd w:id="376"/>
      <w:bookmarkEnd w:id="377"/>
      <w:bookmarkEnd w:id="378"/>
      <w:bookmarkEnd w:id="379"/>
      <w:bookmarkEnd w:id="380"/>
      <w:bookmarkEnd w:id="381"/>
      <w:bookmarkEnd w:id="382"/>
      <w:bookmarkEnd w:id="383"/>
      <w:bookmarkEnd w:id="384"/>
    </w:p>
    <w:p>
      <w:pPr>
        <w:spacing w:line="360" w:lineRule="auto"/>
        <w:ind w:firstLine="420" w:firstLineChars="200"/>
        <w:rPr>
          <w:rFonts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3"/>
        <w:keepNext w:val="0"/>
        <w:keepLines w:val="0"/>
        <w:spacing w:line="360" w:lineRule="auto"/>
        <w:rPr>
          <w:rFonts w:ascii="宋体" w:hAnsi="宋体" w:eastAsia="宋体" w:cs="宋体"/>
        </w:rPr>
      </w:pPr>
      <w:bookmarkStart w:id="385" w:name="_Toc152045566"/>
      <w:bookmarkStart w:id="386" w:name="_Toc3587"/>
      <w:bookmarkStart w:id="387" w:name="_Toc17547"/>
      <w:bookmarkStart w:id="388" w:name="_Toc247513990"/>
      <w:bookmarkStart w:id="389" w:name="_Toc8135"/>
      <w:bookmarkStart w:id="390" w:name="_Toc2101"/>
      <w:bookmarkStart w:id="391" w:name="_Toc24279"/>
      <w:bookmarkStart w:id="392" w:name="_Toc144974534"/>
      <w:bookmarkStart w:id="393" w:name="_Toc152042342"/>
      <w:bookmarkStart w:id="394" w:name="_Toc247527591"/>
      <w:r>
        <w:rPr>
          <w:rFonts w:hint="eastAsia" w:ascii="宋体" w:hAnsi="宋体" w:eastAsia="宋体" w:cs="宋体"/>
        </w:rPr>
        <w:t>7. 合同授予</w:t>
      </w:r>
      <w:bookmarkEnd w:id="385"/>
      <w:bookmarkEnd w:id="386"/>
      <w:bookmarkEnd w:id="387"/>
      <w:bookmarkEnd w:id="388"/>
      <w:bookmarkEnd w:id="389"/>
      <w:bookmarkEnd w:id="390"/>
      <w:bookmarkEnd w:id="391"/>
      <w:bookmarkEnd w:id="392"/>
      <w:bookmarkEnd w:id="393"/>
      <w:bookmarkEnd w:id="394"/>
    </w:p>
    <w:p>
      <w:pPr>
        <w:spacing w:line="360" w:lineRule="auto"/>
        <w:rPr>
          <w:rFonts w:ascii="宋体" w:hAnsi="宋体" w:cs="宋体"/>
          <w:b/>
          <w:sz w:val="24"/>
        </w:rPr>
      </w:pPr>
      <w:bookmarkStart w:id="395" w:name="_Toc247527592"/>
      <w:bookmarkStart w:id="396" w:name="_Toc436316973"/>
      <w:bookmarkStart w:id="397" w:name="_Toc26102"/>
      <w:bookmarkStart w:id="398" w:name="_Toc29026"/>
      <w:bookmarkStart w:id="399" w:name="_Toc152042343"/>
      <w:bookmarkStart w:id="400" w:name="_Toc152045567"/>
      <w:bookmarkStart w:id="401" w:name="_Toc144974535"/>
      <w:bookmarkStart w:id="402" w:name="_Toc436315363"/>
      <w:bookmarkStart w:id="403" w:name="_Toc435930069"/>
      <w:bookmarkStart w:id="404" w:name="_Toc247513991"/>
      <w:r>
        <w:rPr>
          <w:rFonts w:hint="eastAsia" w:ascii="宋体" w:hAnsi="宋体" w:cs="宋体"/>
          <w:b/>
          <w:sz w:val="24"/>
        </w:rPr>
        <w:t>7.1 定标方式</w:t>
      </w:r>
      <w:bookmarkEnd w:id="395"/>
      <w:bookmarkEnd w:id="396"/>
      <w:bookmarkEnd w:id="397"/>
      <w:bookmarkEnd w:id="398"/>
      <w:bookmarkEnd w:id="399"/>
      <w:bookmarkEnd w:id="400"/>
      <w:bookmarkEnd w:id="401"/>
      <w:bookmarkEnd w:id="402"/>
      <w:bookmarkEnd w:id="403"/>
      <w:bookmarkEnd w:id="404"/>
    </w:p>
    <w:p>
      <w:pPr>
        <w:spacing w:line="440" w:lineRule="exact"/>
        <w:ind w:firstLine="420" w:firstLineChars="200"/>
        <w:rPr>
          <w:rFonts w:ascii="宋体" w:hAnsi="宋体" w:cs="宋体"/>
        </w:rPr>
      </w:pPr>
      <w:bookmarkStart w:id="405" w:name="_Toc27318"/>
      <w:bookmarkStart w:id="406" w:name="_Toc435930070"/>
      <w:bookmarkStart w:id="407" w:name="_Toc29566"/>
      <w:bookmarkStart w:id="408" w:name="_Toc436315364"/>
      <w:bookmarkStart w:id="409" w:name="_Toc436316974"/>
      <w:r>
        <w:rPr>
          <w:rFonts w:hint="eastAsia" w:ascii="宋体" w:hAnsi="宋体" w:cs="宋体"/>
        </w:rPr>
        <w:t>除投标人须知前附表规定评标委员会直接确定中标单位外，招标人依据评标委员会推荐的中标候选单位中确定中标单位，评标委员会推荐中标候选人的人数见投标人须知前附表。</w:t>
      </w:r>
    </w:p>
    <w:p>
      <w:pPr>
        <w:spacing w:line="360" w:lineRule="auto"/>
        <w:rPr>
          <w:rFonts w:ascii="宋体" w:hAnsi="宋体" w:cs="宋体"/>
          <w:b/>
          <w:sz w:val="24"/>
        </w:rPr>
      </w:pPr>
      <w:r>
        <w:rPr>
          <w:rFonts w:hint="eastAsia" w:ascii="宋体" w:hAnsi="宋体" w:cs="宋体"/>
          <w:b/>
          <w:sz w:val="24"/>
        </w:rPr>
        <w:t>7.2 中标候选人公示</w:t>
      </w:r>
      <w:bookmarkEnd w:id="405"/>
      <w:bookmarkEnd w:id="406"/>
      <w:bookmarkEnd w:id="407"/>
      <w:bookmarkEnd w:id="408"/>
      <w:bookmarkEnd w:id="409"/>
    </w:p>
    <w:p>
      <w:pPr>
        <w:spacing w:line="360" w:lineRule="auto"/>
        <w:ind w:firstLine="420" w:firstLineChars="200"/>
        <w:rPr>
          <w:rFonts w:ascii="宋体" w:hAnsi="宋体" w:cs="宋体"/>
        </w:rPr>
      </w:pPr>
      <w:r>
        <w:rPr>
          <w:rFonts w:hint="eastAsia" w:ascii="宋体" w:hAnsi="宋体" w:cs="宋体"/>
        </w:rPr>
        <w:t>招标人在投标人须知前附表规定的媒介公示中标候选人。</w:t>
      </w:r>
    </w:p>
    <w:p>
      <w:pPr>
        <w:spacing w:line="360" w:lineRule="auto"/>
        <w:rPr>
          <w:rFonts w:ascii="宋体" w:hAnsi="宋体" w:cs="宋体"/>
          <w:b/>
          <w:sz w:val="24"/>
        </w:rPr>
      </w:pPr>
      <w:bookmarkStart w:id="410" w:name="_Toc247513992"/>
      <w:bookmarkStart w:id="411" w:name="_Toc152042344"/>
      <w:bookmarkStart w:id="412" w:name="_Toc436316975"/>
      <w:bookmarkStart w:id="413" w:name="_Toc18033"/>
      <w:bookmarkStart w:id="414" w:name="_Toc247527593"/>
      <w:bookmarkStart w:id="415" w:name="_Toc144974536"/>
      <w:bookmarkStart w:id="416" w:name="_Toc152045568"/>
      <w:bookmarkStart w:id="417" w:name="_Toc31501"/>
      <w:bookmarkStart w:id="418" w:name="_Toc435930071"/>
      <w:bookmarkStart w:id="419" w:name="_Toc436315365"/>
      <w:r>
        <w:rPr>
          <w:rFonts w:hint="eastAsia" w:ascii="宋体" w:hAnsi="宋体" w:cs="宋体"/>
          <w:b/>
          <w:sz w:val="24"/>
        </w:rPr>
        <w:t>7.3 中标通知</w:t>
      </w:r>
      <w:bookmarkEnd w:id="410"/>
      <w:bookmarkEnd w:id="411"/>
      <w:bookmarkEnd w:id="412"/>
      <w:bookmarkEnd w:id="413"/>
      <w:bookmarkEnd w:id="414"/>
      <w:bookmarkEnd w:id="415"/>
      <w:bookmarkEnd w:id="416"/>
      <w:bookmarkEnd w:id="417"/>
      <w:bookmarkEnd w:id="418"/>
      <w:bookmarkEnd w:id="419"/>
      <w:r>
        <w:rPr>
          <w:rFonts w:hint="eastAsia" w:ascii="宋体" w:hAnsi="宋体" w:cs="宋体"/>
          <w:b/>
          <w:sz w:val="24"/>
        </w:rPr>
        <w:t>书</w:t>
      </w:r>
    </w:p>
    <w:p>
      <w:pPr>
        <w:spacing w:line="360" w:lineRule="auto"/>
        <w:ind w:firstLine="420" w:firstLineChars="200"/>
        <w:rPr>
          <w:rFonts w:ascii="宋体" w:hAnsi="宋体" w:cs="宋体"/>
        </w:rPr>
      </w:pPr>
      <w:r>
        <w:rPr>
          <w:rFonts w:hint="eastAsia" w:ascii="宋体" w:hAnsi="宋体" w:cs="宋体"/>
        </w:rPr>
        <w:t>在本章第3.3款规定的投标有效期内，招标人以书面形式向中标人发出中标通知书，同时将中标结果通知未中标的投标人。</w:t>
      </w:r>
    </w:p>
    <w:p>
      <w:pPr>
        <w:spacing w:line="360" w:lineRule="auto"/>
        <w:rPr>
          <w:rFonts w:ascii="宋体" w:hAnsi="宋体" w:cs="宋体"/>
          <w:b/>
          <w:sz w:val="24"/>
        </w:rPr>
      </w:pPr>
      <w:bookmarkStart w:id="420" w:name="_Toc144974537"/>
      <w:bookmarkStart w:id="421" w:name="_Toc436316976"/>
      <w:bookmarkStart w:id="422" w:name="_Toc20662"/>
      <w:bookmarkStart w:id="423" w:name="_Toc152045569"/>
      <w:bookmarkStart w:id="424" w:name="_Toc152042345"/>
      <w:bookmarkStart w:id="425" w:name="_Toc247527594"/>
      <w:bookmarkStart w:id="426" w:name="_Toc436315366"/>
      <w:bookmarkStart w:id="427" w:name="_Toc435930072"/>
      <w:bookmarkStart w:id="428" w:name="_Toc247513993"/>
      <w:bookmarkStart w:id="429" w:name="_Toc2232"/>
      <w:r>
        <w:rPr>
          <w:rFonts w:hint="eastAsia" w:ascii="宋体" w:hAnsi="宋体" w:cs="宋体"/>
          <w:b/>
          <w:sz w:val="24"/>
        </w:rPr>
        <w:t>7.4 履约担保</w:t>
      </w:r>
      <w:bookmarkEnd w:id="420"/>
      <w:bookmarkEnd w:id="421"/>
      <w:bookmarkEnd w:id="422"/>
      <w:bookmarkEnd w:id="423"/>
      <w:bookmarkEnd w:id="424"/>
      <w:bookmarkEnd w:id="425"/>
      <w:bookmarkEnd w:id="426"/>
      <w:bookmarkEnd w:id="427"/>
      <w:bookmarkEnd w:id="428"/>
      <w:bookmarkEnd w:id="429"/>
    </w:p>
    <w:p>
      <w:pPr>
        <w:spacing w:line="400" w:lineRule="exact"/>
        <w:ind w:firstLine="420" w:firstLineChars="200"/>
        <w:rPr>
          <w:rFonts w:ascii="宋体" w:hAnsi="宋体" w:cs="宋体"/>
        </w:rPr>
      </w:pPr>
      <w:r>
        <w:rPr>
          <w:rFonts w:hint="eastAsia" w:ascii="宋体" w:hAnsi="宋体" w:cs="宋体"/>
        </w:rPr>
        <w:t>7.4.1 在签订合同前，中标人应按投标人须知前附表规定的金额、担保形式和招标文件第四章“合同条款及格式”规定的履约担保形式向招标人提交履约担保。联合体中标的，其履约担保由牵头人递交，并应符合投标人须知前附表规定的金额、担保形式和招标文</w:t>
      </w:r>
      <w:r>
        <w:rPr>
          <w:rFonts w:hint="eastAsia" w:ascii="宋体" w:hAnsi="宋体" w:cs="宋体"/>
          <w:color w:val="000000" w:themeColor="text1"/>
          <w14:textFill>
            <w14:solidFill>
              <w14:schemeClr w14:val="tx1"/>
            </w14:solidFill>
          </w14:textFill>
        </w:rPr>
        <w:t>件第五章“合同条款及格式”规定的履约担保形式要求。</w:t>
      </w:r>
    </w:p>
    <w:p>
      <w:pPr>
        <w:spacing w:line="360" w:lineRule="auto"/>
        <w:ind w:firstLine="420" w:firstLineChars="200"/>
        <w:rPr>
          <w:rFonts w:ascii="宋体" w:hAnsi="宋体" w:cs="宋体"/>
        </w:rPr>
      </w:pPr>
      <w:r>
        <w:rPr>
          <w:rFonts w:hint="eastAsia" w:ascii="宋体" w:hAnsi="宋体" w:cs="宋体"/>
        </w:rPr>
        <w:t>7.4.2 中标人不能按本章第7.4.1项要求提交履约担保的，视为放弃中标，其投标保证金不予退还，给招标人造成的损失超过投标保证金数额的，中标人还应当对超过部分予以赔偿。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sz w:val="24"/>
        </w:rPr>
      </w:pPr>
      <w:bookmarkStart w:id="430" w:name="_Toc152042346"/>
      <w:bookmarkStart w:id="431" w:name="_Toc152045570"/>
      <w:bookmarkStart w:id="432" w:name="_Toc436315367"/>
      <w:bookmarkStart w:id="433" w:name="_Toc436316977"/>
      <w:bookmarkStart w:id="434" w:name="_Toc247513994"/>
      <w:bookmarkStart w:id="435" w:name="_Toc435930073"/>
      <w:bookmarkStart w:id="436" w:name="_Toc144974538"/>
      <w:bookmarkStart w:id="437" w:name="_Toc31664"/>
      <w:bookmarkStart w:id="438" w:name="_Toc21600"/>
      <w:bookmarkStart w:id="439" w:name="_Toc247527595"/>
      <w:r>
        <w:rPr>
          <w:rFonts w:hint="eastAsia" w:ascii="宋体" w:hAnsi="宋体" w:cs="宋体"/>
          <w:b/>
          <w:sz w:val="24"/>
        </w:rPr>
        <w:t>7.5 签订合同</w:t>
      </w:r>
      <w:bookmarkEnd w:id="430"/>
      <w:bookmarkEnd w:id="431"/>
      <w:bookmarkEnd w:id="432"/>
      <w:bookmarkEnd w:id="433"/>
      <w:bookmarkEnd w:id="434"/>
      <w:bookmarkEnd w:id="435"/>
      <w:bookmarkEnd w:id="436"/>
      <w:bookmarkEnd w:id="437"/>
      <w:bookmarkEnd w:id="438"/>
      <w:bookmarkEnd w:id="439"/>
    </w:p>
    <w:p>
      <w:pPr>
        <w:spacing w:line="360" w:lineRule="auto"/>
        <w:ind w:firstLine="420" w:firstLineChars="200"/>
        <w:rPr>
          <w:rFonts w:ascii="宋体" w:hAnsi="宋体" w:cs="宋体"/>
        </w:rPr>
      </w:pPr>
      <w:r>
        <w:rPr>
          <w:rFonts w:hint="eastAsia" w:ascii="宋体" w:hAnsi="宋体" w:cs="宋体"/>
        </w:rPr>
        <w:t xml:space="preserve">7.5.1招标人和中标单位应当自中标通知书发出之日起30天内，根据招标文件和中标单位的投标文件订立书面合同并由中标人上传交易系统中。中标单位无正当理由拒签合同的，招标人取消其中标资格，其投标保证金不予退还；给招标人造成的损失超过投标保证金数额的，中标单位还应当对超过部分予以赔偿。 </w:t>
      </w:r>
    </w:p>
    <w:p>
      <w:pPr>
        <w:spacing w:line="360" w:lineRule="auto"/>
        <w:ind w:firstLine="420" w:firstLineChars="200"/>
        <w:rPr>
          <w:rFonts w:ascii="宋体" w:hAnsi="宋体" w:cs="宋体"/>
        </w:rPr>
      </w:pPr>
      <w:r>
        <w:rPr>
          <w:rFonts w:hint="eastAsia" w:ascii="宋体" w:hAnsi="宋体" w:cs="宋体"/>
        </w:rPr>
        <w:t xml:space="preserve">7.5.2 发出中标通知书后，招标人无正当理由拒签合同的，招标人向中标单位退还投标保证金；给中标单位造成损失的，还应当赔偿损失。 </w:t>
      </w:r>
    </w:p>
    <w:p>
      <w:pPr>
        <w:pStyle w:val="3"/>
        <w:numPr>
          <w:ilvl w:val="0"/>
          <w:numId w:val="1"/>
        </w:numPr>
        <w:spacing w:line="360" w:lineRule="auto"/>
        <w:rPr>
          <w:rFonts w:ascii="宋体" w:hAnsi="宋体" w:eastAsia="宋体" w:cs="宋体"/>
        </w:rPr>
      </w:pPr>
      <w:bookmarkStart w:id="440" w:name="_Toc25184"/>
      <w:bookmarkStart w:id="441" w:name="_Toc29195"/>
      <w:bookmarkStart w:id="442" w:name="_Toc9141"/>
      <w:bookmarkStart w:id="443" w:name="_Toc18094"/>
      <w:bookmarkStart w:id="444" w:name="_Toc26290"/>
      <w:r>
        <w:rPr>
          <w:rFonts w:hint="eastAsia" w:ascii="宋体" w:hAnsi="宋体" w:eastAsia="宋体" w:cs="宋体"/>
        </w:rPr>
        <w:t>重新招标和不再招标</w:t>
      </w:r>
      <w:bookmarkEnd w:id="440"/>
      <w:bookmarkEnd w:id="441"/>
      <w:bookmarkEnd w:id="442"/>
      <w:bookmarkEnd w:id="443"/>
      <w:bookmarkEnd w:id="444"/>
    </w:p>
    <w:p>
      <w:pPr>
        <w:spacing w:line="360" w:lineRule="auto"/>
        <w:rPr>
          <w:rFonts w:ascii="宋体" w:hAnsi="宋体" w:cs="宋体"/>
          <w:b/>
          <w:sz w:val="24"/>
        </w:rPr>
      </w:pPr>
      <w:r>
        <w:rPr>
          <w:rFonts w:hint="eastAsia" w:ascii="宋体" w:hAnsi="宋体" w:cs="宋体"/>
          <w:b/>
          <w:sz w:val="24"/>
        </w:rPr>
        <w:t xml:space="preserve"> 8.1 重新招标</w:t>
      </w:r>
    </w:p>
    <w:p>
      <w:pPr>
        <w:spacing w:line="360" w:lineRule="auto"/>
        <w:ind w:firstLine="420" w:firstLineChars="200"/>
        <w:rPr>
          <w:rFonts w:ascii="宋体" w:hAnsi="宋体" w:cs="宋体"/>
        </w:rPr>
      </w:pPr>
      <w:r>
        <w:rPr>
          <w:rFonts w:hint="eastAsia" w:ascii="宋体" w:hAnsi="宋体" w:cs="宋体"/>
        </w:rPr>
        <w:t>有下列情形之一的，招标人将重新招标：</w:t>
      </w:r>
    </w:p>
    <w:p>
      <w:pPr>
        <w:spacing w:line="360" w:lineRule="auto"/>
        <w:ind w:firstLine="420" w:firstLineChars="200"/>
        <w:rPr>
          <w:rFonts w:ascii="宋体" w:hAnsi="宋体" w:cs="宋体"/>
        </w:rPr>
      </w:pPr>
      <w:r>
        <w:rPr>
          <w:rFonts w:hint="eastAsia" w:ascii="宋体" w:hAnsi="宋体" w:cs="宋体"/>
        </w:rPr>
        <w:t>(1)投标截止时间止，投标人少于3个的；</w:t>
      </w:r>
    </w:p>
    <w:p>
      <w:pPr>
        <w:spacing w:line="360" w:lineRule="auto"/>
        <w:ind w:firstLine="420" w:firstLineChars="200"/>
        <w:rPr>
          <w:rFonts w:ascii="宋体" w:hAnsi="宋体" w:cs="宋体"/>
        </w:rPr>
      </w:pPr>
      <w:r>
        <w:rPr>
          <w:rFonts w:hint="eastAsia" w:ascii="宋体" w:hAnsi="宋体" w:cs="宋体"/>
        </w:rPr>
        <w:t>(2)经评标委员会评审后否决所有投标的；</w:t>
      </w:r>
    </w:p>
    <w:p>
      <w:pPr>
        <w:spacing w:line="360" w:lineRule="auto"/>
        <w:rPr>
          <w:rFonts w:ascii="宋体" w:hAnsi="宋体" w:cs="宋体"/>
          <w:b/>
          <w:sz w:val="24"/>
        </w:rPr>
      </w:pPr>
      <w:r>
        <w:rPr>
          <w:rFonts w:hint="eastAsia" w:ascii="宋体" w:hAnsi="宋体" w:cs="宋体"/>
          <w:b/>
          <w:sz w:val="24"/>
        </w:rPr>
        <w:t xml:space="preserve"> 8.2 不再招标</w:t>
      </w:r>
    </w:p>
    <w:p>
      <w:pPr>
        <w:spacing w:line="360" w:lineRule="auto"/>
        <w:ind w:firstLine="420" w:firstLineChars="200"/>
        <w:rPr>
          <w:rFonts w:ascii="宋体" w:hAnsi="宋体" w:cs="宋体"/>
        </w:rPr>
      </w:pPr>
      <w:r>
        <w:rPr>
          <w:rFonts w:hint="eastAsia" w:ascii="宋体" w:hAnsi="宋体" w:cs="宋体"/>
        </w:rPr>
        <w:t xml:space="preserve"> 重新招标后投标人仍少于3个或者所有投标被否决的，属于必须审批或核准的工程建设项目，经原审批或核准部门批准后不再进行招标。</w:t>
      </w:r>
    </w:p>
    <w:p>
      <w:pPr>
        <w:pStyle w:val="3"/>
        <w:keepNext w:val="0"/>
        <w:keepLines w:val="0"/>
        <w:spacing w:line="360" w:lineRule="auto"/>
        <w:rPr>
          <w:rFonts w:ascii="宋体" w:hAnsi="宋体" w:eastAsia="宋体" w:cs="宋体"/>
        </w:rPr>
      </w:pPr>
      <w:bookmarkStart w:id="445" w:name="_Toc247527596"/>
      <w:bookmarkStart w:id="446" w:name="_Toc152045571"/>
      <w:bookmarkStart w:id="447" w:name="_Toc152042347"/>
      <w:bookmarkStart w:id="448" w:name="_Toc144974539"/>
      <w:bookmarkStart w:id="449" w:name="_Toc247513995"/>
      <w:bookmarkStart w:id="450" w:name="_Toc8320"/>
      <w:bookmarkStart w:id="451" w:name="_Toc28915"/>
      <w:bookmarkStart w:id="452" w:name="_Toc23301"/>
      <w:bookmarkStart w:id="453" w:name="_Toc26233"/>
      <w:bookmarkStart w:id="454" w:name="_Toc12021"/>
      <w:r>
        <w:rPr>
          <w:rFonts w:hint="eastAsia" w:ascii="宋体" w:hAnsi="宋体" w:eastAsia="宋体" w:cs="宋体"/>
        </w:rPr>
        <w:t>9.</w:t>
      </w:r>
      <w:bookmarkEnd w:id="445"/>
      <w:bookmarkEnd w:id="446"/>
      <w:bookmarkEnd w:id="447"/>
      <w:bookmarkEnd w:id="448"/>
      <w:bookmarkEnd w:id="449"/>
      <w:bookmarkStart w:id="455" w:name="_Toc152045574"/>
      <w:bookmarkStart w:id="456" w:name="_Toc247527599"/>
      <w:bookmarkStart w:id="457" w:name="_Toc247513998"/>
      <w:bookmarkStart w:id="458" w:name="_Toc144974542"/>
      <w:bookmarkStart w:id="459" w:name="_Toc152042350"/>
      <w:r>
        <w:rPr>
          <w:rFonts w:hint="eastAsia" w:ascii="宋体" w:hAnsi="宋体" w:eastAsia="宋体" w:cs="宋体"/>
        </w:rPr>
        <w:t xml:space="preserve"> 纪律和监督</w:t>
      </w:r>
      <w:bookmarkEnd w:id="450"/>
      <w:bookmarkEnd w:id="451"/>
      <w:bookmarkEnd w:id="452"/>
      <w:bookmarkEnd w:id="453"/>
      <w:bookmarkEnd w:id="454"/>
      <w:bookmarkEnd w:id="455"/>
      <w:bookmarkEnd w:id="456"/>
      <w:bookmarkEnd w:id="457"/>
      <w:bookmarkEnd w:id="458"/>
      <w:bookmarkEnd w:id="459"/>
    </w:p>
    <w:p>
      <w:pPr>
        <w:spacing w:line="360" w:lineRule="auto"/>
        <w:rPr>
          <w:rFonts w:ascii="宋体" w:hAnsi="宋体" w:cs="宋体"/>
          <w:b/>
          <w:sz w:val="24"/>
        </w:rPr>
      </w:pPr>
      <w:bookmarkStart w:id="460" w:name="_Toc152045575"/>
      <w:bookmarkStart w:id="461" w:name="_Toc436315370"/>
      <w:bookmarkStart w:id="462" w:name="_Toc27686"/>
      <w:bookmarkStart w:id="463" w:name="_Toc7848"/>
      <w:bookmarkStart w:id="464" w:name="_Toc247513999"/>
      <w:bookmarkStart w:id="465" w:name="_Toc435930076"/>
      <w:bookmarkStart w:id="466" w:name="_Toc152042351"/>
      <w:bookmarkStart w:id="467" w:name="_Toc247527600"/>
      <w:bookmarkStart w:id="468" w:name="_Toc144974543"/>
      <w:bookmarkStart w:id="469" w:name="_Toc436316980"/>
      <w:r>
        <w:rPr>
          <w:rFonts w:hint="eastAsia" w:ascii="宋体" w:hAnsi="宋体" w:cs="宋体"/>
          <w:b/>
          <w:sz w:val="24"/>
        </w:rPr>
        <w:t>9.1 对招标人的纪律要求</w:t>
      </w:r>
      <w:bookmarkEnd w:id="460"/>
      <w:bookmarkEnd w:id="461"/>
      <w:bookmarkEnd w:id="462"/>
      <w:bookmarkEnd w:id="463"/>
      <w:bookmarkEnd w:id="464"/>
      <w:bookmarkEnd w:id="465"/>
      <w:bookmarkEnd w:id="466"/>
      <w:bookmarkEnd w:id="467"/>
      <w:bookmarkEnd w:id="468"/>
      <w:bookmarkEnd w:id="469"/>
    </w:p>
    <w:p>
      <w:pPr>
        <w:spacing w:line="360" w:lineRule="auto"/>
        <w:ind w:firstLine="420" w:firstLineChars="200"/>
        <w:rPr>
          <w:rFonts w:ascii="宋体" w:hAnsi="宋体" w:cs="宋体"/>
        </w:rPr>
      </w:pPr>
      <w:bookmarkStart w:id="470" w:name="_Toc152045576"/>
      <w:bookmarkStart w:id="471" w:name="_Toc435930077"/>
      <w:bookmarkStart w:id="472" w:name="_Toc436315371"/>
      <w:bookmarkStart w:id="473" w:name="_Toc144974544"/>
      <w:bookmarkStart w:id="474" w:name="_Toc436316981"/>
      <w:bookmarkStart w:id="475" w:name="_Toc152042352"/>
      <w:bookmarkStart w:id="476" w:name="_Toc19524"/>
      <w:bookmarkStart w:id="477" w:name="_Toc247527601"/>
      <w:bookmarkStart w:id="478" w:name="_Toc9821"/>
      <w:bookmarkStart w:id="479" w:name="_Toc247514000"/>
      <w:r>
        <w:rPr>
          <w:rFonts w:hint="eastAsia" w:ascii="宋体" w:hAnsi="宋体" w:cs="宋体"/>
        </w:rPr>
        <w:t>招标人不得泄漏招标投标活动中应当保密的情况和资料，不得与投标人串通损害国家利益、社会公共利益或者他人合法权益。</w:t>
      </w:r>
    </w:p>
    <w:p>
      <w:pPr>
        <w:spacing w:line="360" w:lineRule="auto"/>
        <w:rPr>
          <w:rFonts w:ascii="宋体" w:hAnsi="宋体" w:cs="宋体"/>
          <w:b/>
          <w:sz w:val="24"/>
        </w:rPr>
      </w:pPr>
      <w:r>
        <w:rPr>
          <w:rFonts w:hint="eastAsia" w:ascii="宋体" w:hAnsi="宋体" w:cs="宋体"/>
          <w:b/>
          <w:sz w:val="24"/>
        </w:rPr>
        <w:t>9.2 对投标人的纪律要求</w:t>
      </w:r>
      <w:bookmarkEnd w:id="470"/>
      <w:bookmarkEnd w:id="471"/>
      <w:bookmarkEnd w:id="472"/>
      <w:bookmarkEnd w:id="473"/>
      <w:bookmarkEnd w:id="474"/>
      <w:bookmarkEnd w:id="475"/>
      <w:bookmarkEnd w:id="476"/>
      <w:bookmarkEnd w:id="477"/>
      <w:bookmarkEnd w:id="478"/>
      <w:bookmarkEnd w:id="479"/>
    </w:p>
    <w:p>
      <w:pPr>
        <w:spacing w:line="360" w:lineRule="auto"/>
        <w:ind w:firstLine="420" w:firstLineChars="200"/>
        <w:rPr>
          <w:rFonts w:ascii="宋体" w:hAnsi="宋体" w:cs="宋体"/>
        </w:rPr>
      </w:pPr>
      <w:bookmarkStart w:id="480" w:name="_Toc247514001"/>
      <w:bookmarkStart w:id="481" w:name="_Toc247527602"/>
      <w:bookmarkStart w:id="482" w:name="_Toc152045577"/>
      <w:bookmarkStart w:id="483" w:name="_Toc144974545"/>
      <w:bookmarkStart w:id="484" w:name="_Toc152042353"/>
      <w:r>
        <w:rPr>
          <w:rFonts w:hint="eastAsia" w:ascii="宋体" w:hAnsi="宋体" w:cs="宋体"/>
        </w:rPr>
        <w:t>投标人不得相互串通投标或者与招标人串通投标，不得向招标人或者评标委员会成员行贿谋取中标，不得以他人名义投标或者以其它方式弄虚作假骗取中标；投标人不得以任何方式干扰、影响评标工作。</w:t>
      </w:r>
    </w:p>
    <w:p>
      <w:pPr>
        <w:spacing w:line="360" w:lineRule="auto"/>
        <w:rPr>
          <w:rFonts w:ascii="宋体" w:hAnsi="宋体" w:cs="宋体"/>
          <w:b/>
          <w:sz w:val="24"/>
        </w:rPr>
      </w:pPr>
      <w:bookmarkStart w:id="485" w:name="_Toc16372"/>
      <w:bookmarkStart w:id="486" w:name="_Toc436315372"/>
      <w:bookmarkStart w:id="487" w:name="_Toc436316982"/>
      <w:bookmarkStart w:id="488" w:name="_Toc27945"/>
      <w:bookmarkStart w:id="489" w:name="_Toc435930078"/>
      <w:r>
        <w:rPr>
          <w:rFonts w:hint="eastAsia" w:ascii="宋体" w:hAnsi="宋体" w:cs="宋体"/>
          <w:b/>
          <w:sz w:val="24"/>
        </w:rPr>
        <w:t>9.3 对评标委员会成员的纪律要求</w:t>
      </w:r>
      <w:bookmarkEnd w:id="480"/>
      <w:bookmarkEnd w:id="481"/>
      <w:bookmarkEnd w:id="482"/>
      <w:bookmarkEnd w:id="483"/>
      <w:bookmarkEnd w:id="484"/>
      <w:bookmarkEnd w:id="485"/>
      <w:bookmarkEnd w:id="486"/>
      <w:bookmarkEnd w:id="487"/>
      <w:bookmarkEnd w:id="488"/>
      <w:bookmarkEnd w:id="489"/>
    </w:p>
    <w:p>
      <w:pPr>
        <w:spacing w:line="360" w:lineRule="auto"/>
        <w:ind w:firstLine="420" w:firstLineChars="200"/>
        <w:rPr>
          <w:rFonts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ascii="宋体" w:hAnsi="宋体" w:cs="宋体"/>
          <w:b/>
          <w:sz w:val="24"/>
        </w:rPr>
      </w:pPr>
      <w:bookmarkStart w:id="490" w:name="_Toc18683"/>
      <w:bookmarkStart w:id="491" w:name="_Toc29420"/>
      <w:bookmarkStart w:id="492" w:name="_Toc247527603"/>
      <w:bookmarkStart w:id="493" w:name="_Toc435930079"/>
      <w:bookmarkStart w:id="494" w:name="_Toc152042354"/>
      <w:bookmarkStart w:id="495" w:name="_Toc436316983"/>
      <w:bookmarkStart w:id="496" w:name="_Toc152045578"/>
      <w:bookmarkStart w:id="497" w:name="_Toc247514002"/>
      <w:bookmarkStart w:id="498" w:name="_Toc436315373"/>
      <w:bookmarkStart w:id="499" w:name="_Toc144974546"/>
      <w:r>
        <w:rPr>
          <w:rFonts w:hint="eastAsia" w:ascii="宋体" w:hAnsi="宋体" w:cs="宋体"/>
          <w:b/>
          <w:sz w:val="24"/>
        </w:rPr>
        <w:t>9.4 对与评标活动有关的工作人员的纪律要求</w:t>
      </w:r>
      <w:bookmarkEnd w:id="490"/>
      <w:bookmarkEnd w:id="491"/>
      <w:bookmarkEnd w:id="492"/>
      <w:bookmarkEnd w:id="493"/>
      <w:bookmarkEnd w:id="494"/>
      <w:bookmarkEnd w:id="495"/>
      <w:bookmarkEnd w:id="496"/>
      <w:bookmarkEnd w:id="497"/>
      <w:bookmarkEnd w:id="498"/>
    </w:p>
    <w:p>
      <w:pPr>
        <w:spacing w:line="360" w:lineRule="auto"/>
        <w:ind w:firstLine="420" w:firstLineChars="200"/>
        <w:rPr>
          <w:rFonts w:ascii="宋体" w:hAnsi="宋体" w:cs="宋体"/>
        </w:rPr>
      </w:pPr>
      <w:bookmarkStart w:id="500"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00"/>
    </w:p>
    <w:p>
      <w:pPr>
        <w:spacing w:line="360" w:lineRule="auto"/>
        <w:rPr>
          <w:rFonts w:ascii="宋体" w:hAnsi="宋体" w:cs="宋体"/>
          <w:b/>
          <w:sz w:val="24"/>
        </w:rPr>
      </w:pPr>
      <w:bookmarkStart w:id="501" w:name="_Toc247527604"/>
      <w:bookmarkStart w:id="502" w:name="_Toc1786"/>
      <w:bookmarkStart w:id="503" w:name="_Toc436315374"/>
      <w:bookmarkStart w:id="504" w:name="_Toc247514003"/>
      <w:bookmarkStart w:id="505" w:name="_Toc152045579"/>
      <w:bookmarkStart w:id="506" w:name="_Toc152042356"/>
      <w:bookmarkStart w:id="507" w:name="_Toc435930080"/>
      <w:bookmarkStart w:id="508" w:name="_Toc436316984"/>
      <w:bookmarkStart w:id="509" w:name="_Toc4473"/>
      <w:r>
        <w:rPr>
          <w:rFonts w:hint="eastAsia" w:ascii="宋体" w:hAnsi="宋体" w:cs="宋体"/>
          <w:b/>
          <w:sz w:val="24"/>
        </w:rPr>
        <w:t>9.5 投诉</w:t>
      </w:r>
      <w:bookmarkEnd w:id="499"/>
      <w:bookmarkEnd w:id="501"/>
      <w:bookmarkEnd w:id="502"/>
      <w:bookmarkEnd w:id="503"/>
      <w:bookmarkEnd w:id="504"/>
      <w:bookmarkEnd w:id="505"/>
      <w:bookmarkEnd w:id="506"/>
      <w:bookmarkEnd w:id="507"/>
      <w:bookmarkEnd w:id="508"/>
      <w:bookmarkEnd w:id="509"/>
    </w:p>
    <w:p>
      <w:pPr>
        <w:spacing w:line="360" w:lineRule="auto"/>
        <w:ind w:firstLine="420" w:firstLineChars="200"/>
        <w:rPr>
          <w:rFonts w:ascii="宋体" w:hAnsi="宋体" w:cs="宋体"/>
        </w:rPr>
      </w:pPr>
      <w:r>
        <w:rPr>
          <w:rFonts w:hint="eastAsia" w:ascii="宋体" w:hAnsi="宋体" w:cs="宋体"/>
        </w:rPr>
        <w:t>投标人和其他利害关系人认为本次招标活动违反法律、法规和规章规定的，有权向有关行政监督部门投诉。</w:t>
      </w:r>
    </w:p>
    <w:p>
      <w:pPr>
        <w:pStyle w:val="3"/>
        <w:spacing w:line="360" w:lineRule="auto"/>
        <w:rPr>
          <w:rFonts w:ascii="宋体" w:hAnsi="宋体" w:eastAsia="宋体" w:cs="宋体"/>
        </w:rPr>
      </w:pPr>
      <w:bookmarkStart w:id="510" w:name="_Toc144974547"/>
      <w:bookmarkStart w:id="511" w:name="_Toc152042357"/>
      <w:bookmarkStart w:id="512" w:name="_Toc247527605"/>
      <w:bookmarkStart w:id="513" w:name="_Toc20049"/>
      <w:bookmarkStart w:id="514" w:name="_Toc247514004"/>
      <w:bookmarkStart w:id="515" w:name="_Toc17800"/>
      <w:bookmarkStart w:id="516" w:name="_Toc152045580"/>
      <w:bookmarkStart w:id="517" w:name="_Toc14517"/>
      <w:bookmarkStart w:id="518" w:name="_Toc3411"/>
      <w:bookmarkStart w:id="519" w:name="_Toc29369"/>
      <w:r>
        <w:rPr>
          <w:rFonts w:hint="eastAsia" w:ascii="宋体" w:hAnsi="宋体" w:eastAsia="宋体" w:cs="宋体"/>
        </w:rPr>
        <w:t>10. 需要补充的其他内容</w:t>
      </w:r>
      <w:bookmarkEnd w:id="510"/>
      <w:bookmarkEnd w:id="511"/>
      <w:bookmarkEnd w:id="512"/>
      <w:bookmarkEnd w:id="513"/>
      <w:bookmarkEnd w:id="514"/>
      <w:bookmarkEnd w:id="515"/>
      <w:bookmarkEnd w:id="516"/>
      <w:bookmarkEnd w:id="517"/>
      <w:bookmarkEnd w:id="518"/>
      <w:bookmarkEnd w:id="519"/>
    </w:p>
    <w:p>
      <w:pPr>
        <w:spacing w:line="360" w:lineRule="auto"/>
        <w:ind w:firstLine="420" w:firstLineChars="200"/>
        <w:rPr>
          <w:rFonts w:ascii="宋体" w:hAnsi="宋体" w:cs="宋体"/>
        </w:rPr>
      </w:pPr>
      <w:r>
        <w:rPr>
          <w:rFonts w:hint="eastAsia" w:ascii="宋体" w:hAnsi="宋体" w:cs="宋体"/>
        </w:rPr>
        <w:t>需要补充的其他内容：见投标人须知前附表。</w:t>
      </w:r>
    </w:p>
    <w:p>
      <w:pPr>
        <w:spacing w:line="400" w:lineRule="exact"/>
        <w:rPr>
          <w:rFonts w:ascii="宋体" w:hAnsi="宋体" w:cs="宋体"/>
        </w:rPr>
      </w:pPr>
    </w:p>
    <w:p>
      <w:pPr>
        <w:pStyle w:val="4"/>
        <w:pageBreakBefore/>
        <w:spacing w:line="400" w:lineRule="exact"/>
        <w:rPr>
          <w:rFonts w:ascii="宋体" w:hAnsi="宋体" w:cs="宋体"/>
        </w:rPr>
      </w:pPr>
      <w:bookmarkStart w:id="520" w:name="_Toc2539"/>
      <w:bookmarkStart w:id="521" w:name="_Toc5299"/>
      <w:bookmarkStart w:id="522" w:name="_Toc23439"/>
      <w:bookmarkStart w:id="523" w:name="_Toc25293"/>
      <w:bookmarkStart w:id="524" w:name="_Toc152042359"/>
      <w:bookmarkStart w:id="525" w:name="_Toc20433"/>
      <w:bookmarkStart w:id="526" w:name="_Toc13499"/>
      <w:bookmarkStart w:id="527" w:name="_Toc23426"/>
      <w:bookmarkStart w:id="528" w:name="_Toc144974549"/>
      <w:bookmarkStart w:id="529" w:name="_Toc9041"/>
      <w:bookmarkStart w:id="530" w:name="_Toc8331"/>
      <w:bookmarkStart w:id="531" w:name="_Toc367957519"/>
      <w:bookmarkStart w:id="532" w:name="_Toc429577397"/>
      <w:bookmarkStart w:id="533" w:name="_Toc17583"/>
      <w:bookmarkStart w:id="534" w:name="_Toc25010"/>
      <w:bookmarkStart w:id="535" w:name="_Toc30695"/>
      <w:bookmarkStart w:id="536" w:name="_Toc10720"/>
      <w:bookmarkStart w:id="537" w:name="_Toc152045582"/>
      <w:r>
        <w:rPr>
          <w:rFonts w:hint="eastAsia" w:ascii="宋体" w:hAnsi="宋体" w:cs="宋体"/>
        </w:rPr>
        <w:t>附表一：问题澄清通知</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spacing w:line="440" w:lineRule="exact"/>
        <w:jc w:val="center"/>
        <w:rPr>
          <w:rFonts w:ascii="宋体" w:hAnsi="宋体" w:cs="宋体"/>
        </w:rPr>
      </w:pPr>
    </w:p>
    <w:p>
      <w:pPr>
        <w:spacing w:line="440" w:lineRule="exact"/>
        <w:jc w:val="center"/>
        <w:rPr>
          <w:rFonts w:ascii="宋体" w:hAnsi="宋体" w:cs="宋体"/>
          <w:sz w:val="28"/>
        </w:rPr>
      </w:pPr>
      <w:r>
        <w:rPr>
          <w:rFonts w:hint="eastAsia" w:ascii="宋体" w:hAnsi="宋体" w:cs="宋体"/>
          <w:sz w:val="28"/>
        </w:rPr>
        <w:t>问题澄清通知</w:t>
      </w:r>
    </w:p>
    <w:p>
      <w:pPr>
        <w:spacing w:line="440" w:lineRule="exact"/>
        <w:rPr>
          <w:rFonts w:ascii="宋体" w:hAnsi="宋体" w:cs="宋体"/>
        </w:rPr>
      </w:pPr>
      <w:r>
        <w:rPr>
          <w:rFonts w:hint="eastAsia" w:ascii="宋体" w:hAnsi="宋体" w:cs="宋体"/>
        </w:rPr>
        <w:t xml:space="preserve">                                编号：</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（投标人名称）：</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 （项目名称）招标的评标委员会，对你方的投标文件进行了仔细的审查，现需你方对下列问题以书面形式予以澄清：</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xml:space="preserve">    1.</w:t>
      </w:r>
    </w:p>
    <w:p>
      <w:pPr>
        <w:spacing w:line="440" w:lineRule="exact"/>
        <w:rPr>
          <w:rFonts w:ascii="宋体" w:hAnsi="宋体" w:cs="宋体"/>
        </w:rPr>
      </w:pPr>
      <w:r>
        <w:rPr>
          <w:rFonts w:hint="eastAsia" w:ascii="宋体" w:hAnsi="宋体" w:cs="宋体"/>
        </w:rPr>
        <w:t xml:space="preserve">    2.</w:t>
      </w:r>
    </w:p>
    <w:p>
      <w:pPr>
        <w:spacing w:line="440" w:lineRule="exact"/>
        <w:rPr>
          <w:rFonts w:ascii="宋体" w:hAnsi="宋体" w:cs="宋体"/>
        </w:rPr>
      </w:pPr>
      <w:r>
        <w:rPr>
          <w:rFonts w:hint="eastAsia" w:ascii="宋体" w:hAnsi="宋体" w:cs="宋体"/>
        </w:rPr>
        <w:t xml:space="preserve">     ......   </w:t>
      </w:r>
    </w:p>
    <w:p>
      <w:pPr>
        <w:spacing w:line="440" w:lineRule="exact"/>
        <w:rPr>
          <w:rFonts w:ascii="宋体" w:hAnsi="宋体" w:cs="宋体"/>
        </w:rPr>
      </w:pPr>
      <w:r>
        <w:rPr>
          <w:rFonts w:hint="eastAsia" w:ascii="宋体" w:hAnsi="宋体" w:cs="宋体"/>
        </w:rPr>
        <w:t>　　请将上述问题的澄清于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时前递交至</w:t>
      </w:r>
      <w:r>
        <w:rPr>
          <w:rFonts w:hint="eastAsia" w:ascii="宋体" w:hAnsi="宋体" w:cs="宋体"/>
          <w:u w:val="single"/>
        </w:rPr>
        <w:t xml:space="preserve">         </w:t>
      </w:r>
      <w:r>
        <w:rPr>
          <w:rFonts w:hint="eastAsia" w:ascii="宋体" w:hAnsi="宋体" w:cs="宋体"/>
        </w:rPr>
        <w:t>（详细地址）或传真至</w:t>
      </w:r>
      <w:r>
        <w:rPr>
          <w:rFonts w:hint="eastAsia" w:ascii="宋体" w:hAnsi="宋体" w:cs="宋体"/>
          <w:u w:val="single"/>
        </w:rPr>
        <w:t xml:space="preserve">         </w:t>
      </w:r>
      <w:r>
        <w:rPr>
          <w:rFonts w:hint="eastAsia" w:ascii="宋体" w:hAnsi="宋体" w:cs="宋体"/>
        </w:rPr>
        <w:t>（传真号码）。采用传真方式的，应在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时前将原件递交至</w:t>
      </w:r>
      <w:r>
        <w:rPr>
          <w:rFonts w:hint="eastAsia" w:ascii="宋体" w:hAnsi="宋体" w:cs="宋体"/>
          <w:u w:val="single"/>
        </w:rPr>
        <w:t xml:space="preserve">         </w:t>
      </w:r>
      <w:r>
        <w:rPr>
          <w:rFonts w:hint="eastAsia" w:ascii="宋体" w:hAnsi="宋体" w:cs="宋体"/>
        </w:rPr>
        <w:t>（详细地址）。</w:t>
      </w:r>
    </w:p>
    <w:p>
      <w:pPr>
        <w:spacing w:line="440" w:lineRule="exact"/>
        <w:rPr>
          <w:rFonts w:ascii="宋体" w:hAnsi="宋体" w:cs="宋体"/>
        </w:rPr>
      </w:pPr>
    </w:p>
    <w:p>
      <w:pPr>
        <w:spacing w:line="440" w:lineRule="exact"/>
        <w:rPr>
          <w:rFonts w:ascii="宋体" w:hAnsi="宋体" w:cs="宋体"/>
        </w:rPr>
      </w:pPr>
    </w:p>
    <w:p>
      <w:pPr>
        <w:spacing w:line="440" w:lineRule="exact"/>
        <w:jc w:val="right"/>
        <w:rPr>
          <w:rFonts w:ascii="宋体" w:hAnsi="宋体" w:cs="宋体"/>
        </w:rPr>
      </w:pPr>
      <w:r>
        <w:rPr>
          <w:rFonts w:hint="eastAsia" w:ascii="宋体" w:hAnsi="宋体" w:cs="宋体"/>
        </w:rPr>
        <w:t xml:space="preserve">                               评标工作组负责人：</w:t>
      </w:r>
      <w:r>
        <w:rPr>
          <w:rFonts w:hint="eastAsia" w:ascii="宋体" w:hAnsi="宋体" w:cs="宋体"/>
          <w:u w:val="single"/>
        </w:rPr>
        <w:t xml:space="preserve">           </w:t>
      </w:r>
      <w:r>
        <w:rPr>
          <w:rFonts w:hint="eastAsia" w:ascii="宋体" w:hAnsi="宋体" w:cs="宋体"/>
        </w:rPr>
        <w:t>（签字）</w:t>
      </w:r>
    </w:p>
    <w:p>
      <w:pPr>
        <w:spacing w:line="440" w:lineRule="exact"/>
        <w:jc w:val="righ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 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pStyle w:val="4"/>
        <w:pageBreakBefore/>
        <w:spacing w:line="400" w:lineRule="exact"/>
        <w:rPr>
          <w:rFonts w:ascii="宋体" w:hAnsi="宋体" w:cs="宋体"/>
        </w:rPr>
      </w:pPr>
      <w:bookmarkStart w:id="538" w:name="_Toc27663"/>
      <w:bookmarkStart w:id="539" w:name="_Toc18308"/>
      <w:bookmarkStart w:id="540" w:name="_Toc367957520"/>
      <w:bookmarkStart w:id="541" w:name="_Toc144974550"/>
      <w:bookmarkStart w:id="542" w:name="_Toc14397"/>
      <w:bookmarkStart w:id="543" w:name="_Toc9221"/>
      <w:bookmarkStart w:id="544" w:name="_Toc8192"/>
      <w:bookmarkStart w:id="545" w:name="_Toc12137"/>
      <w:bookmarkStart w:id="546" w:name="_Toc26695"/>
      <w:bookmarkStart w:id="547" w:name="_Toc12341"/>
      <w:bookmarkStart w:id="548" w:name="_Toc14381"/>
      <w:bookmarkStart w:id="549" w:name="_Toc6364"/>
      <w:bookmarkStart w:id="550" w:name="_Toc152042360"/>
      <w:bookmarkStart w:id="551" w:name="_Toc429577398"/>
      <w:bookmarkStart w:id="552" w:name="_Toc10042"/>
      <w:bookmarkStart w:id="553" w:name="_Toc11745"/>
      <w:bookmarkStart w:id="554" w:name="_Toc24452"/>
      <w:bookmarkStart w:id="555" w:name="_Toc152045583"/>
      <w:r>
        <w:rPr>
          <w:rFonts w:hint="eastAsia" w:ascii="宋体" w:hAnsi="宋体" w:cs="宋体"/>
        </w:rPr>
        <w:t>附表二：问题的澄清</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spacing w:line="400" w:lineRule="exact"/>
        <w:jc w:val="center"/>
        <w:rPr>
          <w:rFonts w:ascii="宋体" w:hAnsi="宋体" w:cs="宋体"/>
          <w:sz w:val="28"/>
        </w:rPr>
      </w:pPr>
    </w:p>
    <w:p>
      <w:pPr>
        <w:spacing w:line="400" w:lineRule="exact"/>
        <w:jc w:val="center"/>
        <w:rPr>
          <w:rFonts w:ascii="宋体" w:hAnsi="宋体" w:cs="宋体"/>
          <w:sz w:val="28"/>
        </w:rPr>
      </w:pPr>
      <w:r>
        <w:rPr>
          <w:rFonts w:hint="eastAsia" w:ascii="宋体" w:hAnsi="宋体" w:cs="宋体"/>
          <w:sz w:val="28"/>
        </w:rPr>
        <w:t>问题的澄清</w:t>
      </w:r>
    </w:p>
    <w:p>
      <w:pPr>
        <w:spacing w:line="400" w:lineRule="exact"/>
        <w:ind w:firstLine="3465" w:firstLineChars="1650"/>
        <w:rPr>
          <w:rFonts w:ascii="宋体" w:hAnsi="宋体" w:cs="宋体"/>
        </w:rPr>
      </w:pPr>
      <w:r>
        <w:rPr>
          <w:rFonts w:hint="eastAsia" w:ascii="宋体" w:hAnsi="宋体" w:cs="宋体"/>
        </w:rPr>
        <w:t xml:space="preserve">编号： </w:t>
      </w: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（项目名称）招标评标委员会：</w:t>
      </w:r>
    </w:p>
    <w:p>
      <w:pPr>
        <w:spacing w:line="440" w:lineRule="exact"/>
        <w:rPr>
          <w:rFonts w:ascii="宋体" w:hAnsi="宋体" w:cs="宋体"/>
        </w:rPr>
      </w:pPr>
      <w:r>
        <w:rPr>
          <w:rFonts w:hint="eastAsia" w:ascii="宋体" w:hAnsi="宋体" w:cs="宋体"/>
        </w:rPr>
        <w:t>　　问题澄清通知（编号：</w:t>
      </w:r>
      <w:r>
        <w:rPr>
          <w:rFonts w:hint="eastAsia" w:ascii="宋体" w:hAnsi="宋体" w:cs="宋体"/>
          <w:u w:val="single"/>
        </w:rPr>
        <w:t xml:space="preserve">        </w:t>
      </w:r>
      <w:r>
        <w:rPr>
          <w:rFonts w:hint="eastAsia" w:ascii="宋体" w:hAnsi="宋体" w:cs="宋体"/>
        </w:rPr>
        <w:t>）已收悉，现澄清如下：</w:t>
      </w:r>
    </w:p>
    <w:p>
      <w:pPr>
        <w:spacing w:line="440" w:lineRule="exact"/>
        <w:rPr>
          <w:rFonts w:ascii="宋体" w:hAnsi="宋体" w:cs="宋体"/>
        </w:rPr>
      </w:pPr>
      <w:r>
        <w:rPr>
          <w:rFonts w:hint="eastAsia" w:ascii="宋体" w:hAnsi="宋体" w:cs="宋体"/>
        </w:rPr>
        <w:t>　     1.</w:t>
      </w:r>
    </w:p>
    <w:p>
      <w:pPr>
        <w:spacing w:line="440" w:lineRule="exact"/>
        <w:rPr>
          <w:rFonts w:ascii="宋体" w:hAnsi="宋体" w:cs="宋体"/>
        </w:rPr>
      </w:pPr>
      <w:r>
        <w:rPr>
          <w:rFonts w:hint="eastAsia" w:ascii="宋体" w:hAnsi="宋体" w:cs="宋体"/>
        </w:rPr>
        <w:t>　     2.</w:t>
      </w:r>
    </w:p>
    <w:p>
      <w:pPr>
        <w:spacing w:line="440" w:lineRule="exact"/>
        <w:rPr>
          <w:rFonts w:ascii="宋体" w:hAnsi="宋体" w:cs="宋体"/>
        </w:rPr>
      </w:pPr>
      <w:r>
        <w:rPr>
          <w:rFonts w:hint="eastAsia" w:ascii="宋体" w:hAnsi="宋体" w:cs="宋体"/>
        </w:rPr>
        <w:t>　    .....</w:t>
      </w:r>
    </w:p>
    <w:p>
      <w:pPr>
        <w:spacing w:line="440" w:lineRule="exact"/>
        <w:jc w:val="right"/>
        <w:rPr>
          <w:rFonts w:ascii="宋体" w:hAnsi="宋体" w:cs="宋体"/>
        </w:rPr>
      </w:pPr>
      <w:r>
        <w:rPr>
          <w:rFonts w:hint="eastAsia" w:ascii="宋体" w:hAnsi="宋体" w:cs="宋体"/>
        </w:rPr>
        <w:t>　　　　　　　　　　　　　　　投标人：</w:t>
      </w:r>
      <w:r>
        <w:rPr>
          <w:rFonts w:hint="eastAsia" w:ascii="宋体" w:hAnsi="宋体" w:cs="宋体"/>
          <w:u w:val="single"/>
        </w:rPr>
        <w:t xml:space="preserve">                        </w:t>
      </w:r>
      <w:r>
        <w:rPr>
          <w:rFonts w:hint="eastAsia" w:ascii="宋体" w:hAnsi="宋体" w:cs="宋体"/>
        </w:rPr>
        <w:t>（单位全称）</w:t>
      </w:r>
    </w:p>
    <w:p>
      <w:pPr>
        <w:spacing w:line="440" w:lineRule="exact"/>
        <w:jc w:val="right"/>
        <w:rPr>
          <w:rFonts w:ascii="宋体" w:hAnsi="宋体" w:cs="宋体"/>
        </w:rPr>
      </w:pPr>
      <w:r>
        <w:rPr>
          <w:rFonts w:hint="eastAsia" w:ascii="宋体" w:hAnsi="宋体" w:cs="宋体"/>
        </w:rPr>
        <w:t>　　　　　　　　　　　　　　　法定代表人或其委托代理人：</w:t>
      </w:r>
      <w:r>
        <w:rPr>
          <w:rFonts w:hint="eastAsia" w:ascii="宋体" w:hAnsi="宋体" w:cs="宋体"/>
          <w:u w:val="single"/>
        </w:rPr>
        <w:t xml:space="preserve">          </w:t>
      </w:r>
      <w:r>
        <w:rPr>
          <w:rFonts w:hint="eastAsia" w:ascii="宋体" w:hAnsi="宋体" w:cs="宋体"/>
        </w:rPr>
        <w:t>（签字）</w:t>
      </w:r>
    </w:p>
    <w:p>
      <w:pPr>
        <w:spacing w:line="440" w:lineRule="exact"/>
        <w:jc w:val="righ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00" w:lineRule="exact"/>
        <w:rPr>
          <w:rFonts w:ascii="宋体" w:hAnsi="宋体" w:cs="宋体"/>
        </w:rPr>
      </w:pPr>
    </w:p>
    <w:p>
      <w:pPr>
        <w:pStyle w:val="2"/>
        <w:pageBreakBefore/>
        <w:jc w:val="center"/>
        <w:rPr>
          <w:rFonts w:ascii="宋体" w:hAnsi="宋体" w:cs="宋体"/>
        </w:rPr>
      </w:pPr>
      <w:bookmarkStart w:id="556" w:name="_Toc247527623"/>
      <w:bookmarkStart w:id="557" w:name="_Toc152045598"/>
      <w:bookmarkStart w:id="558" w:name="_Toc152042375"/>
      <w:bookmarkStart w:id="559" w:name="_Toc13551"/>
      <w:bookmarkStart w:id="560" w:name="_Toc14882"/>
      <w:bookmarkStart w:id="561" w:name="_Toc1342"/>
      <w:bookmarkStart w:id="562" w:name="_Toc4757"/>
      <w:bookmarkStart w:id="563" w:name="_Toc247514022"/>
      <w:bookmarkStart w:id="564" w:name="_Toc144974565"/>
      <w:bookmarkStart w:id="565" w:name="_Toc24114"/>
      <w:bookmarkStart w:id="566" w:name="_Toc152042387"/>
      <w:bookmarkStart w:id="567" w:name="_Toc247514033"/>
      <w:bookmarkStart w:id="568" w:name="_Toc144974577"/>
      <w:bookmarkStart w:id="569" w:name="_Toc247527634"/>
      <w:bookmarkStart w:id="570" w:name="_Toc152045609"/>
      <w:r>
        <w:rPr>
          <w:rFonts w:hint="eastAsia" w:ascii="宋体" w:hAnsi="宋体" w:cs="宋体"/>
        </w:rPr>
        <w:t>第三章 评标办法（综合评估法）</w:t>
      </w:r>
      <w:bookmarkEnd w:id="556"/>
      <w:bookmarkEnd w:id="557"/>
      <w:bookmarkEnd w:id="558"/>
      <w:bookmarkEnd w:id="559"/>
      <w:bookmarkEnd w:id="560"/>
      <w:bookmarkEnd w:id="561"/>
      <w:bookmarkEnd w:id="562"/>
      <w:bookmarkEnd w:id="563"/>
      <w:bookmarkEnd w:id="564"/>
      <w:bookmarkEnd w:id="565"/>
      <w:bookmarkStart w:id="571" w:name="_Toc152045599"/>
      <w:bookmarkStart w:id="572" w:name="_Toc144974566"/>
      <w:bookmarkStart w:id="573" w:name="_Toc247514023"/>
      <w:bookmarkStart w:id="574" w:name="_Toc247527624"/>
      <w:bookmarkStart w:id="575" w:name="_Toc152042376"/>
    </w:p>
    <w:p>
      <w:pPr>
        <w:pStyle w:val="3"/>
        <w:spacing w:before="0" w:after="0" w:line="360" w:lineRule="auto"/>
        <w:jc w:val="center"/>
        <w:rPr>
          <w:rFonts w:ascii="宋体" w:hAnsi="宋体" w:cs="宋体"/>
        </w:rPr>
      </w:pPr>
      <w:bookmarkStart w:id="576" w:name="_Toc6301"/>
      <w:bookmarkStart w:id="577" w:name="_Toc17153"/>
      <w:bookmarkStart w:id="578" w:name="_Toc23601"/>
      <w:bookmarkStart w:id="579" w:name="_Toc2198"/>
      <w:bookmarkStart w:id="580" w:name="_Toc16049"/>
      <w:r>
        <w:rPr>
          <w:rFonts w:hint="eastAsia" w:ascii="宋体" w:hAnsi="宋体" w:eastAsia="宋体" w:cs="宋体"/>
        </w:rPr>
        <w:t>评标办法前附表</w:t>
      </w:r>
      <w:bookmarkEnd w:id="571"/>
      <w:bookmarkEnd w:id="572"/>
      <w:bookmarkEnd w:id="573"/>
      <w:bookmarkEnd w:id="574"/>
      <w:bookmarkEnd w:id="575"/>
      <w:bookmarkEnd w:id="576"/>
      <w:bookmarkEnd w:id="577"/>
      <w:bookmarkEnd w:id="578"/>
      <w:bookmarkEnd w:id="579"/>
      <w:bookmarkEnd w:id="580"/>
    </w:p>
    <w:tbl>
      <w:tblPr>
        <w:tblStyle w:val="26"/>
        <w:tblW w:w="8474"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5"/>
        <w:gridCol w:w="8"/>
        <w:gridCol w:w="697"/>
        <w:gridCol w:w="2027"/>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99" w:type="dxa"/>
            <w:gridSpan w:val="4"/>
            <w:vAlign w:val="center"/>
          </w:tcPr>
          <w:p>
            <w:pPr>
              <w:jc w:val="center"/>
              <w:rPr>
                <w:rFonts w:ascii="宋体" w:hAnsi="宋体" w:cs="宋体"/>
                <w:b/>
              </w:rPr>
            </w:pPr>
            <w:r>
              <w:rPr>
                <w:rFonts w:hint="eastAsia" w:ascii="宋体" w:hAnsi="宋体" w:cs="宋体"/>
                <w:b/>
              </w:rPr>
              <w:t>条款号</w:t>
            </w:r>
          </w:p>
        </w:tc>
        <w:tc>
          <w:tcPr>
            <w:tcW w:w="2027" w:type="dxa"/>
            <w:vAlign w:val="center"/>
          </w:tcPr>
          <w:p>
            <w:pPr>
              <w:jc w:val="center"/>
              <w:rPr>
                <w:rFonts w:ascii="宋体" w:hAnsi="宋体" w:cs="宋体"/>
                <w:b/>
              </w:rPr>
            </w:pPr>
            <w:r>
              <w:rPr>
                <w:rFonts w:hint="eastAsia" w:ascii="宋体" w:hAnsi="宋体" w:cs="宋体"/>
                <w:b/>
              </w:rPr>
              <w:t>评审因素</w:t>
            </w:r>
          </w:p>
        </w:tc>
        <w:tc>
          <w:tcPr>
            <w:tcW w:w="4748" w:type="dxa"/>
            <w:vAlign w:val="center"/>
          </w:tcPr>
          <w:p>
            <w:pPr>
              <w:jc w:val="center"/>
              <w:rPr>
                <w:rFonts w:ascii="宋体" w:hAnsi="宋体" w:cs="宋体"/>
                <w:b/>
              </w:rPr>
            </w:pPr>
            <w:r>
              <w:rPr>
                <w:rFonts w:hint="eastAsia" w:ascii="宋体" w:hAnsi="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restart"/>
            <w:vAlign w:val="center"/>
          </w:tcPr>
          <w:p>
            <w:pPr>
              <w:jc w:val="center"/>
              <w:rPr>
                <w:rFonts w:ascii="宋体" w:hAnsi="宋体" w:cs="宋体"/>
              </w:rPr>
            </w:pPr>
            <w:r>
              <w:rPr>
                <w:rFonts w:hint="eastAsia" w:ascii="宋体" w:hAnsi="宋体" w:cs="宋体"/>
              </w:rPr>
              <w:t>2.1.1</w:t>
            </w:r>
          </w:p>
        </w:tc>
        <w:tc>
          <w:tcPr>
            <w:tcW w:w="697" w:type="dxa"/>
            <w:vMerge w:val="restart"/>
            <w:vAlign w:val="center"/>
          </w:tcPr>
          <w:p>
            <w:pPr>
              <w:ind w:left="-840" w:leftChars="-400" w:firstLine="840" w:firstLineChars="400"/>
              <w:jc w:val="center"/>
              <w:rPr>
                <w:rFonts w:ascii="宋体" w:hAnsi="宋体" w:cs="宋体"/>
              </w:rPr>
            </w:pPr>
            <w:r>
              <w:rPr>
                <w:rFonts w:hint="eastAsia" w:ascii="宋体" w:hAnsi="宋体" w:cs="宋体"/>
              </w:rPr>
              <w:t>形式</w:t>
            </w:r>
          </w:p>
          <w:p>
            <w:pPr>
              <w:jc w:val="center"/>
              <w:rPr>
                <w:rFonts w:ascii="宋体" w:hAnsi="宋体" w:cs="宋体"/>
              </w:rPr>
            </w:pPr>
            <w:r>
              <w:rPr>
                <w:rFonts w:hint="eastAsia" w:ascii="宋体" w:hAnsi="宋体" w:cs="宋体"/>
              </w:rPr>
              <w:t>评审</w:t>
            </w:r>
          </w:p>
          <w:p>
            <w:pPr>
              <w:jc w:val="center"/>
              <w:rPr>
                <w:rFonts w:ascii="宋体" w:hAnsi="宋体" w:cs="宋体"/>
              </w:rPr>
            </w:pPr>
            <w:r>
              <w:rPr>
                <w:rFonts w:hint="eastAsia" w:ascii="宋体" w:hAnsi="宋体" w:cs="宋体"/>
              </w:rPr>
              <w:t>标准</w:t>
            </w:r>
          </w:p>
        </w:tc>
        <w:tc>
          <w:tcPr>
            <w:tcW w:w="2027" w:type="dxa"/>
            <w:vAlign w:val="center"/>
          </w:tcPr>
          <w:p>
            <w:pPr>
              <w:jc w:val="center"/>
              <w:rPr>
                <w:rFonts w:ascii="宋体" w:hAnsi="宋体" w:cs="宋体"/>
              </w:rPr>
            </w:pPr>
            <w:r>
              <w:rPr>
                <w:rFonts w:hint="eastAsia" w:ascii="宋体" w:hAnsi="宋体" w:cs="宋体"/>
              </w:rPr>
              <w:t>投标人名称</w:t>
            </w:r>
          </w:p>
        </w:tc>
        <w:tc>
          <w:tcPr>
            <w:tcW w:w="4748" w:type="dxa"/>
            <w:vAlign w:val="center"/>
          </w:tcPr>
          <w:p>
            <w:pPr>
              <w:rPr>
                <w:rFonts w:ascii="宋体" w:hAnsi="宋体" w:cs="宋体"/>
              </w:rPr>
            </w:pPr>
            <w:r>
              <w:rPr>
                <w:rFonts w:hint="eastAsia" w:ascii="宋体" w:hAnsi="宋体" w:cs="宋体"/>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rPr>
            </w:pPr>
          </w:p>
        </w:tc>
        <w:tc>
          <w:tcPr>
            <w:tcW w:w="697" w:type="dxa"/>
            <w:vMerge w:val="continue"/>
            <w:vAlign w:val="center"/>
          </w:tcPr>
          <w:p>
            <w:pPr>
              <w:jc w:val="center"/>
              <w:rPr>
                <w:rFonts w:ascii="宋体" w:hAnsi="宋体" w:cs="宋体"/>
              </w:rPr>
            </w:pPr>
          </w:p>
        </w:tc>
        <w:tc>
          <w:tcPr>
            <w:tcW w:w="2027" w:type="dxa"/>
            <w:vAlign w:val="center"/>
          </w:tcPr>
          <w:p>
            <w:pPr>
              <w:jc w:val="center"/>
              <w:rPr>
                <w:rFonts w:ascii="宋体" w:hAnsi="宋体" w:cs="宋体"/>
              </w:rPr>
            </w:pPr>
            <w:r>
              <w:rPr>
                <w:rFonts w:hint="eastAsia" w:ascii="宋体" w:hAnsi="宋体" w:cs="宋体"/>
              </w:rPr>
              <w:t>投标文件签字盖章</w:t>
            </w:r>
          </w:p>
        </w:tc>
        <w:tc>
          <w:tcPr>
            <w:tcW w:w="4748" w:type="dxa"/>
            <w:vAlign w:val="center"/>
          </w:tcPr>
          <w:p>
            <w:pPr>
              <w:rPr>
                <w:rFonts w:ascii="宋体" w:hAnsi="宋体" w:cs="宋体"/>
              </w:rPr>
            </w:pPr>
            <w:r>
              <w:rPr>
                <w:rFonts w:hint="eastAsia" w:ascii="宋体" w:hAnsi="宋体" w:cs="宋体"/>
              </w:rPr>
              <w:t>符合第二章“投标人须知”要求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投标文件格式</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报价唯一</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w:t>
            </w:r>
          </w:p>
        </w:tc>
        <w:tc>
          <w:tcPr>
            <w:tcW w:w="697" w:type="dxa"/>
            <w:vMerge w:val="restart"/>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标准</w:t>
            </w: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w:t>
            </w:r>
          </w:p>
        </w:tc>
        <w:tc>
          <w:tcPr>
            <w:tcW w:w="4748" w:type="dxa"/>
            <w:vAlign w:val="center"/>
          </w:tcPr>
          <w:p>
            <w:pP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资质等级</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项目总监</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信誉要求</w:t>
            </w:r>
          </w:p>
        </w:tc>
        <w:tc>
          <w:tcPr>
            <w:tcW w:w="4748" w:type="dxa"/>
            <w:vAlign w:val="center"/>
          </w:tcPr>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adjustRightInd w:val="0"/>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财务状况</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adjustRightInd w:val="0"/>
              <w:jc w:val="center"/>
              <w:textAlignment w:val="baseline"/>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14:textFill>
                  <w14:solidFill>
                    <w14:schemeClr w14:val="tx1"/>
                  </w14:solidFill>
                </w14:textFill>
              </w:rPr>
              <w:t>业绩要求</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其他要求</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02" w:type="dxa"/>
            <w:gridSpan w:val="3"/>
            <w:vMerge w:val="restart"/>
            <w:vAlign w:val="center"/>
          </w:tcPr>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w:t>
            </w:r>
          </w:p>
        </w:tc>
        <w:tc>
          <w:tcPr>
            <w:tcW w:w="697" w:type="dxa"/>
            <w:vMerge w:val="restart"/>
            <w:vAlign w:val="center"/>
          </w:tcPr>
          <w:p>
            <w:pPr>
              <w:jc w:val="cente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响应性评审</w:t>
            </w:r>
          </w:p>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标准</w:t>
            </w: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招标范围</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监理服务期限</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质量要求</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投标有效期</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符合第二章“投标人须知”第3.4.1款规定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2" w:type="dxa"/>
            <w:gridSpan w:val="3"/>
            <w:vMerge w:val="continue"/>
            <w:vAlign w:val="center"/>
          </w:tcPr>
          <w:p>
            <w:pPr>
              <w:jc w:val="center"/>
              <w:rPr>
                <w:rFonts w:ascii="宋体" w:hAnsi="宋体" w:cs="宋体"/>
                <w:color w:val="000000" w:themeColor="text1"/>
                <w14:textFill>
                  <w14:solidFill>
                    <w14:schemeClr w14:val="tx1"/>
                  </w14:solidFill>
                </w14:textFill>
              </w:rPr>
            </w:pPr>
          </w:p>
        </w:tc>
        <w:tc>
          <w:tcPr>
            <w:tcW w:w="697" w:type="dxa"/>
            <w:vMerge w:val="continue"/>
            <w:vAlign w:val="center"/>
          </w:tcPr>
          <w:p>
            <w:pPr>
              <w:jc w:val="center"/>
              <w:rPr>
                <w:rFonts w:ascii="宋体" w:hAnsi="宋体" w:cs="宋体"/>
                <w:color w:val="000000" w:themeColor="text1"/>
                <w14:textFill>
                  <w14:solidFill>
                    <w14:schemeClr w14:val="tx1"/>
                  </w14:solidFill>
                </w14:textFill>
              </w:rPr>
            </w:pPr>
          </w:p>
        </w:tc>
        <w:tc>
          <w:tcPr>
            <w:tcW w:w="2027"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其他要求</w:t>
            </w:r>
          </w:p>
        </w:tc>
        <w:tc>
          <w:tcPr>
            <w:tcW w:w="4748" w:type="dxa"/>
            <w:vAlign w:val="center"/>
          </w:tcPr>
          <w:p>
            <w:pPr>
              <w:rPr>
                <w:rFonts w:ascii="宋体" w:hAnsi="宋体" w:cs="宋体"/>
                <w:color w:val="000000" w:themeColor="text1"/>
                <w14:textFill>
                  <w14:solidFill>
                    <w14:schemeClr w14:val="tx1"/>
                  </w14:solidFill>
                </w14:textFill>
              </w:rPr>
            </w:pPr>
            <w:r>
              <w:rPr>
                <w:rFonts w:hint="eastAsia" w:ascii="宋体" w:hAnsi="宋体" w:cs="宋体"/>
                <w:szCs w:val="21"/>
              </w:rPr>
              <w:t>招标文件中其他要求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9" w:type="dxa"/>
            <w:gridSpan w:val="4"/>
            <w:vAlign w:val="center"/>
          </w:tcPr>
          <w:p>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条款号</w:t>
            </w:r>
          </w:p>
        </w:tc>
        <w:tc>
          <w:tcPr>
            <w:tcW w:w="2027" w:type="dxa"/>
            <w:vAlign w:val="center"/>
          </w:tcPr>
          <w:p>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条款内容</w:t>
            </w:r>
          </w:p>
        </w:tc>
        <w:tc>
          <w:tcPr>
            <w:tcW w:w="4748" w:type="dxa"/>
            <w:vAlign w:val="center"/>
          </w:tcPr>
          <w:p>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9" w:type="dxa"/>
            <w:gridSpan w:val="4"/>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2.2.1</w:t>
            </w:r>
          </w:p>
        </w:tc>
        <w:tc>
          <w:tcPr>
            <w:tcW w:w="202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分值构成</w:t>
            </w:r>
          </w:p>
          <w:p>
            <w:pPr>
              <w:jc w:val="center"/>
              <w:rPr>
                <w:color w:val="000000" w:themeColor="text1"/>
                <w14:textFill>
                  <w14:solidFill>
                    <w14:schemeClr w14:val="tx1"/>
                  </w14:solidFill>
                </w14:textFill>
              </w:rPr>
            </w:pPr>
            <w:r>
              <w:rPr>
                <w:color w:val="000000" w:themeColor="text1"/>
                <w14:textFill>
                  <w14:solidFill>
                    <w14:schemeClr w14:val="tx1"/>
                  </w14:solidFill>
                </w14:textFill>
              </w:rPr>
              <w:t>(总分100分)</w:t>
            </w:r>
          </w:p>
        </w:tc>
        <w:tc>
          <w:tcPr>
            <w:tcW w:w="4748"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投标报价：</w:t>
            </w:r>
            <w:r>
              <w:rPr>
                <w:color w:val="000000" w:themeColor="text1"/>
                <w:u w:val="single"/>
                <w14:textFill>
                  <w14:solidFill>
                    <w14:schemeClr w14:val="tx1"/>
                  </w14:solidFill>
                </w14:textFill>
              </w:rPr>
              <w:t>30</w:t>
            </w:r>
            <w:r>
              <w:rPr>
                <w:color w:val="000000" w:themeColor="text1"/>
                <w14:textFill>
                  <w14:solidFill>
                    <w14:schemeClr w14:val="tx1"/>
                  </w14:solidFill>
                </w14:textFill>
              </w:rPr>
              <w:t>分</w:t>
            </w:r>
          </w:p>
          <w:p>
            <w:pPr>
              <w:rPr>
                <w:color w:val="000000" w:themeColor="text1"/>
                <w14:textFill>
                  <w14:solidFill>
                    <w14:schemeClr w14:val="tx1"/>
                  </w14:solidFill>
                </w14:textFill>
              </w:rPr>
            </w:pPr>
            <w:r>
              <w:rPr>
                <w:color w:val="000000" w:themeColor="text1"/>
                <w14:textFill>
                  <w14:solidFill>
                    <w14:schemeClr w14:val="tx1"/>
                  </w14:solidFill>
                </w14:textFill>
              </w:rPr>
              <w:t>监理大纲部分：</w:t>
            </w:r>
            <w:r>
              <w:rPr>
                <w:rFonts w:hint="eastAsia"/>
                <w:color w:val="000000" w:themeColor="text1"/>
                <w:u w:val="single"/>
                <w14:textFill>
                  <w14:solidFill>
                    <w14:schemeClr w14:val="tx1"/>
                  </w14:solidFill>
                </w14:textFill>
              </w:rPr>
              <w:t>45</w:t>
            </w:r>
            <w:r>
              <w:rPr>
                <w:color w:val="000000" w:themeColor="text1"/>
                <w14:textFill>
                  <w14:solidFill>
                    <w14:schemeClr w14:val="tx1"/>
                  </w14:solidFill>
                </w14:textFill>
              </w:rPr>
              <w:t>分</w:t>
            </w:r>
          </w:p>
          <w:p>
            <w:pPr>
              <w:rPr>
                <w:color w:val="000000" w:themeColor="text1"/>
                <w14:textFill>
                  <w14:solidFill>
                    <w14:schemeClr w14:val="tx1"/>
                  </w14:solidFill>
                </w14:textFill>
              </w:rPr>
            </w:pPr>
            <w:r>
              <w:rPr>
                <w:color w:val="000000" w:themeColor="text1"/>
                <w14:textFill>
                  <w14:solidFill>
                    <w14:schemeClr w14:val="tx1"/>
                  </w14:solidFill>
                </w14:textFill>
              </w:rPr>
              <w:t>综合部分：</w:t>
            </w:r>
            <w:r>
              <w:rPr>
                <w:rFonts w:hint="eastAsia"/>
                <w:color w:val="000000" w:themeColor="text1"/>
                <w:u w:val="single"/>
                <w14:textFill>
                  <w14:solidFill>
                    <w14:schemeClr w14:val="tx1"/>
                  </w14:solidFill>
                </w14:textFill>
              </w:rPr>
              <w:t>25</w:t>
            </w:r>
            <w:r>
              <w:rPr>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99" w:type="dxa"/>
            <w:gridSpan w:val="4"/>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2.2.2</w:t>
            </w:r>
          </w:p>
        </w:tc>
        <w:tc>
          <w:tcPr>
            <w:tcW w:w="2027"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评标基准价计算方法</w:t>
            </w:r>
          </w:p>
        </w:tc>
        <w:tc>
          <w:tcPr>
            <w:tcW w:w="4748" w:type="dxa"/>
            <w:vAlign w:val="center"/>
          </w:tcPr>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评标基准价＝招标控制价×50%+参与计算的报价的算术平均值×50%（有效投标人为5家及以上时，去掉一个最高和一个最低投标报价，求其他投标报价的算术平均值；当有效投标人少于5家时，则按所有有效投标报价的算术平均值）。</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参与计算的投标报价是指通过初步评审的投标人投标报价在招标控制价的95%（含95%）—100%（含100%）之间的报价，投标人报价不在招标控制价95%（含95%）—100%（含100%）之间的不参与评标基准价的计算，但是参与报价得分的计算；所有单位投标报价均不在95%（含95%）—100%（含100%）之间的，评标基准价=招标控制价*0.95</w:t>
            </w:r>
          </w:p>
          <w:p>
            <w:pPr>
              <w:widowControl/>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备注：保留小数点后两位，第三位四舍五入。</w:t>
            </w:r>
            <w:r>
              <w:rPr>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99" w:type="dxa"/>
            <w:gridSpan w:val="4"/>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2.2.3</w:t>
            </w:r>
          </w:p>
        </w:tc>
        <w:tc>
          <w:tcPr>
            <w:tcW w:w="2027"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投标报价的偏差率计算公式</w:t>
            </w:r>
          </w:p>
        </w:tc>
        <w:tc>
          <w:tcPr>
            <w:tcW w:w="4748" w:type="dxa"/>
            <w:vAlign w:val="center"/>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偏差率=100%×（投标报价－评标基准值）/评标基准值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99" w:type="dxa"/>
            <w:gridSpan w:val="4"/>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027"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评分因素</w:t>
            </w:r>
          </w:p>
        </w:tc>
        <w:tc>
          <w:tcPr>
            <w:tcW w:w="4748" w:type="dxa"/>
            <w:vAlign w:val="center"/>
          </w:tcPr>
          <w:p>
            <w:pPr>
              <w:jc w:val="center"/>
              <w:rPr>
                <w:b/>
                <w:color w:val="000000" w:themeColor="text1"/>
                <w14:textFill>
                  <w14:solidFill>
                    <w14:schemeClr w14:val="tx1"/>
                  </w14:solidFill>
                </w14:textFill>
              </w:rPr>
            </w:pPr>
            <w:r>
              <w:rPr>
                <w:b/>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89"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2.2.3</w:t>
            </w:r>
          </w:p>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0"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投标报价评分标准（30分）</w:t>
            </w:r>
          </w:p>
        </w:tc>
        <w:tc>
          <w:tcPr>
            <w:tcW w:w="2027" w:type="dxa"/>
            <w:vAlign w:val="center"/>
          </w:tcPr>
          <w:p>
            <w:pPr>
              <w:pStyle w:val="44"/>
              <w:jc w:val="center"/>
              <w:rPr>
                <w:rFonts w:ascii="Times New Roman"/>
                <w:color w:val="000000" w:themeColor="text1"/>
                <w:kern w:val="2"/>
                <w:sz w:val="21"/>
                <w14:textFill>
                  <w14:solidFill>
                    <w14:schemeClr w14:val="tx1"/>
                  </w14:solidFill>
                </w14:textFill>
              </w:rPr>
            </w:pPr>
            <w:r>
              <w:rPr>
                <w:rFonts w:ascii="Times New Roman"/>
                <w:color w:val="000000" w:themeColor="text1"/>
                <w:kern w:val="2"/>
                <w:sz w:val="21"/>
                <w14:textFill>
                  <w14:solidFill>
                    <w14:schemeClr w14:val="tx1"/>
                  </w14:solidFill>
                </w14:textFill>
              </w:rPr>
              <w:t>投标报价</w:t>
            </w:r>
          </w:p>
        </w:tc>
        <w:tc>
          <w:tcPr>
            <w:tcW w:w="4748" w:type="dxa"/>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投标报价与评标基准价相等得基本分25分。 </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当投标报价低于评标基准价时，每低 1%在基本分 25 分的基础上加 1 分， 最多加5分。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当投标报价高于评标基准价时，每高 1%在基本分 25 分的基础上扣 1 分，</w:t>
            </w:r>
            <w:r>
              <w:rPr>
                <w:rFonts w:hint="eastAsia"/>
                <w:color w:val="000000" w:themeColor="text1"/>
                <w:lang w:eastAsia="zh-CN"/>
                <w14:textFill>
                  <w14:solidFill>
                    <w14:schemeClr w14:val="tx1"/>
                  </w14:solidFill>
                </w14:textFill>
              </w:rPr>
              <w:t>扣完为止。</w:t>
            </w:r>
            <w:r>
              <w:rPr>
                <w:rFonts w:hint="eastAsia"/>
                <w:color w:val="000000" w:themeColor="text1"/>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（偏差率不足 1%的，按比例计算）。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94" w:type="dxa"/>
            <w:gridSpan w:val="2"/>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2.2.3</w:t>
            </w:r>
          </w:p>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05" w:type="dxa"/>
            <w:gridSpan w:val="2"/>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监理大纲</w:t>
            </w:r>
          </w:p>
          <w:p>
            <w:pPr>
              <w:jc w:val="center"/>
              <w:rPr>
                <w:color w:val="000000" w:themeColor="text1"/>
                <w14:textFill>
                  <w14:solidFill>
                    <w14:schemeClr w14:val="tx1"/>
                  </w14:solidFill>
                </w14:textFill>
              </w:rPr>
            </w:pPr>
            <w:r>
              <w:rPr>
                <w:color w:val="000000" w:themeColor="text1"/>
                <w14:textFill>
                  <w14:solidFill>
                    <w14:schemeClr w14:val="tx1"/>
                  </w14:solidFill>
                </w14:textFill>
              </w:rPr>
              <w:t>评分标准（</w:t>
            </w:r>
            <w:r>
              <w:rPr>
                <w:rFonts w:hint="eastAsia"/>
                <w:color w:val="000000" w:themeColor="text1"/>
                <w14:textFill>
                  <w14:solidFill>
                    <w14:schemeClr w14:val="tx1"/>
                  </w14:solidFill>
                </w14:textFill>
              </w:rPr>
              <w:t>45</w:t>
            </w:r>
            <w:r>
              <w:rPr>
                <w:color w:val="000000" w:themeColor="text1"/>
                <w14:textFill>
                  <w14:solidFill>
                    <w14:schemeClr w14:val="tx1"/>
                  </w14:solidFill>
                </w14:textFill>
              </w:rPr>
              <w:t>分）</w:t>
            </w:r>
          </w:p>
        </w:tc>
        <w:tc>
          <w:tcPr>
            <w:tcW w:w="2027" w:type="dxa"/>
            <w:vAlign w:val="center"/>
          </w:tcPr>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1、组织机构（4分）</w:t>
            </w:r>
          </w:p>
        </w:tc>
        <w:tc>
          <w:tcPr>
            <w:tcW w:w="4748" w:type="dxa"/>
            <w:vAlign w:val="center"/>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（1）有现场监理组织机构图得</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分；机构设置中考虑</w:t>
            </w:r>
            <w:r>
              <w:fldChar w:fldCharType="begin"/>
            </w:r>
            <w:r>
              <w:instrText xml:space="preserve"> HYPERLINK \l "_Toc165165629" </w:instrText>
            </w:r>
            <w:r>
              <w:fldChar w:fldCharType="separate"/>
            </w:r>
            <w:r>
              <w:rPr>
                <w:color w:val="000000" w:themeColor="text1"/>
                <w14:textFill>
                  <w14:solidFill>
                    <w14:schemeClr w14:val="tx1"/>
                  </w14:solidFill>
                </w14:textFill>
              </w:rPr>
              <w:t>公司对现场监理机构监督管理</w:t>
            </w:r>
            <w:r>
              <w:rPr>
                <w:color w:val="000000" w:themeColor="text1"/>
                <w14:textFill>
                  <w14:solidFill>
                    <w14:schemeClr w14:val="tx1"/>
                  </w14:solidFill>
                </w14:textFill>
              </w:rPr>
              <w:fldChar w:fldCharType="end"/>
            </w:r>
            <w:r>
              <w:rPr>
                <w:color w:val="000000" w:themeColor="text1"/>
                <w14:textFill>
                  <w14:solidFill>
                    <w14:schemeClr w14:val="tx1"/>
                  </w14:solidFill>
                </w14:textFill>
              </w:rPr>
              <w:t>的得</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分，此项最多得</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（2）有明确的各级监理人员（包括总监、专业监理工程师、</w:t>
            </w:r>
            <w:r>
              <w:rPr>
                <w:rFonts w:hint="eastAsia"/>
                <w:color w:val="000000" w:themeColor="text1"/>
                <w14:textFill>
                  <w14:solidFill>
                    <w14:schemeClr w14:val="tx1"/>
                  </w14:solidFill>
                </w14:textFill>
              </w:rPr>
              <w:t>监理员、资料员、见证员</w:t>
            </w:r>
            <w:r>
              <w:rPr>
                <w:color w:val="000000" w:themeColor="text1"/>
                <w14:textFill>
                  <w14:solidFill>
                    <w14:schemeClr w14:val="tx1"/>
                  </w14:solidFill>
                </w14:textFill>
              </w:rPr>
              <w:t>）岗位职责，得</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分，缺一个岗位职责扣0.5分，此项扣完为止。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994" w:type="dxa"/>
            <w:gridSpan w:val="2"/>
            <w:vMerge w:val="continue"/>
            <w:vAlign w:val="center"/>
          </w:tcPr>
          <w:p>
            <w:pPr>
              <w:jc w:val="center"/>
              <w:rPr>
                <w:color w:val="000000" w:themeColor="text1"/>
                <w14:textFill>
                  <w14:solidFill>
                    <w14:schemeClr w14:val="tx1"/>
                  </w14:solidFill>
                </w14:textFill>
              </w:rPr>
            </w:pPr>
          </w:p>
        </w:tc>
        <w:tc>
          <w:tcPr>
            <w:tcW w:w="705" w:type="dxa"/>
            <w:gridSpan w:val="2"/>
            <w:vMerge w:val="continue"/>
            <w:vAlign w:val="center"/>
          </w:tcPr>
          <w:p>
            <w:pPr>
              <w:jc w:val="center"/>
              <w:rPr>
                <w:color w:val="000000" w:themeColor="text1"/>
                <w14:textFill>
                  <w14:solidFill>
                    <w14:schemeClr w14:val="tx1"/>
                  </w14:solidFill>
                </w14:textFill>
              </w:rPr>
            </w:pPr>
          </w:p>
        </w:tc>
        <w:tc>
          <w:tcPr>
            <w:tcW w:w="2027" w:type="dxa"/>
            <w:vAlign w:val="center"/>
          </w:tcPr>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2、旁站监理措施（4分）</w:t>
            </w:r>
          </w:p>
        </w:tc>
        <w:tc>
          <w:tcPr>
            <w:tcW w:w="4748" w:type="dxa"/>
            <w:vAlign w:val="center"/>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（1）设置工程旁站监理部位（过程）得0～2分；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旁站监理程序和措施、有旁站监理人员职责的得0～2分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4" w:type="dxa"/>
            <w:gridSpan w:val="2"/>
            <w:vMerge w:val="continue"/>
            <w:vAlign w:val="center"/>
          </w:tcPr>
          <w:p>
            <w:pPr>
              <w:jc w:val="center"/>
              <w:rPr>
                <w:color w:val="000000" w:themeColor="text1"/>
                <w14:textFill>
                  <w14:solidFill>
                    <w14:schemeClr w14:val="tx1"/>
                  </w14:solidFill>
                </w14:textFill>
              </w:rPr>
            </w:pPr>
          </w:p>
        </w:tc>
        <w:tc>
          <w:tcPr>
            <w:tcW w:w="705" w:type="dxa"/>
            <w:gridSpan w:val="2"/>
            <w:vMerge w:val="continue"/>
            <w:vAlign w:val="center"/>
          </w:tcPr>
          <w:p>
            <w:pPr>
              <w:jc w:val="center"/>
              <w:rPr>
                <w:color w:val="000000" w:themeColor="text1"/>
                <w14:textFill>
                  <w14:solidFill>
                    <w14:schemeClr w14:val="tx1"/>
                  </w14:solidFill>
                </w14:textFill>
              </w:rPr>
            </w:pPr>
          </w:p>
        </w:tc>
        <w:tc>
          <w:tcPr>
            <w:tcW w:w="2027" w:type="dxa"/>
            <w:vAlign w:val="center"/>
          </w:tcPr>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3、质量控制的措施和方法（</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分）</w:t>
            </w:r>
          </w:p>
        </w:tc>
        <w:tc>
          <w:tcPr>
            <w:tcW w:w="4748" w:type="dxa"/>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（1）事前质量控制的内容、方法和措施</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）原材料质量控制的内容、方法和措施</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）事中质量控制的内容、方法和措施</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）事后质量控制的内容、方法和措施</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94" w:type="dxa"/>
            <w:gridSpan w:val="2"/>
            <w:vMerge w:val="continue"/>
            <w:vAlign w:val="center"/>
          </w:tcPr>
          <w:p>
            <w:pPr>
              <w:jc w:val="center"/>
              <w:rPr>
                <w:color w:val="000000" w:themeColor="text1"/>
                <w14:textFill>
                  <w14:solidFill>
                    <w14:schemeClr w14:val="tx1"/>
                  </w14:solidFill>
                </w14:textFill>
              </w:rPr>
            </w:pPr>
          </w:p>
        </w:tc>
        <w:tc>
          <w:tcPr>
            <w:tcW w:w="705" w:type="dxa"/>
            <w:gridSpan w:val="2"/>
            <w:vMerge w:val="continue"/>
            <w:vAlign w:val="center"/>
          </w:tcPr>
          <w:p>
            <w:pPr>
              <w:jc w:val="center"/>
              <w:rPr>
                <w:color w:val="000000" w:themeColor="text1"/>
                <w14:textFill>
                  <w14:solidFill>
                    <w14:schemeClr w14:val="tx1"/>
                  </w14:solidFill>
                </w14:textFill>
              </w:rPr>
            </w:pPr>
          </w:p>
        </w:tc>
        <w:tc>
          <w:tcPr>
            <w:tcW w:w="2027" w:type="dxa"/>
            <w:vAlign w:val="center"/>
          </w:tcPr>
          <w:p>
            <w:pPr>
              <w:autoSpaceDE w:val="0"/>
              <w:autoSpaceDN w:val="0"/>
              <w:adjustRightInd w:val="0"/>
              <w:ind w:right="97"/>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安全、文明</w:t>
            </w:r>
            <w:r>
              <w:rPr>
                <w:color w:val="000000" w:themeColor="text1"/>
                <w14:textFill>
                  <w14:solidFill>
                    <w14:schemeClr w14:val="tx1"/>
                  </w14:solidFill>
                </w14:textFill>
              </w:rPr>
              <w:t>控制的措施和方法（</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分）</w:t>
            </w:r>
          </w:p>
        </w:tc>
        <w:tc>
          <w:tcPr>
            <w:tcW w:w="4748" w:type="dxa"/>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1）文明、安全施工管理措施和方法的得0～2分； </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（2）文明、安全施工管理的措施和方法切实、合理、科学、可行的加0～2分；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94" w:type="dxa"/>
            <w:gridSpan w:val="2"/>
            <w:vMerge w:val="continue"/>
            <w:vAlign w:val="center"/>
          </w:tcPr>
          <w:p>
            <w:pPr>
              <w:jc w:val="center"/>
              <w:rPr>
                <w:color w:val="000000" w:themeColor="text1"/>
                <w14:textFill>
                  <w14:solidFill>
                    <w14:schemeClr w14:val="tx1"/>
                  </w14:solidFill>
                </w14:textFill>
              </w:rPr>
            </w:pPr>
          </w:p>
        </w:tc>
        <w:tc>
          <w:tcPr>
            <w:tcW w:w="705" w:type="dxa"/>
            <w:gridSpan w:val="2"/>
            <w:vMerge w:val="continue"/>
            <w:vAlign w:val="center"/>
          </w:tcPr>
          <w:p>
            <w:pPr>
              <w:jc w:val="center"/>
              <w:rPr>
                <w:color w:val="000000" w:themeColor="text1"/>
                <w14:textFill>
                  <w14:solidFill>
                    <w14:schemeClr w14:val="tx1"/>
                  </w14:solidFill>
                </w14:textFill>
              </w:rPr>
            </w:pPr>
          </w:p>
        </w:tc>
        <w:tc>
          <w:tcPr>
            <w:tcW w:w="2027" w:type="dxa"/>
            <w:vAlign w:val="center"/>
          </w:tcPr>
          <w:p>
            <w:pPr>
              <w:autoSpaceDE w:val="0"/>
              <w:autoSpaceDN w:val="0"/>
              <w:adjustRightInd w:val="0"/>
              <w:ind w:right="97"/>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、进度控制的措施和方法（</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分）</w:t>
            </w:r>
          </w:p>
        </w:tc>
        <w:tc>
          <w:tcPr>
            <w:tcW w:w="4748" w:type="dxa"/>
            <w:vAlign w:val="center"/>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（1）进度控制的监理工作内容、方法和措施</w:t>
            </w:r>
            <w:r>
              <w:rPr>
                <w:rFonts w:hint="eastAsia"/>
                <w:color w:val="000000" w:themeColor="text1"/>
                <w14:textFill>
                  <w14:solidFill>
                    <w14:schemeClr w14:val="tx1"/>
                  </w14:solidFill>
                </w14:textFill>
              </w:rPr>
              <w:t>的得0～2分</w:t>
            </w:r>
            <w:r>
              <w:rPr>
                <w:color w:val="000000" w:themeColor="text1"/>
                <w14:textFill>
                  <w14:solidFill>
                    <w14:schemeClr w14:val="tx1"/>
                  </w14:solidFill>
                </w14:textFill>
              </w:rPr>
              <w:t>。</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）进度控制的监理工作措施详细，包括技术措施、组织措施、经济措施、合同措施齐全</w:t>
            </w:r>
            <w:r>
              <w:rPr>
                <w:rFonts w:hint="eastAsia"/>
                <w:color w:val="000000" w:themeColor="text1"/>
                <w14:textFill>
                  <w14:solidFill>
                    <w14:schemeClr w14:val="tx1"/>
                  </w14:solidFill>
                </w14:textFill>
              </w:rPr>
              <w:t>的得0～2分</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4" w:type="dxa"/>
            <w:gridSpan w:val="2"/>
            <w:vMerge w:val="continue"/>
            <w:vAlign w:val="center"/>
          </w:tcPr>
          <w:p>
            <w:pPr>
              <w:rPr>
                <w:color w:val="000000" w:themeColor="text1"/>
                <w14:textFill>
                  <w14:solidFill>
                    <w14:schemeClr w14:val="tx1"/>
                  </w14:solidFill>
                </w14:textFill>
              </w:rPr>
            </w:pPr>
          </w:p>
        </w:tc>
        <w:tc>
          <w:tcPr>
            <w:tcW w:w="705" w:type="dxa"/>
            <w:gridSpan w:val="2"/>
            <w:vMerge w:val="continue"/>
            <w:vAlign w:val="center"/>
          </w:tcPr>
          <w:p>
            <w:pPr>
              <w:rPr>
                <w:color w:val="000000" w:themeColor="text1"/>
                <w14:textFill>
                  <w14:solidFill>
                    <w14:schemeClr w14:val="tx1"/>
                  </w14:solidFill>
                </w14:textFill>
              </w:rPr>
            </w:pPr>
          </w:p>
        </w:tc>
        <w:tc>
          <w:tcPr>
            <w:tcW w:w="2027" w:type="dxa"/>
            <w:vAlign w:val="center"/>
          </w:tcPr>
          <w:p>
            <w:pPr>
              <w:autoSpaceDE w:val="0"/>
              <w:autoSpaceDN w:val="0"/>
              <w:adjustRightInd w:val="0"/>
              <w:ind w:right="97"/>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、投资控制的措施和方法（</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分）</w:t>
            </w:r>
          </w:p>
        </w:tc>
        <w:tc>
          <w:tcPr>
            <w:tcW w:w="4748" w:type="dxa"/>
            <w:vAlign w:val="center"/>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（1）投资控制的监理工作内容、方法和措施</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）投资控制监理措施详细，技术措施、组织措施、经济措施、合同措施齐全</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）工程变更管理和流程</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）费用索赔管理和流程</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）工程结算管理和流程</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得0～</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4" w:type="dxa"/>
            <w:gridSpan w:val="2"/>
            <w:vMerge w:val="continue"/>
            <w:vAlign w:val="center"/>
          </w:tcPr>
          <w:p>
            <w:pPr>
              <w:rPr>
                <w:color w:val="000000" w:themeColor="text1"/>
                <w14:textFill>
                  <w14:solidFill>
                    <w14:schemeClr w14:val="tx1"/>
                  </w14:solidFill>
                </w14:textFill>
              </w:rPr>
            </w:pPr>
          </w:p>
        </w:tc>
        <w:tc>
          <w:tcPr>
            <w:tcW w:w="705" w:type="dxa"/>
            <w:gridSpan w:val="2"/>
            <w:vMerge w:val="continue"/>
            <w:vAlign w:val="center"/>
          </w:tcPr>
          <w:p>
            <w:pPr>
              <w:rPr>
                <w:color w:val="000000" w:themeColor="text1"/>
                <w14:textFill>
                  <w14:solidFill>
                    <w14:schemeClr w14:val="tx1"/>
                  </w14:solidFill>
                </w14:textFill>
              </w:rPr>
            </w:pPr>
          </w:p>
        </w:tc>
        <w:tc>
          <w:tcPr>
            <w:tcW w:w="2027" w:type="dxa"/>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、组织协调的措施和方法（</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分）</w:t>
            </w:r>
          </w:p>
        </w:tc>
        <w:tc>
          <w:tcPr>
            <w:tcW w:w="4748" w:type="dxa"/>
            <w:vAlign w:val="center"/>
          </w:tcPr>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（1）项目组织协调的工作内容及方法</w:t>
            </w:r>
            <w:r>
              <w:rPr>
                <w:rFonts w:hint="eastAsia"/>
                <w:color w:val="000000" w:themeColor="text1"/>
                <w14:textFill>
                  <w14:solidFill>
                    <w14:schemeClr w14:val="tx1"/>
                  </w14:solidFill>
                </w14:textFill>
              </w:rPr>
              <w:t>的得0～2分</w:t>
            </w:r>
            <w:r>
              <w:rPr>
                <w:color w:val="000000" w:themeColor="text1"/>
                <w14:textFill>
                  <w14:solidFill>
                    <w14:schemeClr w14:val="tx1"/>
                  </w14:solidFill>
                </w14:textFill>
              </w:rPr>
              <w:t>。</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（2）项目组织协调的措施</w:t>
            </w:r>
            <w:r>
              <w:rPr>
                <w:rFonts w:hint="eastAsia"/>
                <w:color w:val="000000" w:themeColor="text1"/>
                <w14:textFill>
                  <w14:solidFill>
                    <w14:schemeClr w14:val="tx1"/>
                  </w14:solidFill>
                </w14:textFill>
              </w:rPr>
              <w:t>的得0～2分</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gridSpan w:val="2"/>
            <w:vMerge w:val="continue"/>
            <w:vAlign w:val="center"/>
          </w:tcPr>
          <w:p>
            <w:pPr>
              <w:rPr>
                <w:color w:val="000000" w:themeColor="text1"/>
                <w14:textFill>
                  <w14:solidFill>
                    <w14:schemeClr w14:val="tx1"/>
                  </w14:solidFill>
                </w14:textFill>
              </w:rPr>
            </w:pPr>
          </w:p>
        </w:tc>
        <w:tc>
          <w:tcPr>
            <w:tcW w:w="705" w:type="dxa"/>
            <w:gridSpan w:val="2"/>
            <w:vMerge w:val="continue"/>
            <w:vAlign w:val="center"/>
          </w:tcPr>
          <w:p>
            <w:pPr>
              <w:rPr>
                <w:color w:val="000000" w:themeColor="text1"/>
                <w14:textFill>
                  <w14:solidFill>
                    <w14:schemeClr w14:val="tx1"/>
                  </w14:solidFill>
                </w14:textFill>
              </w:rPr>
            </w:pPr>
          </w:p>
        </w:tc>
        <w:tc>
          <w:tcPr>
            <w:tcW w:w="2027" w:type="dxa"/>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、合同管理、信息管理的措施和方法（</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分）</w:t>
            </w:r>
          </w:p>
        </w:tc>
        <w:tc>
          <w:tcPr>
            <w:tcW w:w="4748" w:type="dxa"/>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（1）合同、信息管理的监理工作内容、原则、程序和方法得0-2分。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（2）合同、信息管理的监理技术、组织、经济及合同措施可行的得0-2分。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4" w:type="dxa"/>
            <w:gridSpan w:val="2"/>
            <w:vMerge w:val="continue"/>
            <w:vAlign w:val="center"/>
          </w:tcPr>
          <w:p>
            <w:pPr>
              <w:rPr>
                <w:color w:val="000000" w:themeColor="text1"/>
                <w14:textFill>
                  <w14:solidFill>
                    <w14:schemeClr w14:val="tx1"/>
                  </w14:solidFill>
                </w14:textFill>
              </w:rPr>
            </w:pPr>
          </w:p>
        </w:tc>
        <w:tc>
          <w:tcPr>
            <w:tcW w:w="705" w:type="dxa"/>
            <w:gridSpan w:val="2"/>
            <w:vMerge w:val="continue"/>
            <w:vAlign w:val="center"/>
          </w:tcPr>
          <w:p>
            <w:pPr>
              <w:rPr>
                <w:color w:val="000000" w:themeColor="text1"/>
                <w14:textFill>
                  <w14:solidFill>
                    <w14:schemeClr w14:val="tx1"/>
                  </w14:solidFill>
                </w14:textFill>
              </w:rPr>
            </w:pPr>
          </w:p>
        </w:tc>
        <w:tc>
          <w:tcPr>
            <w:tcW w:w="2027" w:type="dxa"/>
            <w:vAlign w:val="center"/>
          </w:tcPr>
          <w:p>
            <w:pPr>
              <w:autoSpaceDE w:val="0"/>
              <w:autoSpaceDN w:val="0"/>
              <w:adjustRightInd w:val="0"/>
              <w:ind w:right="97"/>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、监理部投入的检测设备、仪器（3分）</w:t>
            </w:r>
          </w:p>
        </w:tc>
        <w:tc>
          <w:tcPr>
            <w:tcW w:w="4748" w:type="dxa"/>
            <w:vAlign w:val="center"/>
          </w:tcPr>
          <w:p>
            <w:pPr>
              <w:autoSpaceDE w:val="0"/>
              <w:autoSpaceDN w:val="0"/>
              <w:adjustRightInd w:val="0"/>
              <w:ind w:right="97"/>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全站仪（或经纬仪、水准仪）、钢卷尺</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或</w:t>
            </w:r>
            <w:r>
              <w:rPr>
                <w:rFonts w:hint="eastAsia"/>
                <w:color w:val="000000" w:themeColor="text1"/>
                <w:lang w:eastAsia="zh-CN"/>
                <w14:textFill>
                  <w14:solidFill>
                    <w14:schemeClr w14:val="tx1"/>
                  </w14:solidFill>
                </w14:textFill>
              </w:rPr>
              <w:t>钢尺）</w:t>
            </w:r>
            <w:r>
              <w:rPr>
                <w:color w:val="000000" w:themeColor="text1"/>
                <w14:textFill>
                  <w14:solidFill>
                    <w14:schemeClr w14:val="tx1"/>
                  </w14:solidFill>
                </w14:textFill>
              </w:rPr>
              <w:t>、照相机</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或</w:t>
            </w:r>
            <w:r>
              <w:rPr>
                <w:rFonts w:hint="eastAsia"/>
                <w:color w:val="000000" w:themeColor="text1"/>
                <w:lang w:eastAsia="zh-CN"/>
                <w14:textFill>
                  <w14:solidFill>
                    <w14:schemeClr w14:val="tx1"/>
                  </w14:solidFill>
                </w14:textFill>
              </w:rPr>
              <w:t>摄像机）</w:t>
            </w:r>
            <w:r>
              <w:rPr>
                <w:color w:val="000000" w:themeColor="text1"/>
                <w14:textFill>
                  <w14:solidFill>
                    <w14:schemeClr w14:val="tx1"/>
                  </w14:solidFill>
                </w14:textFill>
              </w:rPr>
              <w:t>、计算机、打印机等设备齐全者得 3分，缺 1 项扣0.5分，扣完为止。</w:t>
            </w:r>
            <w:r>
              <w:rPr>
                <w:rFonts w:hint="eastAsia"/>
                <w:color w:val="000000" w:themeColor="text1"/>
                <w:lang w:eastAsia="zh-CN"/>
                <w14:textFill>
                  <w14:solidFill>
                    <w14:schemeClr w14:val="tx1"/>
                  </w14:solidFill>
                </w14:textFill>
              </w:rPr>
              <w:t>提供设备发票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4" w:type="dxa"/>
            <w:gridSpan w:val="2"/>
            <w:vMerge w:val="continue"/>
            <w:vAlign w:val="center"/>
          </w:tcPr>
          <w:p>
            <w:pPr>
              <w:rPr>
                <w:color w:val="000000" w:themeColor="text1"/>
                <w14:textFill>
                  <w14:solidFill>
                    <w14:schemeClr w14:val="tx1"/>
                  </w14:solidFill>
                </w14:textFill>
              </w:rPr>
            </w:pPr>
          </w:p>
        </w:tc>
        <w:tc>
          <w:tcPr>
            <w:tcW w:w="705" w:type="dxa"/>
            <w:gridSpan w:val="2"/>
            <w:vMerge w:val="continue"/>
            <w:vAlign w:val="center"/>
          </w:tcPr>
          <w:p>
            <w:pPr>
              <w:rPr>
                <w:color w:val="000000" w:themeColor="text1"/>
                <w14:textFill>
                  <w14:solidFill>
                    <w14:schemeClr w14:val="tx1"/>
                  </w14:solidFill>
                </w14:textFill>
              </w:rPr>
            </w:pPr>
          </w:p>
        </w:tc>
        <w:tc>
          <w:tcPr>
            <w:tcW w:w="2027" w:type="dxa"/>
            <w:vAlign w:val="bottom"/>
          </w:tcPr>
          <w:p>
            <w:pPr>
              <w:autoSpaceDE w:val="0"/>
              <w:autoSpaceDN w:val="0"/>
              <w:adjustRightInd w:val="0"/>
              <w:ind w:right="97" w:rightChars="0"/>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10</w:t>
            </w:r>
            <w:r>
              <w:rPr>
                <w:color w:val="000000" w:themeColor="text1"/>
                <w14:textFill>
                  <w14:solidFill>
                    <w14:schemeClr w14:val="tx1"/>
                  </w14:solidFill>
                </w14:textFill>
              </w:rPr>
              <w:t>、工程重点、难点及监理措施（</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分）</w:t>
            </w:r>
          </w:p>
        </w:tc>
        <w:tc>
          <w:tcPr>
            <w:tcW w:w="4748" w:type="dxa"/>
            <w:vAlign w:val="center"/>
          </w:tcPr>
          <w:p>
            <w:pPr>
              <w:autoSpaceDE w:val="0"/>
              <w:autoSpaceDN w:val="0"/>
              <w:adjustRightInd w:val="0"/>
              <w:ind w:right="97" w:rightChars="0"/>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color w:val="000000" w:themeColor="text1"/>
                <w14:textFill>
                  <w14:solidFill>
                    <w14:schemeClr w14:val="tx1"/>
                  </w14:solidFill>
                </w14:textFill>
              </w:rPr>
              <w:t>对工程关键环节、重点难点部位分析合理，采取对应的监理措施可行、合理、可靠，根据上述内容</w:t>
            </w:r>
            <w:r>
              <w:rPr>
                <w:color w:val="000000" w:themeColor="text1"/>
                <w:kern w:val="0"/>
                <w:szCs w:val="21"/>
                <w:lang w:bidi="ar"/>
                <w14:textFill>
                  <w14:solidFill>
                    <w14:schemeClr w14:val="tx1"/>
                  </w14:solidFill>
                </w14:textFill>
              </w:rPr>
              <w:t>评委酌情打</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4" w:type="dxa"/>
            <w:gridSpan w:val="2"/>
            <w:vMerge w:val="continue"/>
            <w:vAlign w:val="center"/>
          </w:tcPr>
          <w:p>
            <w:pPr>
              <w:rPr>
                <w:color w:val="000000" w:themeColor="text1"/>
                <w14:textFill>
                  <w14:solidFill>
                    <w14:schemeClr w14:val="tx1"/>
                  </w14:solidFill>
                </w14:textFill>
              </w:rPr>
            </w:pPr>
          </w:p>
        </w:tc>
        <w:tc>
          <w:tcPr>
            <w:tcW w:w="705" w:type="dxa"/>
            <w:gridSpan w:val="2"/>
            <w:vMerge w:val="continue"/>
            <w:vAlign w:val="center"/>
          </w:tcPr>
          <w:p>
            <w:pPr>
              <w:rPr>
                <w:color w:val="000000" w:themeColor="text1"/>
                <w14:textFill>
                  <w14:solidFill>
                    <w14:schemeClr w14:val="tx1"/>
                  </w14:solidFill>
                </w14:textFill>
              </w:rPr>
            </w:pPr>
          </w:p>
        </w:tc>
        <w:tc>
          <w:tcPr>
            <w:tcW w:w="2027" w:type="dxa"/>
            <w:vAlign w:val="center"/>
          </w:tcPr>
          <w:p>
            <w:pPr>
              <w:autoSpaceDE w:val="0"/>
              <w:autoSpaceDN w:val="0"/>
              <w:adjustRightInd w:val="0"/>
              <w:ind w:right="97"/>
              <w:rPr>
                <w:rFonts w:hint="eastAsia"/>
                <w:color w:val="000000" w:themeColor="text1"/>
                <w14:textFill>
                  <w14:solidFill>
                    <w14:schemeClr w14:val="tx1"/>
                  </w14:solidFill>
                </w14:textFill>
              </w:rPr>
            </w:pPr>
          </w:p>
        </w:tc>
        <w:tc>
          <w:tcPr>
            <w:tcW w:w="4748" w:type="dxa"/>
            <w:vAlign w:val="center"/>
          </w:tcPr>
          <w:p>
            <w:pPr>
              <w:autoSpaceDE w:val="0"/>
              <w:autoSpaceDN w:val="0"/>
              <w:adjustRightInd w:val="0"/>
              <w:ind w:right="97"/>
              <w:rPr>
                <w:color w:val="000000" w:themeColor="text1"/>
                <w14:textFill>
                  <w14:solidFill>
                    <w14:schemeClr w14:val="tx1"/>
                  </w14:solidFill>
                </w14:textFill>
              </w:rPr>
            </w:pPr>
            <w:r>
              <w:rPr>
                <w:b/>
                <w:bCs/>
                <w:color w:val="000000" w:themeColor="text1"/>
                <w:szCs w:val="21"/>
                <w14:textFill>
                  <w14:solidFill>
                    <w14:schemeClr w14:val="tx1"/>
                  </w14:solidFill>
                </w14:textFill>
              </w:rPr>
              <w:t>注：以上监理大纲内容若有缺项，则该项为0分。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4" w:type="dxa"/>
            <w:gridSpan w:val="2"/>
            <w:vMerge w:val="restart"/>
            <w:vAlign w:val="center"/>
          </w:tcPr>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2.2.3</w:t>
            </w:r>
          </w:p>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（3）</w:t>
            </w:r>
          </w:p>
        </w:tc>
        <w:tc>
          <w:tcPr>
            <w:tcW w:w="705" w:type="dxa"/>
            <w:gridSpan w:val="2"/>
            <w:vMerge w:val="restart"/>
            <w:vAlign w:val="center"/>
          </w:tcPr>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综合部分评分标准</w:t>
            </w:r>
          </w:p>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25</w:t>
            </w:r>
            <w:r>
              <w:rPr>
                <w:color w:val="000000" w:themeColor="text1"/>
                <w14:textFill>
                  <w14:solidFill>
                    <w14:schemeClr w14:val="tx1"/>
                  </w14:solidFill>
                </w14:textFill>
              </w:rPr>
              <w:t>分）</w:t>
            </w:r>
          </w:p>
        </w:tc>
        <w:tc>
          <w:tcPr>
            <w:tcW w:w="2027" w:type="dxa"/>
            <w:vAlign w:val="center"/>
          </w:tcPr>
          <w:p>
            <w:pPr>
              <w:autoSpaceDE w:val="0"/>
              <w:autoSpaceDN w:val="0"/>
              <w:adjustRightInd w:val="0"/>
              <w:ind w:right="97" w:rightChars="0"/>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color w:val="000000" w:themeColor="text1"/>
                <w14:textFill>
                  <w14:solidFill>
                    <w14:schemeClr w14:val="tx1"/>
                  </w14:solidFill>
                </w14:textFill>
              </w:rPr>
              <w:t>1、项目管理机构（</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分）</w:t>
            </w:r>
          </w:p>
        </w:tc>
        <w:tc>
          <w:tcPr>
            <w:tcW w:w="4748" w:type="dxa"/>
            <w:vAlign w:val="center"/>
          </w:tcPr>
          <w:p>
            <w:pPr>
              <w:autoSpaceDE w:val="0"/>
              <w:autoSpaceDN w:val="0"/>
              <w:adjustRightInd w:val="0"/>
              <w:ind w:right="97"/>
              <w:rPr>
                <w:color w:val="000000" w:themeColor="text1"/>
                <w14:textFill>
                  <w14:solidFill>
                    <w14:schemeClr w14:val="tx1"/>
                  </w14:solidFill>
                </w14:textFill>
              </w:rPr>
            </w:pPr>
            <w:r>
              <w:rPr>
                <w:rFonts w:hint="eastAsia"/>
                <w:color w:val="000000" w:themeColor="text1"/>
                <w14:textFill>
                  <w14:solidFill>
                    <w14:schemeClr w14:val="tx1"/>
                  </w14:solidFill>
                </w14:textFill>
              </w:rPr>
              <w:t>监理组织机构人员除总监理工程师之外还应包括：专业监理工程师（房屋建筑、机电安装）、监理员、资料员、安全员、见证员持证上岗，得6分，缺一个扣1分，此项扣完为止。</w:t>
            </w:r>
          </w:p>
          <w:p>
            <w:pPr>
              <w:autoSpaceDE w:val="0"/>
              <w:autoSpaceDN w:val="0"/>
              <w:adjustRightInd w:val="0"/>
              <w:ind w:right="97"/>
              <w:rPr>
                <w:color w:val="000000" w:themeColor="text1"/>
                <w14:textFill>
                  <w14:solidFill>
                    <w14:schemeClr w14:val="tx1"/>
                  </w14:solidFill>
                </w14:textFill>
              </w:rPr>
            </w:pPr>
            <w:r>
              <w:rPr>
                <w:rFonts w:hint="eastAsia"/>
                <w:color w:val="000000" w:themeColor="text1"/>
                <w14:textFill>
                  <w14:solidFill>
                    <w14:schemeClr w14:val="tx1"/>
                  </w14:solidFill>
                </w14:textFill>
              </w:rPr>
              <w:t>提供相应证明资料扫描件</w:t>
            </w:r>
            <w:r>
              <w:rPr>
                <w:rFonts w:hint="eastAsia"/>
                <w:color w:val="000000" w:themeColor="text1"/>
                <w:lang w:eastAsia="zh-CN"/>
                <w14:textFill>
                  <w14:solidFill>
                    <w14:schemeClr w14:val="tx1"/>
                  </w14:solidFill>
                </w14:textFill>
              </w:rPr>
              <w:t>和本单位劳动关系证明。</w:t>
            </w:r>
            <w:r>
              <w:rPr>
                <w:rFonts w:hint="eastAsia"/>
                <w:color w:val="000000" w:themeColor="text1"/>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94"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705"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2027" w:type="dxa"/>
            <w:vAlign w:val="center"/>
          </w:tcPr>
          <w:p>
            <w:pPr>
              <w:autoSpaceDE w:val="0"/>
              <w:autoSpaceDN w:val="0"/>
              <w:adjustRightInd w:val="0"/>
              <w:ind w:right="97" w:right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2.企业实力（6分）</w:t>
            </w:r>
          </w:p>
        </w:tc>
        <w:tc>
          <w:tcPr>
            <w:tcW w:w="4748" w:type="dxa"/>
            <w:vAlign w:val="center"/>
          </w:tcPr>
          <w:p>
            <w:pPr>
              <w:pStyle w:val="23"/>
              <w:adjustRightInd w:val="0"/>
              <w:spacing w:before="0" w:beforeAutospacing="0" w:after="0" w:afterAutospacing="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投标人202</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年1月1日以来获得省级及以上建设行政主管部门颁发的奖项，每有一项得3分；本项最多得6分。（须提供奖项证书复印件，以证书发证时间为准。）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94"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705"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2027" w:type="dxa"/>
            <w:vAlign w:val="center"/>
          </w:tcPr>
          <w:p>
            <w:pPr>
              <w:autoSpaceDE w:val="0"/>
              <w:autoSpaceDN w:val="0"/>
              <w:adjustRightInd w:val="0"/>
              <w:ind w:right="97" w:rightChars="0"/>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3、企业业绩（</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分）</w:t>
            </w:r>
          </w:p>
        </w:tc>
        <w:tc>
          <w:tcPr>
            <w:tcW w:w="4748" w:type="dxa"/>
            <w:vAlign w:val="center"/>
          </w:tcPr>
          <w:p>
            <w:pPr>
              <w:pStyle w:val="23"/>
              <w:adjustRightInd w:val="0"/>
              <w:snapToGrid w:val="0"/>
              <w:spacing w:before="0" w:beforeAutospacing="0" w:after="0" w:afterAutospacing="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投标人202</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年1月1日以来（以合同签订时间为准）承担过投资额在</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亿元或者建筑面积在</w:t>
            </w:r>
            <w:r>
              <w:rPr>
                <w:rFonts w:hint="eastAsia"/>
                <w:color w:val="000000" w:themeColor="text1"/>
                <w:sz w:val="21"/>
                <w:szCs w:val="21"/>
                <w:lang w:val="en-US" w:eastAsia="zh-CN"/>
                <w14:textFill>
                  <w14:solidFill>
                    <w14:schemeClr w14:val="tx1"/>
                  </w14:solidFill>
                </w14:textFill>
              </w:rPr>
              <w:t>3.8</w:t>
            </w:r>
            <w:r>
              <w:rPr>
                <w:rFonts w:hint="eastAsia"/>
                <w:color w:val="000000" w:themeColor="text1"/>
                <w:sz w:val="21"/>
                <w:szCs w:val="21"/>
                <w14:textFill>
                  <w14:solidFill>
                    <w14:schemeClr w14:val="tx1"/>
                  </w14:solidFill>
                </w14:textFill>
              </w:rPr>
              <w:t>万平方米以上的</w:t>
            </w:r>
            <w:r>
              <w:rPr>
                <w:rFonts w:hint="eastAsia"/>
                <w:color w:val="000000" w:themeColor="text1"/>
                <w:sz w:val="21"/>
                <w:szCs w:val="21"/>
                <w:lang w:eastAsia="zh-CN"/>
                <w14:textFill>
                  <w14:solidFill>
                    <w14:schemeClr w14:val="tx1"/>
                  </w14:solidFill>
                </w14:textFill>
              </w:rPr>
              <w:t>类似</w:t>
            </w:r>
            <w:r>
              <w:rPr>
                <w:rFonts w:hint="eastAsia"/>
                <w:color w:val="000000" w:themeColor="text1"/>
                <w:sz w:val="21"/>
                <w:szCs w:val="21"/>
                <w14:textFill>
                  <w14:solidFill>
                    <w14:schemeClr w14:val="tx1"/>
                  </w14:solidFill>
                </w14:textFill>
              </w:rPr>
              <w:t>业绩，每提供一份得</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分，最高得</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分。须提供中标通知书、合同协议书，未提供不得分。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994"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705"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2027" w:type="dxa"/>
            <w:vAlign w:val="center"/>
          </w:tcPr>
          <w:p>
            <w:pPr>
              <w:autoSpaceDE w:val="0"/>
              <w:autoSpaceDN w:val="0"/>
              <w:adjustRightInd w:val="0"/>
              <w:ind w:right="97" w:rightChars="0"/>
              <w:rPr>
                <w:rFonts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、服务承诺（</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w:t>
            </w:r>
          </w:p>
        </w:tc>
        <w:tc>
          <w:tcPr>
            <w:tcW w:w="4748" w:type="dxa"/>
            <w:vAlign w:val="center"/>
          </w:tcPr>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（1）现场监理人员到位上岗且不准兼职，且有缺勤处罚措施的承诺得</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分，服务承诺合理、完善的加0-1分，未提供不得分。</w:t>
            </w:r>
          </w:p>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（2）因监理方失职，在质量管理、投资控制、进度控制等方面给招标人带来损失的，有处罚措施的承诺得</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分，服务承诺合理、完善的加0-1分，未提供不得分。</w:t>
            </w:r>
          </w:p>
          <w:p>
            <w:pPr>
              <w:autoSpaceDE w:val="0"/>
              <w:autoSpaceDN w:val="0"/>
              <w:adjustRightInd w:val="0"/>
              <w:ind w:right="97"/>
              <w:rPr>
                <w:color w:val="000000" w:themeColor="text1"/>
                <w14:textFill>
                  <w14:solidFill>
                    <w14:schemeClr w14:val="tx1"/>
                  </w14:solidFill>
                </w14:textFill>
              </w:rPr>
            </w:pPr>
            <w:r>
              <w:rPr>
                <w:color w:val="000000" w:themeColor="text1"/>
                <w14:textFill>
                  <w14:solidFill>
                    <w14:schemeClr w14:val="tx1"/>
                  </w14:solidFill>
                </w14:textFill>
              </w:rPr>
              <w:t>（3）有投标人在人员、管理、技术等方面的实质性服务承诺得</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4"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705" w:type="dxa"/>
            <w:gridSpan w:val="2"/>
            <w:vMerge w:val="continue"/>
            <w:vAlign w:val="center"/>
          </w:tcPr>
          <w:p>
            <w:pPr>
              <w:autoSpaceDE w:val="0"/>
              <w:autoSpaceDN w:val="0"/>
              <w:adjustRightInd w:val="0"/>
              <w:ind w:right="97"/>
              <w:rPr>
                <w:color w:val="000000" w:themeColor="text1"/>
                <w14:textFill>
                  <w14:solidFill>
                    <w14:schemeClr w14:val="tx1"/>
                  </w14:solidFill>
                </w14:textFill>
              </w:rPr>
            </w:pPr>
          </w:p>
        </w:tc>
        <w:tc>
          <w:tcPr>
            <w:tcW w:w="2027" w:type="dxa"/>
            <w:vAlign w:val="center"/>
          </w:tcPr>
          <w:p>
            <w:pPr>
              <w:autoSpaceDE w:val="0"/>
              <w:autoSpaceDN w:val="0"/>
              <w:adjustRightInd w:val="0"/>
              <w:ind w:right="97" w:rightChars="0"/>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5、招标人意见（2分）</w:t>
            </w:r>
          </w:p>
        </w:tc>
        <w:tc>
          <w:tcPr>
            <w:tcW w:w="4748" w:type="dxa"/>
            <w:vAlign w:val="center"/>
          </w:tcPr>
          <w:p>
            <w:pPr>
              <w:autoSpaceDE w:val="0"/>
              <w:autoSpaceDN w:val="0"/>
              <w:adjustRightInd w:val="0"/>
              <w:ind w:right="97" w:rightChars="0"/>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74" w:type="dxa"/>
            <w:gridSpan w:val="6"/>
            <w:vAlign w:val="center"/>
          </w:tcPr>
          <w:p>
            <w:pPr>
              <w:ind w:right="120"/>
              <w:rPr>
                <w:color w:val="000000" w:themeColor="text1"/>
                <w14:textFill>
                  <w14:solidFill>
                    <w14:schemeClr w14:val="tx1"/>
                  </w14:solidFill>
                </w14:textFill>
              </w:rPr>
            </w:pPr>
            <w:r>
              <w:rPr>
                <w:color w:val="000000" w:themeColor="text1"/>
                <w:szCs w:val="21"/>
                <w14:textFill>
                  <w14:solidFill>
                    <w14:schemeClr w14:val="tx1"/>
                  </w14:solidFill>
                </w14:textFill>
              </w:rPr>
              <w:t>备注：投标人的最终得分以全部评委打分的算术平均值为准，作为该投标人的最终得分。计分过程按四舍五入取至小数点后两位，最终结果取至小数点后两位。</w:t>
            </w:r>
          </w:p>
        </w:tc>
      </w:tr>
    </w:tbl>
    <w:p>
      <w:pPr>
        <w:pStyle w:val="9"/>
        <w:rPr>
          <w:rFonts w:hAnsi="宋体" w:cs="宋体"/>
          <w:b/>
          <w:color w:val="000000" w:themeColor="text1"/>
          <w:kern w:val="0"/>
          <w:sz w:val="21"/>
          <w14:textFill>
            <w14:solidFill>
              <w14:schemeClr w14:val="tx1"/>
            </w14:solidFill>
          </w14:textFill>
        </w:rPr>
      </w:pPr>
    </w:p>
    <w:p>
      <w:pPr>
        <w:pStyle w:val="3"/>
        <w:spacing w:line="240" w:lineRule="auto"/>
        <w:rPr>
          <w:rFonts w:ascii="宋体" w:hAnsi="宋体" w:eastAsia="宋体" w:cs="宋体"/>
          <w:color w:val="000000" w:themeColor="text1"/>
          <w14:textFill>
            <w14:solidFill>
              <w14:schemeClr w14:val="tx1"/>
            </w14:solidFill>
          </w14:textFill>
        </w:rPr>
      </w:pPr>
      <w:bookmarkStart w:id="581" w:name="_Toc7535"/>
      <w:bookmarkStart w:id="582" w:name="_Toc23335"/>
      <w:bookmarkStart w:id="583" w:name="_Toc29958"/>
      <w:bookmarkStart w:id="584" w:name="_Toc12075"/>
      <w:r>
        <w:rPr>
          <w:rFonts w:hint="eastAsia" w:ascii="宋体" w:hAnsi="宋体" w:eastAsia="宋体" w:cs="宋体"/>
          <w:color w:val="000000" w:themeColor="text1"/>
          <w14:textFill>
            <w14:solidFill>
              <w14:schemeClr w14:val="tx1"/>
            </w14:solidFill>
          </w14:textFill>
        </w:rPr>
        <w:t>1. 评标方法</w:t>
      </w:r>
      <w:bookmarkEnd w:id="581"/>
      <w:bookmarkEnd w:id="582"/>
      <w:bookmarkEnd w:id="583"/>
      <w:bookmarkEnd w:id="584"/>
    </w:p>
    <w:p>
      <w:pPr>
        <w:spacing w:line="360" w:lineRule="auto"/>
        <w:ind w:firstLine="420" w:firstLineChars="200"/>
        <w:rPr>
          <w:rFonts w:ascii="宋体" w:hAnsi="宋体" w:cs="宋体"/>
          <w:color w:val="000000" w:themeColor="text1"/>
          <w14:textFill>
            <w14:solidFill>
              <w14:schemeClr w14:val="tx1"/>
            </w14:solidFill>
          </w14:textFill>
        </w:rPr>
      </w:pPr>
      <w:bookmarkStart w:id="585" w:name="_Toc2180"/>
      <w:bookmarkStart w:id="586" w:name="_Toc19925"/>
      <w:bookmarkStart w:id="587" w:name="_Toc152042378"/>
      <w:bookmarkStart w:id="588" w:name="_Toc152045601"/>
      <w:bookmarkStart w:id="589" w:name="_Toc144974568"/>
      <w:bookmarkStart w:id="590" w:name="_Toc247527626"/>
      <w:bookmarkStart w:id="591" w:name="_Toc247514025"/>
      <w:r>
        <w:rPr>
          <w:rFonts w:hint="eastAsia" w:ascii="宋体" w:hAnsi="宋体" w:cs="宋体"/>
          <w:color w:val="000000" w:themeColor="text1"/>
          <w14:textFill>
            <w14:solidFill>
              <w14:schemeClr w14:val="tx1"/>
            </w14:solidFill>
          </w14:textFill>
        </w:rPr>
        <w:t>本次评标采用综合评估法。评标委员会对满足招标文件实质性要求的投标文件，按照本章第2.2款规定的评分标准进行打分，按综合得分由高到低顺序推荐3名中标候选人，或根据招标人授权直接确定中标单位，但投标报价低于其成本的除外。综合得分相等时，以投标报价低的优先；投标报价也相等的，由招标人自行确定。</w:t>
      </w:r>
    </w:p>
    <w:p>
      <w:pPr>
        <w:pStyle w:val="3"/>
        <w:spacing w:line="240" w:lineRule="auto"/>
        <w:rPr>
          <w:rFonts w:ascii="宋体" w:hAnsi="宋体" w:eastAsia="宋体" w:cs="宋体"/>
          <w:color w:val="000000" w:themeColor="text1"/>
          <w14:textFill>
            <w14:solidFill>
              <w14:schemeClr w14:val="tx1"/>
            </w14:solidFill>
          </w14:textFill>
        </w:rPr>
      </w:pPr>
      <w:bookmarkStart w:id="592" w:name="_Toc27541"/>
      <w:bookmarkStart w:id="593" w:name="_Toc3015"/>
      <w:bookmarkStart w:id="594" w:name="_Toc14598"/>
      <w:bookmarkStart w:id="595" w:name="_Toc32091"/>
      <w:r>
        <w:rPr>
          <w:rFonts w:hint="eastAsia" w:ascii="宋体" w:hAnsi="宋体" w:eastAsia="宋体" w:cs="宋体"/>
          <w:color w:val="000000" w:themeColor="text1"/>
          <w14:textFill>
            <w14:solidFill>
              <w14:schemeClr w14:val="tx1"/>
            </w14:solidFill>
          </w14:textFill>
        </w:rPr>
        <w:t>2. 评审标准</w:t>
      </w:r>
      <w:bookmarkEnd w:id="585"/>
      <w:bookmarkEnd w:id="586"/>
      <w:bookmarkEnd w:id="587"/>
      <w:bookmarkEnd w:id="588"/>
      <w:bookmarkEnd w:id="589"/>
      <w:bookmarkEnd w:id="590"/>
      <w:bookmarkEnd w:id="591"/>
      <w:bookmarkEnd w:id="592"/>
      <w:bookmarkEnd w:id="593"/>
      <w:bookmarkEnd w:id="594"/>
      <w:bookmarkEnd w:id="595"/>
    </w:p>
    <w:p>
      <w:pPr>
        <w:spacing w:line="360" w:lineRule="auto"/>
        <w:rPr>
          <w:rFonts w:ascii="宋体" w:hAnsi="宋体" w:cs="宋体"/>
          <w:b/>
          <w:color w:val="000000" w:themeColor="text1"/>
          <w:sz w:val="24"/>
          <w14:textFill>
            <w14:solidFill>
              <w14:schemeClr w14:val="tx1"/>
            </w14:solidFill>
          </w14:textFill>
        </w:rPr>
      </w:pPr>
      <w:bookmarkStart w:id="596" w:name="_Toc436315379"/>
      <w:bookmarkStart w:id="597" w:name="_Toc247527627"/>
      <w:bookmarkStart w:id="598" w:name="_Toc16456"/>
      <w:bookmarkStart w:id="599" w:name="_Toc436316991"/>
      <w:bookmarkStart w:id="600" w:name="_Toc18525"/>
      <w:bookmarkStart w:id="601" w:name="_Toc152045602"/>
      <w:bookmarkStart w:id="602" w:name="_Toc435930087"/>
      <w:bookmarkStart w:id="603" w:name="_Toc247514026"/>
      <w:bookmarkStart w:id="604" w:name="_Toc144974569"/>
      <w:bookmarkStart w:id="605" w:name="_Toc152042379"/>
      <w:r>
        <w:rPr>
          <w:rFonts w:hint="eastAsia" w:ascii="宋体" w:hAnsi="宋体" w:cs="宋体"/>
          <w:b/>
          <w:color w:val="000000" w:themeColor="text1"/>
          <w:sz w:val="24"/>
          <w14:textFill>
            <w14:solidFill>
              <w14:schemeClr w14:val="tx1"/>
            </w14:solidFill>
          </w14:textFill>
        </w:rPr>
        <w:t>2.1 初步评审标准</w:t>
      </w:r>
      <w:bookmarkEnd w:id="596"/>
      <w:bookmarkEnd w:id="597"/>
      <w:bookmarkEnd w:id="598"/>
      <w:bookmarkEnd w:id="599"/>
      <w:bookmarkEnd w:id="600"/>
      <w:bookmarkEnd w:id="601"/>
      <w:bookmarkEnd w:id="602"/>
      <w:bookmarkEnd w:id="603"/>
      <w:bookmarkEnd w:id="604"/>
      <w:bookmarkEnd w:id="605"/>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形式评审标准：见评标办法前附表。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响应性评审标准：见评标办法前附表。</w:t>
      </w:r>
    </w:p>
    <w:p>
      <w:pPr>
        <w:spacing w:line="360" w:lineRule="auto"/>
        <w:rPr>
          <w:rFonts w:ascii="宋体" w:hAnsi="宋体" w:cs="宋体"/>
          <w:color w:val="000000" w:themeColor="text1"/>
          <w14:textFill>
            <w14:solidFill>
              <w14:schemeClr w14:val="tx1"/>
            </w14:solidFill>
          </w14:textFill>
        </w:rPr>
      </w:pPr>
      <w:bookmarkStart w:id="606" w:name="_Toc152042380"/>
      <w:bookmarkStart w:id="607" w:name="_Toc144974570"/>
      <w:bookmarkStart w:id="608" w:name="_Toc152045603"/>
      <w:bookmarkStart w:id="609" w:name="_Toc435930088"/>
      <w:bookmarkStart w:id="610" w:name="_Toc436315380"/>
      <w:bookmarkStart w:id="611" w:name="_Toc29608"/>
      <w:bookmarkStart w:id="612" w:name="_Toc247527628"/>
      <w:bookmarkStart w:id="613" w:name="_Toc436316992"/>
      <w:bookmarkStart w:id="614" w:name="_Toc22966"/>
      <w:bookmarkStart w:id="615" w:name="_Toc247514027"/>
      <w:r>
        <w:rPr>
          <w:rFonts w:hint="eastAsia" w:ascii="宋体" w:hAnsi="宋体" w:cs="宋体"/>
          <w:b/>
          <w:color w:val="000000" w:themeColor="text1"/>
          <w:sz w:val="24"/>
          <w14:textFill>
            <w14:solidFill>
              <w14:schemeClr w14:val="tx1"/>
            </w14:solidFill>
          </w14:textFill>
        </w:rPr>
        <w:t>2.2 分值构成与评分标准</w:t>
      </w:r>
      <w:bookmarkEnd w:id="606"/>
      <w:bookmarkEnd w:id="607"/>
      <w:bookmarkEnd w:id="608"/>
      <w:bookmarkEnd w:id="609"/>
      <w:bookmarkEnd w:id="610"/>
      <w:bookmarkEnd w:id="611"/>
      <w:bookmarkEnd w:id="612"/>
      <w:bookmarkEnd w:id="613"/>
      <w:bookmarkEnd w:id="614"/>
      <w:bookmarkEnd w:id="615"/>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分值构成</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（1）投标报价：见评标办法前附表；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监理大纲</w:t>
      </w:r>
      <w:r>
        <w:rPr>
          <w:rFonts w:hint="eastAsia" w:ascii="宋体" w:hAnsi="宋体" w:cs="宋体"/>
          <w:color w:val="000000" w:themeColor="text1"/>
          <w14:textFill>
            <w14:solidFill>
              <w14:schemeClr w14:val="tx1"/>
            </w14:solidFill>
          </w14:textFill>
        </w:rPr>
        <w:t>部分：见评标办法前附表；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（3）综合部分：见评标办法前附表；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评标基准价计算</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评标基准价计算方法：见评标办法前附表。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投标报价的偏差率计算</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投标报价的偏差率计算公式：见评标办法前附表。</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 评分标准</w:t>
      </w:r>
    </w:p>
    <w:p>
      <w:pPr>
        <w:autoSpaceDE w:val="0"/>
        <w:autoSpaceDN w:val="0"/>
        <w:adjustRightInd w:val="0"/>
        <w:spacing w:line="360" w:lineRule="auto"/>
        <w:ind w:firstLine="420" w:firstLineChars="200"/>
        <w:jc w:val="left"/>
        <w:rPr>
          <w:rFonts w:ascii="宋体" w:hAnsi="宋体" w:cs="宋体"/>
          <w:color w:val="000000" w:themeColor="text1"/>
          <w:kern w:val="0"/>
          <w14:textFill>
            <w14:solidFill>
              <w14:schemeClr w14:val="tx1"/>
            </w14:solidFill>
          </w14:textFill>
        </w:rPr>
      </w:pPr>
      <w:bookmarkStart w:id="616" w:name="_Toc144974571"/>
      <w:bookmarkStart w:id="617" w:name="_Toc247527629"/>
      <w:bookmarkStart w:id="618" w:name="_Toc152042381"/>
      <w:bookmarkStart w:id="619" w:name="_Toc4456"/>
      <w:bookmarkStart w:id="620" w:name="_Toc10897"/>
      <w:bookmarkStart w:id="621" w:name="_Toc152045604"/>
      <w:bookmarkStart w:id="622" w:name="_Toc15889"/>
      <w:bookmarkStart w:id="623" w:name="_Toc247514028"/>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spacing w:val="-2"/>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投</w:t>
      </w:r>
      <w:r>
        <w:rPr>
          <w:rFonts w:hint="eastAsia" w:ascii="宋体" w:hAnsi="宋体" w:cs="宋体"/>
          <w:color w:val="000000" w:themeColor="text1"/>
          <w:spacing w:val="-2"/>
          <w:kern w:val="0"/>
          <w14:textFill>
            <w14:solidFill>
              <w14:schemeClr w14:val="tx1"/>
            </w14:solidFill>
          </w14:textFill>
        </w:rPr>
        <w:t>标</w:t>
      </w:r>
      <w:r>
        <w:rPr>
          <w:rFonts w:hint="eastAsia" w:ascii="宋体" w:hAnsi="宋体" w:cs="宋体"/>
          <w:color w:val="000000" w:themeColor="text1"/>
          <w:kern w:val="0"/>
          <w14:textFill>
            <w14:solidFill>
              <w14:schemeClr w14:val="tx1"/>
            </w14:solidFill>
          </w14:textFill>
        </w:rPr>
        <w:t>报</w:t>
      </w:r>
      <w:r>
        <w:rPr>
          <w:rFonts w:hint="eastAsia" w:ascii="宋体" w:hAnsi="宋体" w:cs="宋体"/>
          <w:color w:val="000000" w:themeColor="text1"/>
          <w:spacing w:val="-2"/>
          <w:kern w:val="0"/>
          <w14:textFill>
            <w14:solidFill>
              <w14:schemeClr w14:val="tx1"/>
            </w14:solidFill>
          </w14:textFill>
        </w:rPr>
        <w:t>价</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spacing w:val="-2"/>
          <w:kern w:val="0"/>
          <w14:textFill>
            <w14:solidFill>
              <w14:schemeClr w14:val="tx1"/>
            </w14:solidFill>
          </w14:textFill>
        </w:rPr>
        <w:t>见评</w:t>
      </w:r>
      <w:r>
        <w:rPr>
          <w:rFonts w:hint="eastAsia" w:ascii="宋体" w:hAnsi="宋体" w:cs="宋体"/>
          <w:color w:val="000000" w:themeColor="text1"/>
          <w:kern w:val="0"/>
          <w14:textFill>
            <w14:solidFill>
              <w14:schemeClr w14:val="tx1"/>
            </w14:solidFill>
          </w14:textFill>
        </w:rPr>
        <w:t>标办</w:t>
      </w:r>
      <w:r>
        <w:rPr>
          <w:rFonts w:hint="eastAsia" w:ascii="宋体" w:hAnsi="宋体" w:cs="宋体"/>
          <w:color w:val="000000" w:themeColor="text1"/>
          <w:spacing w:val="-2"/>
          <w:kern w:val="0"/>
          <w14:textFill>
            <w14:solidFill>
              <w14:schemeClr w14:val="tx1"/>
            </w14:solidFill>
          </w14:textFill>
        </w:rPr>
        <w:t>法</w:t>
      </w:r>
      <w:r>
        <w:rPr>
          <w:rFonts w:hint="eastAsia" w:ascii="宋体" w:hAnsi="宋体" w:cs="宋体"/>
          <w:color w:val="000000" w:themeColor="text1"/>
          <w:kern w:val="0"/>
          <w14:textFill>
            <w14:solidFill>
              <w14:schemeClr w14:val="tx1"/>
            </w14:solidFill>
          </w14:textFill>
        </w:rPr>
        <w:t>前</w:t>
      </w:r>
      <w:r>
        <w:rPr>
          <w:rFonts w:hint="eastAsia" w:ascii="宋体" w:hAnsi="宋体" w:cs="宋体"/>
          <w:color w:val="000000" w:themeColor="text1"/>
          <w:spacing w:val="-2"/>
          <w:kern w:val="0"/>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表；</w:t>
      </w:r>
    </w:p>
    <w:p>
      <w:pPr>
        <w:autoSpaceDE w:val="0"/>
        <w:autoSpaceDN w:val="0"/>
        <w:adjustRightInd w:val="0"/>
        <w:spacing w:line="360" w:lineRule="auto"/>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spacing w:val="-2"/>
          <w:kern w:val="0"/>
          <w14:textFill>
            <w14:solidFill>
              <w14:schemeClr w14:val="tx1"/>
            </w14:solidFill>
          </w14:textFill>
        </w:rPr>
        <w:t>）监理大纲</w:t>
      </w:r>
      <w:r>
        <w:rPr>
          <w:rFonts w:hint="eastAsia" w:ascii="宋体" w:hAnsi="宋体" w:cs="宋体"/>
          <w:color w:val="000000" w:themeColor="text1"/>
          <w:kern w:val="0"/>
          <w14:textFill>
            <w14:solidFill>
              <w14:schemeClr w14:val="tx1"/>
            </w14:solidFill>
          </w14:textFill>
        </w:rPr>
        <w:t>部</w:t>
      </w:r>
      <w:r>
        <w:rPr>
          <w:rFonts w:hint="eastAsia" w:ascii="宋体" w:hAnsi="宋体" w:cs="宋体"/>
          <w:color w:val="000000" w:themeColor="text1"/>
          <w:spacing w:val="-2"/>
          <w:kern w:val="0"/>
          <w14:textFill>
            <w14:solidFill>
              <w14:schemeClr w14:val="tx1"/>
            </w14:solidFill>
          </w14:textFill>
        </w:rPr>
        <w:t>分</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spacing w:val="-2"/>
          <w:kern w:val="0"/>
          <w14:textFill>
            <w14:solidFill>
              <w14:schemeClr w14:val="tx1"/>
            </w14:solidFill>
          </w14:textFill>
        </w:rPr>
        <w:t>见评</w:t>
      </w:r>
      <w:r>
        <w:rPr>
          <w:rFonts w:hint="eastAsia" w:ascii="宋体" w:hAnsi="宋体" w:cs="宋体"/>
          <w:color w:val="000000" w:themeColor="text1"/>
          <w:kern w:val="0"/>
          <w14:textFill>
            <w14:solidFill>
              <w14:schemeClr w14:val="tx1"/>
            </w14:solidFill>
          </w14:textFill>
        </w:rPr>
        <w:t>标办</w:t>
      </w:r>
      <w:r>
        <w:rPr>
          <w:rFonts w:hint="eastAsia" w:ascii="宋体" w:hAnsi="宋体" w:cs="宋体"/>
          <w:color w:val="000000" w:themeColor="text1"/>
          <w:spacing w:val="-2"/>
          <w:kern w:val="0"/>
          <w14:textFill>
            <w14:solidFill>
              <w14:schemeClr w14:val="tx1"/>
            </w14:solidFill>
          </w14:textFill>
        </w:rPr>
        <w:t>法</w:t>
      </w:r>
      <w:r>
        <w:rPr>
          <w:rFonts w:hint="eastAsia" w:ascii="宋体" w:hAnsi="宋体" w:cs="宋体"/>
          <w:color w:val="000000" w:themeColor="text1"/>
          <w:kern w:val="0"/>
          <w14:textFill>
            <w14:solidFill>
              <w14:schemeClr w14:val="tx1"/>
            </w14:solidFill>
          </w14:textFill>
        </w:rPr>
        <w:t>前</w:t>
      </w:r>
      <w:r>
        <w:rPr>
          <w:rFonts w:hint="eastAsia" w:ascii="宋体" w:hAnsi="宋体" w:cs="宋体"/>
          <w:color w:val="000000" w:themeColor="text1"/>
          <w:spacing w:val="-2"/>
          <w:kern w:val="0"/>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表；</w:t>
      </w:r>
    </w:p>
    <w:p>
      <w:pPr>
        <w:autoSpaceDE w:val="0"/>
        <w:autoSpaceDN w:val="0"/>
        <w:adjustRightInd w:val="0"/>
        <w:spacing w:line="360" w:lineRule="auto"/>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spacing w:val="-2"/>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综合部</w:t>
      </w:r>
      <w:r>
        <w:rPr>
          <w:rFonts w:hint="eastAsia" w:ascii="宋体" w:hAnsi="宋体" w:cs="宋体"/>
          <w:color w:val="000000" w:themeColor="text1"/>
          <w:spacing w:val="-2"/>
          <w:kern w:val="0"/>
          <w14:textFill>
            <w14:solidFill>
              <w14:schemeClr w14:val="tx1"/>
            </w14:solidFill>
          </w14:textFill>
        </w:rPr>
        <w:t>分</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spacing w:val="-2"/>
          <w:kern w:val="0"/>
          <w14:textFill>
            <w14:solidFill>
              <w14:schemeClr w14:val="tx1"/>
            </w14:solidFill>
          </w14:textFill>
        </w:rPr>
        <w:t>见</w:t>
      </w:r>
      <w:r>
        <w:rPr>
          <w:rFonts w:hint="eastAsia" w:ascii="宋体" w:hAnsi="宋体" w:cs="宋体"/>
          <w:color w:val="000000" w:themeColor="text1"/>
          <w:kern w:val="0"/>
          <w14:textFill>
            <w14:solidFill>
              <w14:schemeClr w14:val="tx1"/>
            </w14:solidFill>
          </w14:textFill>
        </w:rPr>
        <w:t>评</w:t>
      </w:r>
      <w:r>
        <w:rPr>
          <w:rFonts w:hint="eastAsia" w:ascii="宋体" w:hAnsi="宋体" w:cs="宋体"/>
          <w:color w:val="000000" w:themeColor="text1"/>
          <w:spacing w:val="-2"/>
          <w:kern w:val="0"/>
          <w14:textFill>
            <w14:solidFill>
              <w14:schemeClr w14:val="tx1"/>
            </w14:solidFill>
          </w14:textFill>
        </w:rPr>
        <w:t>标办</w:t>
      </w:r>
      <w:r>
        <w:rPr>
          <w:rFonts w:hint="eastAsia" w:ascii="宋体" w:hAnsi="宋体" w:cs="宋体"/>
          <w:color w:val="000000" w:themeColor="text1"/>
          <w:kern w:val="0"/>
          <w14:textFill>
            <w14:solidFill>
              <w14:schemeClr w14:val="tx1"/>
            </w14:solidFill>
          </w14:textFill>
        </w:rPr>
        <w:t>法前</w:t>
      </w:r>
      <w:r>
        <w:rPr>
          <w:rFonts w:hint="eastAsia" w:ascii="宋体" w:hAnsi="宋体" w:cs="宋体"/>
          <w:color w:val="000000" w:themeColor="text1"/>
          <w:spacing w:val="-2"/>
          <w:kern w:val="0"/>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表；</w:t>
      </w:r>
    </w:p>
    <w:p>
      <w:pPr>
        <w:pStyle w:val="3"/>
        <w:spacing w:line="240" w:lineRule="auto"/>
        <w:rPr>
          <w:rFonts w:ascii="宋体" w:hAnsi="宋体" w:eastAsia="宋体" w:cs="宋体"/>
          <w:color w:val="000000" w:themeColor="text1"/>
          <w14:textFill>
            <w14:solidFill>
              <w14:schemeClr w14:val="tx1"/>
            </w14:solidFill>
          </w14:textFill>
        </w:rPr>
      </w:pPr>
      <w:bookmarkStart w:id="624" w:name="_Toc26287"/>
      <w:bookmarkStart w:id="625" w:name="_Toc29552"/>
      <w:bookmarkStart w:id="626" w:name="_Toc1693"/>
      <w:r>
        <w:rPr>
          <w:rFonts w:hint="eastAsia" w:ascii="宋体" w:hAnsi="宋体" w:eastAsia="宋体" w:cs="宋体"/>
          <w:color w:val="000000" w:themeColor="text1"/>
          <w14:textFill>
            <w14:solidFill>
              <w14:schemeClr w14:val="tx1"/>
            </w14:solidFill>
          </w14:textFill>
        </w:rPr>
        <w:t>3. 评标程序</w:t>
      </w:r>
      <w:bookmarkEnd w:id="616"/>
      <w:bookmarkEnd w:id="617"/>
      <w:bookmarkEnd w:id="618"/>
      <w:bookmarkEnd w:id="619"/>
      <w:bookmarkEnd w:id="620"/>
      <w:bookmarkEnd w:id="621"/>
      <w:bookmarkEnd w:id="622"/>
      <w:bookmarkEnd w:id="623"/>
      <w:bookmarkEnd w:id="624"/>
      <w:bookmarkEnd w:id="625"/>
      <w:bookmarkEnd w:id="626"/>
    </w:p>
    <w:p>
      <w:pPr>
        <w:spacing w:line="360" w:lineRule="auto"/>
        <w:rPr>
          <w:rFonts w:ascii="宋体" w:hAnsi="宋体" w:cs="宋体"/>
          <w:b/>
          <w:color w:val="000000" w:themeColor="text1"/>
          <w:sz w:val="24"/>
          <w14:textFill>
            <w14:solidFill>
              <w14:schemeClr w14:val="tx1"/>
            </w14:solidFill>
          </w14:textFill>
        </w:rPr>
      </w:pPr>
      <w:bookmarkStart w:id="627" w:name="_Toc436315382"/>
      <w:bookmarkStart w:id="628" w:name="_Toc152045605"/>
      <w:bookmarkStart w:id="629" w:name="_Toc19405"/>
      <w:bookmarkStart w:id="630" w:name="_Toc25388"/>
      <w:bookmarkStart w:id="631" w:name="_Toc435930090"/>
      <w:bookmarkStart w:id="632" w:name="_Toc247514029"/>
      <w:bookmarkStart w:id="633" w:name="_Toc152042382"/>
      <w:bookmarkStart w:id="634" w:name="_Toc247527630"/>
      <w:bookmarkStart w:id="635" w:name="_Toc144974572"/>
      <w:bookmarkStart w:id="636" w:name="_Toc436316994"/>
      <w:r>
        <w:rPr>
          <w:rFonts w:hint="eastAsia" w:ascii="宋体" w:hAnsi="宋体" w:cs="宋体"/>
          <w:b/>
          <w:color w:val="000000" w:themeColor="text1"/>
          <w:sz w:val="24"/>
          <w14:textFill>
            <w14:solidFill>
              <w14:schemeClr w14:val="tx1"/>
            </w14:solidFill>
          </w14:textFill>
        </w:rPr>
        <w:t>3.1 初步评审</w:t>
      </w:r>
      <w:bookmarkEnd w:id="627"/>
      <w:bookmarkEnd w:id="628"/>
      <w:bookmarkEnd w:id="629"/>
      <w:bookmarkEnd w:id="630"/>
      <w:bookmarkEnd w:id="631"/>
      <w:bookmarkEnd w:id="632"/>
      <w:bookmarkEnd w:id="633"/>
      <w:bookmarkEnd w:id="634"/>
      <w:bookmarkEnd w:id="635"/>
      <w:bookmarkEnd w:id="636"/>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评标委员会依据本章第2.1款规定的标准对投标文件进行初步评审。有一项不符合评审标准的，作废标处理。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投标人有以下情形之一的，其投标作废标处理：</w:t>
      </w:r>
    </w:p>
    <w:p>
      <w:pPr>
        <w:spacing w:line="360" w:lineRule="auto"/>
        <w:ind w:firstLine="718" w:firstLineChars="3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（1）第二章“投标人须知”第1.4.3项规定的任何一种情形的</w:t>
      </w:r>
    </w:p>
    <w:p>
      <w:pPr>
        <w:spacing w:line="360" w:lineRule="auto"/>
        <w:ind w:firstLine="718" w:firstLineChars="3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（2）串通投标或弄虚作假或有其他违法行为的；</w:t>
      </w:r>
    </w:p>
    <w:p>
      <w:pPr>
        <w:spacing w:line="360" w:lineRule="auto"/>
        <w:ind w:firstLine="718" w:firstLineChars="3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（3）不按评标委员会要求澄清、说明或补正的。</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3.1.3投标报价有算术错误的，评标委员会按以下原则对投标报价进行修正，修正的价格经投标人确认后具有约束力。投标人不接受修正价格的，其投标作废标处理。</w:t>
      </w:r>
    </w:p>
    <w:p>
      <w:pPr>
        <w:spacing w:line="360" w:lineRule="auto"/>
        <w:ind w:firstLine="630" w:firstLineChars="300"/>
        <w:rPr>
          <w:rFonts w:ascii="宋体" w:hAnsi="宋体" w:cs="宋体"/>
          <w:color w:val="000000" w:themeColor="text1"/>
          <w14:textFill>
            <w14:solidFill>
              <w14:schemeClr w14:val="tx1"/>
            </w14:solidFill>
          </w14:textFill>
        </w:rPr>
      </w:pPr>
      <w:bookmarkStart w:id="637" w:name="_Toc152042383"/>
      <w:r>
        <w:rPr>
          <w:rFonts w:hint="eastAsia" w:ascii="宋体" w:hAnsi="宋体" w:cs="宋体"/>
          <w:color w:val="000000" w:themeColor="text1"/>
          <w14:textFill>
            <w14:solidFill>
              <w14:schemeClr w14:val="tx1"/>
            </w14:solidFill>
          </w14:textFill>
        </w:rPr>
        <w:t>（1）投标文件中的大写金额与小写金额不一致的，以大写金额为准；</w:t>
      </w:r>
      <w:bookmarkEnd w:id="637"/>
    </w:p>
    <w:p>
      <w:pPr>
        <w:spacing w:line="360" w:lineRule="auto"/>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（2）总价金额与依据单价计算出的结果不一致的，以单价金额为准修正总价，但单价金额小数点有明显错误的除外。</w:t>
      </w:r>
    </w:p>
    <w:p>
      <w:pPr>
        <w:spacing w:line="360" w:lineRule="auto"/>
        <w:rPr>
          <w:rFonts w:ascii="宋体" w:hAnsi="宋体" w:cs="宋体"/>
          <w:b/>
          <w:color w:val="000000" w:themeColor="text1"/>
          <w:sz w:val="10"/>
          <w:szCs w:val="10"/>
          <w14:textFill>
            <w14:solidFill>
              <w14:schemeClr w14:val="tx1"/>
            </w14:solidFill>
          </w14:textFill>
        </w:rPr>
      </w:pPr>
      <w:bookmarkStart w:id="638" w:name="_Toc247514030"/>
      <w:bookmarkStart w:id="639" w:name="_Toc144974573"/>
      <w:bookmarkStart w:id="640" w:name="_Toc247527631"/>
      <w:bookmarkStart w:id="641" w:name="_Toc436315383"/>
      <w:bookmarkStart w:id="642" w:name="_Toc152042384"/>
      <w:bookmarkStart w:id="643" w:name="_Toc435930091"/>
      <w:bookmarkStart w:id="644" w:name="_Toc436316995"/>
      <w:bookmarkStart w:id="645" w:name="_Toc27463"/>
      <w:bookmarkStart w:id="646" w:name="_Toc28641"/>
      <w:bookmarkStart w:id="647" w:name="_Toc152045606"/>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 详细评审</w:t>
      </w:r>
      <w:bookmarkEnd w:id="638"/>
      <w:bookmarkEnd w:id="639"/>
      <w:bookmarkEnd w:id="640"/>
      <w:bookmarkEnd w:id="641"/>
      <w:bookmarkEnd w:id="642"/>
      <w:bookmarkEnd w:id="643"/>
      <w:bookmarkEnd w:id="644"/>
      <w:bookmarkEnd w:id="645"/>
      <w:bookmarkEnd w:id="646"/>
      <w:bookmarkEnd w:id="647"/>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评标委员会按本章第2.2款规定的量化因素和分值进行打分，并计算出综合评估得分。</w:t>
      </w:r>
    </w:p>
    <w:p>
      <w:pPr>
        <w:spacing w:line="360" w:lineRule="auto"/>
        <w:ind w:firstLine="718" w:firstLineChars="3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（1）按本章第2.2.4（1）目规定的评审因素和分值对商务标计算出得分A；</w:t>
      </w:r>
    </w:p>
    <w:p>
      <w:pPr>
        <w:spacing w:line="360" w:lineRule="auto"/>
        <w:ind w:firstLine="718" w:firstLineChars="3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（2）按本章第2.2.4（2）目规定的评审因素和分值对技术标计算出得分B；</w:t>
      </w:r>
    </w:p>
    <w:p>
      <w:pPr>
        <w:spacing w:line="360" w:lineRule="auto"/>
        <w:ind w:firstLine="718" w:firstLineChars="3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（3）按本章第2.2.4（3）目规定的评审因素和分值对综合标计算出得分C。</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评分分值计算保留小数点后两位，小数点后第三位“四舍五入”。</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 投标人得分=A+B+C。</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spacing w:line="360" w:lineRule="auto"/>
        <w:rPr>
          <w:rFonts w:ascii="宋体" w:hAnsi="宋体" w:cs="宋体"/>
          <w:b/>
          <w:color w:val="000000" w:themeColor="text1"/>
          <w:sz w:val="10"/>
          <w:szCs w:val="10"/>
          <w14:textFill>
            <w14:solidFill>
              <w14:schemeClr w14:val="tx1"/>
            </w14:solidFill>
          </w14:textFill>
        </w:rPr>
      </w:pPr>
      <w:bookmarkStart w:id="648" w:name="_Toc144974575"/>
      <w:bookmarkStart w:id="649" w:name="_Toc8031"/>
      <w:bookmarkStart w:id="650" w:name="_Toc152042385"/>
      <w:bookmarkStart w:id="651" w:name="_Toc436316996"/>
      <w:bookmarkStart w:id="652" w:name="_Toc247514031"/>
      <w:bookmarkStart w:id="653" w:name="_Toc435930092"/>
      <w:bookmarkStart w:id="654" w:name="_Toc436315384"/>
      <w:bookmarkStart w:id="655" w:name="_Toc152045607"/>
      <w:bookmarkStart w:id="656" w:name="_Toc25297"/>
      <w:bookmarkStart w:id="657" w:name="_Toc247527632"/>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3.3 投标文件的澄清</w:t>
      </w:r>
      <w:bookmarkEnd w:id="648"/>
      <w:r>
        <w:rPr>
          <w:rFonts w:hint="eastAsia" w:ascii="宋体" w:hAnsi="宋体" w:cs="宋体"/>
          <w:b/>
          <w:color w:val="000000" w:themeColor="text1"/>
          <w:sz w:val="24"/>
          <w14:textFill>
            <w14:solidFill>
              <w14:schemeClr w14:val="tx1"/>
            </w14:solidFill>
          </w14:textFill>
        </w:rPr>
        <w:t>和补正</w:t>
      </w:r>
      <w:bookmarkEnd w:id="649"/>
      <w:bookmarkEnd w:id="650"/>
      <w:bookmarkEnd w:id="651"/>
      <w:bookmarkEnd w:id="652"/>
      <w:bookmarkEnd w:id="653"/>
      <w:bookmarkEnd w:id="654"/>
      <w:bookmarkEnd w:id="655"/>
      <w:bookmarkEnd w:id="656"/>
      <w:bookmarkEnd w:id="657"/>
    </w:p>
    <w:p>
      <w:pPr>
        <w:spacing w:line="360" w:lineRule="auto"/>
        <w:ind w:firstLine="420" w:firstLineChars="200"/>
        <w:rPr>
          <w:rFonts w:ascii="宋体" w:hAnsi="宋体" w:cs="宋体"/>
          <w:color w:val="000000" w:themeColor="text1"/>
          <w14:textFill>
            <w14:solidFill>
              <w14:schemeClr w14:val="tx1"/>
            </w14:solidFill>
          </w14:textFill>
        </w:rPr>
      </w:pPr>
      <w:bookmarkStart w:id="658" w:name="_Toc247514032"/>
      <w:bookmarkStart w:id="659" w:name="_Toc436315385"/>
      <w:bookmarkStart w:id="660" w:name="_Toc144974576"/>
      <w:bookmarkStart w:id="661" w:name="_Toc435930093"/>
      <w:bookmarkStart w:id="662" w:name="_Toc436316997"/>
      <w:bookmarkStart w:id="663" w:name="_Toc247527633"/>
      <w:bookmarkStart w:id="664" w:name="_Toc17868"/>
      <w:bookmarkStart w:id="665" w:name="_Toc152042386"/>
      <w:bookmarkStart w:id="666" w:name="_Toc8622"/>
      <w:bookmarkStart w:id="667" w:name="_Toc152045608"/>
      <w:r>
        <w:rPr>
          <w:rFonts w:hint="eastAsia" w:ascii="宋体" w:hAnsi="宋体" w:cs="宋体"/>
          <w:color w:val="000000" w:themeColor="text1"/>
          <w14:textFill>
            <w14:solidFill>
              <w14:schemeClr w14:val="tx1"/>
            </w14:solidFill>
          </w14:textFill>
        </w:rPr>
        <w:t>3.3.1在评标过程中，评标委员会可以要求投标人对所提交投标文件中不明确的内容进行澄清或说明，或者对细微偏差进行补正。评标委员会不接受投标人主动提出的澄清、说明或补正。</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 澄清、说明和补正不得改变投标文件的实质性内容（算术性错误修正的除外）。投标人的澄清、说明和补正属于投标文件的组成部分。</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 评标结果</w:t>
      </w:r>
      <w:bookmarkEnd w:id="658"/>
      <w:bookmarkEnd w:id="659"/>
      <w:bookmarkEnd w:id="660"/>
      <w:bookmarkEnd w:id="661"/>
      <w:bookmarkEnd w:id="662"/>
      <w:bookmarkEnd w:id="663"/>
      <w:bookmarkEnd w:id="664"/>
      <w:bookmarkEnd w:id="665"/>
      <w:bookmarkEnd w:id="666"/>
      <w:bookmarkEnd w:id="667"/>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 除第二章“投标人须知”前附表授权直接确定中标单位外，评标委员会按照综合得分由高到低的顺序推荐3名中标候选人。</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评标委员会完成评标后，应当向招标人提交评标报告。</w:t>
      </w:r>
    </w:p>
    <w:p>
      <w:pPr>
        <w:pStyle w:val="2"/>
        <w:pageBreakBefore/>
        <w:jc w:val="center"/>
        <w:rPr>
          <w:rFonts w:ascii="宋体" w:hAnsi="宋体" w:cs="宋体"/>
          <w:color w:val="000000" w:themeColor="text1"/>
          <w14:textFill>
            <w14:solidFill>
              <w14:schemeClr w14:val="tx1"/>
            </w14:solidFill>
          </w14:textFill>
        </w:rPr>
      </w:pPr>
      <w:bookmarkStart w:id="668" w:name="_Toc31582"/>
      <w:bookmarkStart w:id="669" w:name="_Toc14285"/>
      <w:r>
        <w:rPr>
          <w:rFonts w:hint="eastAsia" w:ascii="宋体" w:hAnsi="宋体" w:cs="宋体"/>
          <w:color w:val="000000" w:themeColor="text1"/>
          <w14:textFill>
            <w14:solidFill>
              <w14:schemeClr w14:val="tx1"/>
            </w14:solidFill>
          </w14:textFill>
        </w:rPr>
        <w:t>第四章 技术条件和技术规范</w:t>
      </w:r>
      <w:bookmarkEnd w:id="668"/>
      <w:bookmarkEnd w:id="669"/>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1.工程施工质量控制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1）为确保工程项目质量目标的全面实现，提高工程项目投资效益、社会效益和环境效益，根据工程施工合同规定的质量目标，对施工全过程的质量实施监督管理；</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2）建立本项目的质量控制体系；</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3）定期组织工地例会或安全会议的；</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4）督促承包商健全与完善质量保证体系；</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5）审查承包商提交的施工组织设计或施工方案；</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6）严格控制原材料、半成品、构配件及设备的质量；</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7）施工工艺过程质量控制：现场检查、旁站、量测、试验；</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8）隐蔽工程检查验收；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9）审核设计变更及技术核定并经委托人同意；</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10）进行质量技术鉴定；</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11）组织分项工程、分部工程、单位工程及单项工程的质量评定；</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12）定期向委托人报告有关工程质量的动态情况；</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13）组织工程竣工验收；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14）经建设单位同意后发布开工令、停工令、复工令；</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15）监督施工单位按合同质量标准施工，达到合格工程标准，符合验收条件。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2.工程施工进度控制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1）编制工程施工进度控制工作细则；</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2）审核承包商提交的施工进度网络计划或横道图计划；</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3）审核承包商提交的年、季、月施工进度计划；</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4）对施工进度实施动态控制，定期检查施工进度计划执行情况，对施工实际进度与进度计划进行比较，分析产生偏差的原因，并采取有效措施加以控制，以保证工程项目按期竣工交付使用；</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5）定期向委托人报告工程施工进度的动态情况。</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3.工程施工投资控制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1）编制工程施工年、季、月资金使用计划；</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2）严格控制工程施工各项变更；</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3）对主要技术方案进行技术经济分析；</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4）核实、确认承包商已完工程量；</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5）对工程建设投资实施动态控制，对实际投资与合同价进行比较，分析产生偏差的原因，并采取有效措施加以控制，以保证工程建设投资控制目标的实现；</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6）以施工合同为依据，及时、合理地处理工程索赔。加强主动监理，减少工程索赔；</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7）定期向委托人报告有关工程建设投资的动态情况；</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8）编制工程施工结算文件。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4.安全、文明施工控制</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1）审核承包商提交的安全、文明施工措施；</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2）督促承包商落实安全、文明施工措施；</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3）定期进行安全、文明施工检查，杜绝安全事故的发生；</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4）监督施工承包单位按照工程建设强制性标准和专项安全施工方案组织施工制止违规施工作业；</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5）督促施工承包单位定期组织施工现场安全生产自查工作；</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6）督促施工承包单位按照济源市行政主管部门做好大气防治和扬尘管控等工作。</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5.工程建设合同管理</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1）协助委托人签订工程施工合同；</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2）审核分包商及劳务队伍的资质情况，随时抽查上岗人员证书情况。</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3）督促合同双方全面履行工程施工合同；</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4）公正、科学、合理地处理施工合同纠纷；</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5）定期向委托人报告施工合同的执行情况。</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6.工程施工信息管理</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1）及时收集、整理工程施工质量信息、进度信息、投资信息、合同管理信息，为各项决策提供服务；</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2）利用计算机管理技术建立工程施工信息档案。</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7.协调工程施工各有关单位的工作关系</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1）协助委托人协调工程施工外部关系；</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2）协调工程施工中委托人、设计单位、承包商之间的关系。</w:t>
      </w:r>
    </w:p>
    <w:p>
      <w:pPr>
        <w:spacing w:line="440" w:lineRule="exact"/>
        <w:ind w:firstLine="42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8.工程竣工后，依据监理合同的要求，监理单位应向委托人提供监理合同规定套数的完整的监理数据。</w:t>
      </w:r>
    </w:p>
    <w:p>
      <w:pPr>
        <w:pStyle w:val="2"/>
        <w:pageBreakBefore/>
        <w:jc w:val="center"/>
        <w:rPr>
          <w:rFonts w:ascii="宋体" w:hAnsi="宋体" w:cs="宋体"/>
          <w:color w:val="000000" w:themeColor="text1"/>
          <w14:textFill>
            <w14:solidFill>
              <w14:schemeClr w14:val="tx1"/>
            </w14:solidFill>
          </w14:textFill>
        </w:rPr>
      </w:pPr>
      <w:bookmarkStart w:id="670" w:name="_Toc5807"/>
      <w:bookmarkStart w:id="671" w:name="_Toc21319"/>
      <w:bookmarkStart w:id="672" w:name="_Toc25908"/>
      <w:bookmarkStart w:id="673" w:name="_Toc18914"/>
      <w:bookmarkStart w:id="674" w:name="_Toc20398"/>
      <w:r>
        <w:rPr>
          <w:rFonts w:hint="eastAsia" w:ascii="宋体" w:hAnsi="宋体" w:cs="宋体"/>
          <w:color w:val="000000" w:themeColor="text1"/>
          <w14:textFill>
            <w14:solidFill>
              <w14:schemeClr w14:val="tx1"/>
            </w14:solidFill>
          </w14:textFill>
        </w:rPr>
        <w:t>第五章 合同条款及格式</w:t>
      </w:r>
      <w:bookmarkEnd w:id="566"/>
      <w:bookmarkEnd w:id="567"/>
      <w:bookmarkEnd w:id="568"/>
      <w:bookmarkEnd w:id="569"/>
      <w:bookmarkEnd w:id="570"/>
      <w:bookmarkStart w:id="675" w:name="_Toc184635097"/>
      <w:bookmarkStart w:id="676" w:name="_Toc247514034"/>
      <w:bookmarkStart w:id="677" w:name="_Toc144974578"/>
      <w:bookmarkStart w:id="678" w:name="_Toc152042388"/>
      <w:bookmarkStart w:id="679" w:name="_Toc247527635"/>
      <w:bookmarkStart w:id="680" w:name="_Toc152045610"/>
      <w:r>
        <w:rPr>
          <w:rFonts w:hint="eastAsia" w:ascii="宋体" w:hAnsi="宋体" w:cs="宋体"/>
          <w:color w:val="000000" w:themeColor="text1"/>
          <w14:textFill>
            <w14:solidFill>
              <w14:schemeClr w14:val="tx1"/>
            </w14:solidFill>
          </w14:textFill>
        </w:rPr>
        <w:t>（参考）</w:t>
      </w:r>
      <w:bookmarkEnd w:id="670"/>
      <w:bookmarkEnd w:id="671"/>
      <w:bookmarkEnd w:id="672"/>
      <w:bookmarkEnd w:id="673"/>
      <w:bookmarkEnd w:id="674"/>
    </w:p>
    <w:bookmarkEnd w:id="675"/>
    <w:bookmarkEnd w:id="676"/>
    <w:bookmarkEnd w:id="677"/>
    <w:bookmarkEnd w:id="678"/>
    <w:bookmarkEnd w:id="679"/>
    <w:bookmarkEnd w:id="680"/>
    <w:p>
      <w:pPr>
        <w:spacing w:line="500" w:lineRule="exact"/>
        <w:ind w:firstLine="2811" w:firstLineChars="1000"/>
        <w:rPr>
          <w:rFonts w:ascii="宋体" w:hAnsi="宋体" w:cs="宋体"/>
          <w:b/>
          <w:color w:val="000000" w:themeColor="text1"/>
          <w:sz w:val="13"/>
          <w:szCs w:val="24"/>
          <w14:textFill>
            <w14:solidFill>
              <w14:schemeClr w14:val="tx1"/>
            </w14:solidFill>
          </w14:textFill>
        </w:rPr>
      </w:pPr>
      <w:bookmarkStart w:id="681" w:name="_Toc152045786"/>
      <w:bookmarkStart w:id="682" w:name="_Toc144974855"/>
      <w:bookmarkStart w:id="683" w:name="_Toc247514245"/>
      <w:bookmarkStart w:id="684" w:name="_Toc152042575"/>
      <w:bookmarkStart w:id="685" w:name="_Toc247527826"/>
      <w:r>
        <w:rPr>
          <w:rFonts w:hint="eastAsia" w:ascii="宋体" w:hAnsi="宋体" w:cs="宋体"/>
          <w:b/>
          <w:color w:val="000000" w:themeColor="text1"/>
          <w:kern w:val="44"/>
          <w:sz w:val="28"/>
          <w:szCs w:val="24"/>
          <w14:textFill>
            <w14:solidFill>
              <w14:schemeClr w14:val="tx1"/>
            </w14:solidFill>
          </w14:textFill>
        </w:rPr>
        <w:t>第一部分  协议书</w:t>
      </w:r>
    </w:p>
    <w:p>
      <w:pPr>
        <w:snapToGrid w:val="0"/>
        <w:spacing w:line="360" w:lineRule="auto"/>
        <w:ind w:firstLine="422" w:firstLineChars="20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委托人（全称）：</w:t>
      </w:r>
      <w:r>
        <w:rPr>
          <w:rFonts w:hint="eastAsia" w:ascii="宋体" w:hAnsi="宋体" w:cs="宋体"/>
          <w:b/>
          <w:color w:val="000000" w:themeColor="text1"/>
          <w:szCs w:val="24"/>
          <w:u w:val="single"/>
          <w14:textFill>
            <w14:solidFill>
              <w14:schemeClr w14:val="tx1"/>
            </w14:solidFill>
          </w14:textFill>
        </w:rPr>
        <w:t xml:space="preserve">            </w:t>
      </w:r>
    </w:p>
    <w:p>
      <w:pPr>
        <w:snapToGrid w:val="0"/>
        <w:spacing w:line="360" w:lineRule="auto"/>
        <w:ind w:firstLine="422" w:firstLineChars="200"/>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监理人（全称）：</w:t>
      </w:r>
      <w:r>
        <w:rPr>
          <w:rFonts w:hint="eastAsia" w:ascii="宋体" w:hAnsi="宋体" w:cs="宋体"/>
          <w:b/>
          <w:color w:val="000000" w:themeColor="text1"/>
          <w:szCs w:val="24"/>
          <w:u w:val="single"/>
          <w14:textFill>
            <w14:solidFill>
              <w14:schemeClr w14:val="tx1"/>
            </w14:solidFill>
          </w14:textFill>
        </w:rPr>
        <w:t xml:space="preserve">            </w:t>
      </w:r>
    </w:p>
    <w:p>
      <w:pPr>
        <w:snapToGrid w:val="0"/>
        <w:spacing w:line="360" w:lineRule="auto"/>
        <w:ind w:firstLine="420" w:firstLineChars="200"/>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根据《中华人民共和国民法典》、《中华人民共和国建筑法》及其他有关法律、法规，遵循平等、自愿、公平和诚信的原则，双方就下述工程委托监理与相关服务事项协商一致，订立本合同。</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686" w:name="_Toc27895"/>
      <w:bookmarkStart w:id="687" w:name="_Toc26799"/>
      <w:bookmarkStart w:id="688" w:name="_Toc29203"/>
      <w:bookmarkStart w:id="689" w:name="_Toc29850"/>
      <w:r>
        <w:rPr>
          <w:rFonts w:hint="eastAsia" w:ascii="宋体" w:hAnsi="宋体" w:cs="宋体"/>
          <w:b/>
          <w:color w:val="000000" w:themeColor="text1"/>
          <w:szCs w:val="24"/>
          <w14:textFill>
            <w14:solidFill>
              <w14:schemeClr w14:val="tx1"/>
            </w14:solidFill>
          </w14:textFill>
        </w:rPr>
        <w:t>一、工程概况</w:t>
      </w:r>
      <w:bookmarkEnd w:id="686"/>
      <w:bookmarkEnd w:id="687"/>
      <w:bookmarkEnd w:id="688"/>
      <w:bookmarkEnd w:id="689"/>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 工程名称：</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b/>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2. 工程地点：</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 工程规模：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 工程概算投资额或</w:t>
      </w:r>
      <w:r>
        <w:rPr>
          <w:rFonts w:hint="eastAsia"/>
          <w:bCs/>
          <w:color w:val="000000" w:themeColor="text1"/>
          <w14:textFill>
            <w14:solidFill>
              <w14:schemeClr w14:val="tx1"/>
            </w14:solidFill>
          </w14:textFill>
        </w:rPr>
        <w:t>建筑安装工程费</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二、词语限定</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协议书中相关词语的含义与通用条件中的定义与解释相同。</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690" w:name="_Toc7740"/>
      <w:bookmarkStart w:id="691" w:name="_Toc6322"/>
      <w:bookmarkStart w:id="692" w:name="_Toc25040"/>
      <w:bookmarkStart w:id="693" w:name="_Toc19046"/>
      <w:r>
        <w:rPr>
          <w:rFonts w:hint="eastAsia" w:ascii="宋体" w:hAnsi="宋体" w:cs="宋体"/>
          <w:b/>
          <w:color w:val="000000" w:themeColor="text1"/>
          <w:szCs w:val="24"/>
          <w14:textFill>
            <w14:solidFill>
              <w14:schemeClr w14:val="tx1"/>
            </w14:solidFill>
          </w14:textFill>
        </w:rPr>
        <w:t>三、组成本合同的文件</w:t>
      </w:r>
      <w:bookmarkEnd w:id="690"/>
      <w:bookmarkEnd w:id="691"/>
      <w:bookmarkEnd w:id="692"/>
      <w:bookmarkEnd w:id="693"/>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 协议书；</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 中标通知书（适用于招标工程）或委托书（适用于非招标工程）；</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 投标文件（适用于招标工程）或监理与相关服务建议书（适用于非招标工程）；</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4. 专用条件；</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 通用条件；</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 附录，即：</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附录A  相关服务的范围和内容。</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附录B  委托人派遣的人员和提供的房屋、资料、设备。</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本合同签订后，双方依法签订的补充协议也是本合同文件的组成部分。</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694" w:name="_Toc24912"/>
      <w:bookmarkStart w:id="695" w:name="_Toc9594"/>
      <w:bookmarkStart w:id="696" w:name="_Toc9303"/>
      <w:bookmarkStart w:id="697" w:name="_Toc5194"/>
      <w:r>
        <w:rPr>
          <w:rFonts w:hint="eastAsia" w:ascii="宋体" w:hAnsi="宋体" w:cs="宋体"/>
          <w:b/>
          <w:color w:val="000000" w:themeColor="text1"/>
          <w:szCs w:val="24"/>
          <w14:textFill>
            <w14:solidFill>
              <w14:schemeClr w14:val="tx1"/>
            </w14:solidFill>
          </w14:textFill>
        </w:rPr>
        <w:t>四、总监理工程师</w:t>
      </w:r>
      <w:bookmarkEnd w:id="694"/>
      <w:bookmarkEnd w:id="695"/>
      <w:bookmarkEnd w:id="696"/>
      <w:bookmarkEnd w:id="697"/>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总监理工程师姓名：</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，身份证号码：</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，注册号：</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698" w:name="_Toc15406"/>
      <w:bookmarkStart w:id="699" w:name="_Toc25713"/>
      <w:bookmarkStart w:id="700" w:name="_Toc7512"/>
      <w:bookmarkStart w:id="701" w:name="_Toc3824"/>
      <w:r>
        <w:rPr>
          <w:rFonts w:hint="eastAsia" w:ascii="宋体" w:hAnsi="宋体" w:cs="宋体"/>
          <w:b/>
          <w:color w:val="000000" w:themeColor="text1"/>
          <w:szCs w:val="24"/>
          <w14:textFill>
            <w14:solidFill>
              <w14:schemeClr w14:val="tx1"/>
            </w14:solidFill>
          </w14:textFill>
        </w:rPr>
        <w:t>五、签约酬金</w:t>
      </w:r>
      <w:bookmarkEnd w:id="698"/>
      <w:bookmarkEnd w:id="699"/>
      <w:bookmarkEnd w:id="700"/>
      <w:bookmarkEnd w:id="701"/>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监理合同额=监理单位中标金额</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包括：</w:t>
      </w:r>
    </w:p>
    <w:p>
      <w:pPr>
        <w:keepNext w:val="0"/>
        <w:keepLines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ascii="宋体" w:hAnsi="宋体" w:cs="宋体"/>
          <w:b/>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1. 监理酬金：</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lang w:val="en-US" w:eastAsia="zh-CN"/>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 相关服务酬金：</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无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其中：</w:t>
      </w:r>
    </w:p>
    <w:p>
      <w:pPr>
        <w:keepNext w:val="0"/>
        <w:keepLines w:val="0"/>
        <w:widowControl w:val="0"/>
        <w:kinsoku/>
        <w:wordWrap/>
        <w:overflowPunct/>
        <w:topLinePunct w:val="0"/>
        <w:autoSpaceDE/>
        <w:autoSpaceDN/>
        <w:bidi w:val="0"/>
        <w:adjustRightInd/>
        <w:snapToGrid w:val="0"/>
        <w:spacing w:line="360" w:lineRule="auto"/>
        <w:ind w:firstLine="840" w:firstLineChars="4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（1）勘察阶段服务酬金：</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无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840" w:firstLineChars="4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（2）设计阶段服务酬金：</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无</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840" w:firstLineChars="4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（3）保修阶段服务酬金：</w:t>
      </w:r>
      <w:r>
        <w:rPr>
          <w:rFonts w:hint="eastAsia" w:ascii="宋体" w:hAnsi="宋体" w:cs="宋体"/>
          <w:color w:val="000000" w:themeColor="text1"/>
          <w:szCs w:val="24"/>
          <w:u w:val="single"/>
          <w14:textFill>
            <w14:solidFill>
              <w14:schemeClr w14:val="tx1"/>
            </w14:solidFill>
          </w14:textFill>
        </w:rPr>
        <w:t xml:space="preserve">      无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840" w:firstLineChars="400"/>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（4）其他相关服务酬金：</w:t>
      </w:r>
      <w:r>
        <w:rPr>
          <w:rFonts w:hint="eastAsia" w:ascii="宋体" w:hAnsi="宋体" w:cs="宋体"/>
          <w:color w:val="000000" w:themeColor="text1"/>
          <w:szCs w:val="24"/>
          <w:u w:val="single"/>
          <w14:textFill>
            <w14:solidFill>
              <w14:schemeClr w14:val="tx1"/>
            </w14:solidFill>
          </w14:textFill>
        </w:rPr>
        <w:t xml:space="preserve">      无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702" w:name="_Toc6356"/>
      <w:bookmarkStart w:id="703" w:name="_Toc18909"/>
      <w:bookmarkStart w:id="704" w:name="_Toc14874"/>
      <w:bookmarkStart w:id="705" w:name="_Toc25402"/>
      <w:r>
        <w:rPr>
          <w:rFonts w:hint="eastAsia" w:ascii="宋体" w:hAnsi="宋体" w:cs="宋体"/>
          <w:b/>
          <w:color w:val="000000" w:themeColor="text1"/>
          <w:szCs w:val="24"/>
          <w14:textFill>
            <w14:solidFill>
              <w14:schemeClr w14:val="tx1"/>
            </w14:solidFill>
          </w14:textFill>
        </w:rPr>
        <w:t>六、期限</w:t>
      </w:r>
      <w:bookmarkEnd w:id="702"/>
      <w:bookmarkEnd w:id="703"/>
      <w:bookmarkEnd w:id="704"/>
      <w:bookmarkEnd w:id="705"/>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1. 监理期限：</w:t>
      </w:r>
      <w:r>
        <w:rPr>
          <w:rFonts w:hint="eastAsia" w:ascii="宋体" w:hAnsi="宋体" w:cs="宋体"/>
          <w:color w:val="000000" w:themeColor="text1"/>
          <w:szCs w:val="24"/>
          <w:u w:val="single"/>
          <w14:textFill>
            <w14:solidFill>
              <w14:schemeClr w14:val="tx1"/>
            </w14:solidFill>
          </w14:textFill>
        </w:rPr>
        <w:t>该项目开工准备阶段、施工阶段、竣工验收、工程备案阶段及质保期等全过程的监理。自施工单位进场前7天，甲方书面通知监理进场</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 相关服务期限：</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（1）勘察阶段服务期限自</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日始，至</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日止。</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（2）设计阶段服务期限自</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日始，至</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日止。</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（3）保修阶段服务期限自</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日始，至</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日止。</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（4）其他相关服务期限自工程备案合格日止。</w:t>
      </w:r>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706" w:name="_Toc6598"/>
      <w:bookmarkStart w:id="707" w:name="_Toc12774"/>
      <w:bookmarkStart w:id="708" w:name="_Toc29210"/>
      <w:bookmarkStart w:id="709" w:name="_Toc20136"/>
      <w:r>
        <w:rPr>
          <w:rFonts w:hint="eastAsia" w:ascii="宋体" w:hAnsi="宋体" w:cs="宋体"/>
          <w:b/>
          <w:color w:val="000000" w:themeColor="text1"/>
          <w:szCs w:val="24"/>
          <w14:textFill>
            <w14:solidFill>
              <w14:schemeClr w14:val="tx1"/>
            </w14:solidFill>
          </w14:textFill>
        </w:rPr>
        <w:t>七、双方承诺</w:t>
      </w:r>
      <w:bookmarkEnd w:id="706"/>
      <w:bookmarkEnd w:id="707"/>
      <w:bookmarkEnd w:id="708"/>
      <w:bookmarkEnd w:id="709"/>
    </w:p>
    <w:p>
      <w:pPr>
        <w:keepNext w:val="0"/>
        <w:keepLines w:val="0"/>
        <w:widowControl w:val="0"/>
        <w:kinsoku/>
        <w:wordWrap/>
        <w:overflowPunct/>
        <w:topLinePunct w:val="0"/>
        <w:autoSpaceDE/>
        <w:autoSpaceDN/>
        <w:bidi w:val="0"/>
        <w:adjustRightInd/>
        <w:spacing w:line="360" w:lineRule="auto"/>
        <w:ind w:firstLine="415" w:firstLineChars="198"/>
        <w:textAlignment w:val="auto"/>
        <w:outlineLvl w:val="9"/>
        <w:rPr>
          <w:rFonts w:ascii="宋体" w:hAnsi="宋体" w:cs="宋体"/>
          <w:b/>
          <w:color w:val="000000" w:themeColor="text1"/>
          <w:szCs w:val="24"/>
          <w14:textFill>
            <w14:solidFill>
              <w14:schemeClr w14:val="tx1"/>
            </w14:solidFill>
          </w14:textFill>
        </w:rPr>
      </w:pPr>
      <w:bookmarkStart w:id="710" w:name="_Toc22769"/>
      <w:bookmarkStart w:id="711" w:name="_Toc10427"/>
      <w:bookmarkStart w:id="712" w:name="_Toc17074"/>
      <w:bookmarkStart w:id="713" w:name="_Toc2059"/>
      <w:r>
        <w:rPr>
          <w:rFonts w:hint="eastAsia" w:ascii="宋体" w:hAnsi="宋体" w:cs="宋体"/>
          <w:color w:val="000000" w:themeColor="text1"/>
          <w:szCs w:val="24"/>
          <w14:textFill>
            <w14:solidFill>
              <w14:schemeClr w14:val="tx1"/>
            </w14:solidFill>
          </w14:textFill>
        </w:rPr>
        <w:t>1. 监理人向委托人承诺，按照本合同约定提供监理与相关服务。</w:t>
      </w:r>
      <w:bookmarkEnd w:id="710"/>
      <w:bookmarkEnd w:id="711"/>
      <w:bookmarkEnd w:id="712"/>
      <w:bookmarkEnd w:id="713"/>
    </w:p>
    <w:p>
      <w:pPr>
        <w:keepNext w:val="0"/>
        <w:keepLines w:val="0"/>
        <w:widowControl w:val="0"/>
        <w:kinsoku/>
        <w:wordWrap/>
        <w:overflowPunct/>
        <w:topLinePunct w:val="0"/>
        <w:autoSpaceDE/>
        <w:autoSpaceDN/>
        <w:bidi w:val="0"/>
        <w:adjustRightInd/>
        <w:spacing w:line="360" w:lineRule="auto"/>
        <w:ind w:firstLine="415" w:firstLineChars="198"/>
        <w:textAlignment w:val="auto"/>
        <w:outlineLvl w:val="9"/>
        <w:rPr>
          <w:rFonts w:ascii="宋体" w:hAnsi="宋体" w:cs="宋体"/>
          <w:b/>
          <w:color w:val="000000" w:themeColor="text1"/>
          <w:szCs w:val="24"/>
          <w14:textFill>
            <w14:solidFill>
              <w14:schemeClr w14:val="tx1"/>
            </w14:solidFill>
          </w14:textFill>
        </w:rPr>
      </w:pPr>
      <w:bookmarkStart w:id="714" w:name="_Toc1528"/>
      <w:bookmarkStart w:id="715" w:name="_Toc19258"/>
      <w:bookmarkStart w:id="716" w:name="_Toc18330"/>
      <w:bookmarkStart w:id="717" w:name="_Toc16524"/>
      <w:r>
        <w:rPr>
          <w:rFonts w:hint="eastAsia" w:ascii="宋体" w:hAnsi="宋体" w:cs="宋体"/>
          <w:color w:val="000000" w:themeColor="text1"/>
          <w:szCs w:val="24"/>
          <w14:textFill>
            <w14:solidFill>
              <w14:schemeClr w14:val="tx1"/>
            </w14:solidFill>
          </w14:textFill>
        </w:rPr>
        <w:t>2. 委托人向监理人承诺，按照本合同约定派遣相应的人员，提供房屋、资料、设备，并按本合同约定支付酬金。</w:t>
      </w:r>
      <w:bookmarkEnd w:id="714"/>
      <w:bookmarkEnd w:id="715"/>
      <w:bookmarkEnd w:id="716"/>
      <w:bookmarkEnd w:id="717"/>
    </w:p>
    <w:p>
      <w:pPr>
        <w:keepNext w:val="0"/>
        <w:keepLines w:val="0"/>
        <w:widowControl w:val="0"/>
        <w:kinsoku/>
        <w:wordWrap/>
        <w:overflowPunct/>
        <w:topLinePunct w:val="0"/>
        <w:autoSpaceDE/>
        <w:autoSpaceDN/>
        <w:bidi w:val="0"/>
        <w:adjustRightInd/>
        <w:spacing w:line="360" w:lineRule="auto"/>
        <w:ind w:firstLine="417" w:firstLineChars="198"/>
        <w:textAlignment w:val="auto"/>
        <w:outlineLvl w:val="9"/>
        <w:rPr>
          <w:rFonts w:ascii="宋体" w:hAnsi="宋体" w:cs="宋体"/>
          <w:b/>
          <w:color w:val="000000" w:themeColor="text1"/>
          <w:szCs w:val="24"/>
          <w14:textFill>
            <w14:solidFill>
              <w14:schemeClr w14:val="tx1"/>
            </w14:solidFill>
          </w14:textFill>
        </w:rPr>
      </w:pPr>
      <w:bookmarkStart w:id="718" w:name="_Toc4294"/>
      <w:bookmarkStart w:id="719" w:name="_Toc21875"/>
      <w:bookmarkStart w:id="720" w:name="_Toc18028"/>
      <w:bookmarkStart w:id="721" w:name="_Toc10694"/>
      <w:r>
        <w:rPr>
          <w:rFonts w:hint="eastAsia" w:ascii="宋体" w:hAnsi="宋体" w:cs="宋体"/>
          <w:b/>
          <w:color w:val="000000" w:themeColor="text1"/>
          <w:szCs w:val="24"/>
          <w14:textFill>
            <w14:solidFill>
              <w14:schemeClr w14:val="tx1"/>
            </w14:solidFill>
          </w14:textFill>
        </w:rPr>
        <w:t>八、合同订立</w:t>
      </w:r>
      <w:bookmarkEnd w:id="718"/>
      <w:bookmarkEnd w:id="719"/>
      <w:bookmarkEnd w:id="720"/>
      <w:bookmarkEnd w:id="721"/>
    </w:p>
    <w:p>
      <w:pPr>
        <w:keepNext w:val="0"/>
        <w:keepLines w:val="0"/>
        <w:widowControl w:val="0"/>
        <w:kinsoku/>
        <w:wordWrap/>
        <w:overflowPunct/>
        <w:topLinePunct w:val="0"/>
        <w:autoSpaceDE/>
        <w:autoSpaceDN/>
        <w:bidi w:val="0"/>
        <w:adjustRightInd/>
        <w:snapToGrid w:val="0"/>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 订立时间：</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年</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日。</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 订立地点：</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焦作市</w:t>
      </w:r>
      <w:r>
        <w:rPr>
          <w:rFonts w:hint="eastAsia" w:ascii="宋体" w:hAnsi="宋体" w:cs="宋体"/>
          <w:color w:val="000000" w:themeColor="text1"/>
          <w:szCs w:val="24"/>
          <w:u w:val="single"/>
          <w:lang w:eastAsia="zh-CN"/>
          <w14:textFill>
            <w14:solidFill>
              <w14:schemeClr w14:val="tx1"/>
            </w14:solidFill>
          </w14:textFill>
        </w:rPr>
        <w:t>解放区</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 本合同一式</w:t>
      </w:r>
      <w:r>
        <w:rPr>
          <w:rFonts w:hint="eastAsia" w:ascii="宋体" w:hAnsi="宋体" w:cs="宋体"/>
          <w:color w:val="000000" w:themeColor="text1"/>
          <w:szCs w:val="24"/>
          <w:u w:val="single"/>
          <w14:textFill>
            <w14:solidFill>
              <w14:schemeClr w14:val="tx1"/>
            </w14:solidFill>
          </w14:textFill>
        </w:rPr>
        <w:t xml:space="preserve"> 捌 </w:t>
      </w:r>
      <w:r>
        <w:rPr>
          <w:rFonts w:hint="eastAsia" w:ascii="宋体" w:hAnsi="宋体" w:cs="宋体"/>
          <w:color w:val="000000" w:themeColor="text1"/>
          <w:szCs w:val="24"/>
          <w14:textFill>
            <w14:solidFill>
              <w14:schemeClr w14:val="tx1"/>
            </w14:solidFill>
          </w14:textFill>
        </w:rPr>
        <w:t>份，具有同等法律效力，委托人执</w:t>
      </w:r>
      <w:r>
        <w:rPr>
          <w:rFonts w:hint="eastAsia" w:ascii="宋体" w:hAnsi="宋体" w:cs="宋体"/>
          <w:color w:val="000000" w:themeColor="text1"/>
          <w:szCs w:val="24"/>
          <w:u w:val="single"/>
          <w14:textFill>
            <w14:solidFill>
              <w14:schemeClr w14:val="tx1"/>
            </w14:solidFill>
          </w14:textFill>
        </w:rPr>
        <w:t xml:space="preserve"> 肆 </w:t>
      </w:r>
      <w:r>
        <w:rPr>
          <w:rFonts w:hint="eastAsia" w:ascii="宋体" w:hAnsi="宋体" w:cs="宋体"/>
          <w:color w:val="000000" w:themeColor="text1"/>
          <w:szCs w:val="24"/>
          <w14:textFill>
            <w14:solidFill>
              <w14:schemeClr w14:val="tx1"/>
            </w14:solidFill>
          </w14:textFill>
        </w:rPr>
        <w:t>份，监理人执</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肆 </w:t>
      </w:r>
      <w:r>
        <w:rPr>
          <w:rFonts w:hint="eastAsia" w:ascii="宋体" w:hAnsi="宋体" w:cs="宋体"/>
          <w:color w:val="000000" w:themeColor="text1"/>
          <w:szCs w:val="24"/>
          <w14:textFill>
            <w14:solidFill>
              <w14:schemeClr w14:val="tx1"/>
            </w14:solidFill>
          </w14:textFill>
        </w:rPr>
        <w:t>份。</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委托人：</w:t>
      </w:r>
      <w:r>
        <w:rPr>
          <w:rFonts w:hint="eastAsia" w:ascii="宋体" w:hAnsi="宋体" w:cs="宋体"/>
          <w:color w:val="000000" w:themeColor="text1"/>
          <w:szCs w:val="24"/>
          <w:u w:val="single"/>
          <w14:textFill>
            <w14:solidFill>
              <w14:schemeClr w14:val="tx1"/>
            </w14:solidFill>
          </w14:textFill>
        </w:rPr>
        <w:t xml:space="preserve">   （盖章）                 </w:t>
      </w:r>
      <w:r>
        <w:rPr>
          <w:rFonts w:hint="eastAsia" w:ascii="宋体" w:hAnsi="宋体" w:cs="宋体"/>
          <w:color w:val="000000" w:themeColor="text1"/>
          <w:szCs w:val="24"/>
          <w14:textFill>
            <w14:solidFill>
              <w14:schemeClr w14:val="tx1"/>
            </w14:solidFill>
          </w14:textFill>
        </w:rPr>
        <w:t xml:space="preserve">   监理人：</w:t>
      </w:r>
      <w:r>
        <w:rPr>
          <w:rFonts w:hint="eastAsia" w:ascii="宋体" w:hAnsi="宋体" w:cs="宋体"/>
          <w:color w:val="000000" w:themeColor="text1"/>
          <w:szCs w:val="24"/>
          <w:u w:val="single"/>
          <w14:textFill>
            <w14:solidFill>
              <w14:schemeClr w14:val="tx1"/>
            </w14:solidFill>
          </w14:textFill>
        </w:rPr>
        <w:t xml:space="preserve">   （  盖章）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住所：</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住所： </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邮政编码：</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邮政编码：</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法定代表人：</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法定代表人：</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委托代理人：</w:t>
      </w:r>
      <w:r>
        <w:rPr>
          <w:rFonts w:hint="eastAsia" w:ascii="宋体" w:hAnsi="宋体" w:cs="宋体"/>
          <w:color w:val="000000" w:themeColor="text1"/>
          <w:szCs w:val="24"/>
          <w:u w:val="single"/>
          <w14:textFill>
            <w14:solidFill>
              <w14:schemeClr w14:val="tx1"/>
            </w14:solidFill>
          </w14:textFill>
        </w:rPr>
        <w:t xml:space="preserve">（签字）                 </w:t>
      </w:r>
      <w:r>
        <w:rPr>
          <w:rFonts w:hint="eastAsia" w:ascii="宋体" w:hAnsi="宋体" w:cs="宋体"/>
          <w:color w:val="000000" w:themeColor="text1"/>
          <w:szCs w:val="24"/>
          <w14:textFill>
            <w14:solidFill>
              <w14:schemeClr w14:val="tx1"/>
            </w14:solidFill>
          </w14:textFill>
        </w:rPr>
        <w:t xml:space="preserve">  委托代理人：</w:t>
      </w:r>
      <w:r>
        <w:rPr>
          <w:rFonts w:hint="eastAsia" w:ascii="宋体" w:hAnsi="宋体" w:cs="宋体"/>
          <w:color w:val="000000" w:themeColor="text1"/>
          <w:szCs w:val="24"/>
          <w:u w:val="single"/>
          <w14:textFill>
            <w14:solidFill>
              <w14:schemeClr w14:val="tx1"/>
            </w14:solidFill>
          </w14:textFill>
        </w:rPr>
        <w:t xml:space="preserve">（签字）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统一社会信用代码：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统一社会信用代码：</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开户银行：</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开户银行：</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账号：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账号：</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电话：</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传真：</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传真：</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电子邮箱：</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 xml:space="preserve"> 电子邮箱：</w:t>
      </w:r>
      <w:r>
        <w:rPr>
          <w:rFonts w:hint="eastAsia" w:ascii="宋体" w:hAnsi="宋体" w:cs="宋体"/>
          <w:color w:val="000000" w:themeColor="text1"/>
          <w:szCs w:val="24"/>
          <w:u w:val="single"/>
          <w14:textFill>
            <w14:solidFill>
              <w14:schemeClr w14:val="tx1"/>
            </w14:solidFill>
          </w14:textFill>
        </w:rPr>
        <w:t xml:space="preserve">                           </w:t>
      </w:r>
    </w:p>
    <w:p>
      <w:pPr>
        <w:keepNext w:val="0"/>
        <w:keepLines w:val="0"/>
        <w:pageBreakBefore/>
        <w:widowControl w:val="0"/>
        <w:kinsoku/>
        <w:wordWrap/>
        <w:overflowPunct/>
        <w:topLinePunct w:val="0"/>
        <w:autoSpaceDE/>
        <w:autoSpaceDN/>
        <w:bidi w:val="0"/>
        <w:adjustRightInd/>
        <w:spacing w:line="360" w:lineRule="auto"/>
        <w:jc w:val="center"/>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第二部分  通用条件</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 定义与解释</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 定义</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除根据上下文另有其意义外，组成本合同的全部文件中的下列名词和用语应具有本款所赋予的含义：</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 “工程”是指按照本合同约定实施监理与相关服务的建设工程。</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1.1.2 “委托人”是指本合同中委托监理与相关服务的一方，及其合法的继承人或受让人。</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1.1.3 “监理人”是指本合同中提供监理与相关服务的一方，及其合法的继承人。</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1.1.4 “承包人”是指在工程范围内与委托人签订勘察、设计、施工等有关合同的当事人，及其合法的继承人。</w:t>
      </w:r>
    </w:p>
    <w:p>
      <w:pPr>
        <w:pStyle w:val="15"/>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1.1.6 “相关服务”是指监理人受委托人的委托 ，按照本合同约定，在勘察、设计、保修等阶段提供的服务活动。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1.1.7 “正常工作”指本合同订立时通用条件和专用条件中约定的监理人的工作。</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1.1.8 “附加工作”是指本合同约定的正常工作以外监理人的工作。</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1.1.9 “项目监理机构”是指监理人派驻工程负责履行本合同的组织机构。</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1.1.10 “总监理工程师”是指由监理人的法定代表人书面授权，全面负责履行本合同、主持项目监理机构工作的注册监理工程师。</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1.1.11 “酬金”是指监理人履行本合同义务，委托人按照本合同约定给付监理人的金额。</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1.1.12 “正常工作酬金”是指监理人完成正常工作，委托人应给付监理人并在协议书中载明的签约酬金额。</w:t>
      </w:r>
    </w:p>
    <w:p>
      <w:pPr>
        <w:keepNext w:val="0"/>
        <w:keepLines w:val="0"/>
        <w:widowControl w:val="0"/>
        <w:kinsoku/>
        <w:wordWrap/>
        <w:overflowPunct/>
        <w:topLinePunct w:val="0"/>
        <w:autoSpaceDE/>
        <w:autoSpaceDN/>
        <w:bidi w:val="0"/>
        <w:adjustRightInd/>
        <w:snapToGrid w:val="0"/>
        <w:spacing w:line="360" w:lineRule="auto"/>
        <w:ind w:firstLine="415" w:firstLineChars="1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1.1.13 “附加工作酬金”是指监理人完成附加工作，委托人应给付监理人的金额。</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1.1.14 “一方”是指委托人或监理人；“双方”是指委托人和监理人；“第三方”是指除委托人和监理人以外的有关方。</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1.1.15 “书面形式”是指合同书、信件和数据电文（包括电报、电传、传真、电子数据交换和电子邮件）等可以有形地表现所载内容的形式。</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1.1.16 “天”是指第一天零时至第二天零时的时间。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1.1.17“月”是指按公历从一个月中任何一天开始的一个公历月时间。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 解释</w:t>
      </w:r>
    </w:p>
    <w:p>
      <w:pPr>
        <w:keepNext w:val="0"/>
        <w:keepLines w:val="0"/>
        <w:widowControl w:val="0"/>
        <w:tabs>
          <w:tab w:val="left" w:pos="6140"/>
        </w:tabs>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1.2.1本合同使用中文书写、解释和说明。如专用条件约定使用两种及以上语言文字时，应以中文为准。</w:t>
      </w:r>
    </w:p>
    <w:p>
      <w:pPr>
        <w:keepNext w:val="0"/>
        <w:keepLines w:val="0"/>
        <w:widowControl w:val="0"/>
        <w:tabs>
          <w:tab w:val="left" w:pos="6140"/>
        </w:tabs>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1.2.2 组成本合同的下列文件彼此应能相互解释、互为说明。除专用条件另有约定外，本合同文件的解释顺序如下：</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（1）协议书；</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（2）中标通知书（适用于招标工程）或委托书（适用于非招标工程）；</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（3）专用条件及附录A、附录B；</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（4）通用条件；</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（5）投标文件（适用于招标工程）或监理与相关服务建议书（适用于非招标工程）。</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双方签订的补充协议与其他文件发生矛盾或歧义时，属于同一类内容的文件，应以最新签署的为准。</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 监理人的义务</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2.1 监理的范围和工作内容</w:t>
      </w:r>
    </w:p>
    <w:p>
      <w:pPr>
        <w:keepNext w:val="0"/>
        <w:keepLines w:val="0"/>
        <w:widowControl w:val="0"/>
        <w:kinsoku/>
        <w:wordWrap/>
        <w:overflowPunct/>
        <w:topLinePunct w:val="0"/>
        <w:autoSpaceDE/>
        <w:autoSpaceDN/>
        <w:bidi w:val="0"/>
        <w:adjustRightInd/>
        <w:snapToGrid w:val="0"/>
        <w:spacing w:line="360" w:lineRule="auto"/>
        <w:ind w:left="420" w:left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2.1.1 监理范围在专用条件中约定。</w:t>
      </w:r>
    </w:p>
    <w:p>
      <w:pPr>
        <w:keepNext w:val="0"/>
        <w:keepLines w:val="0"/>
        <w:widowControl w:val="0"/>
        <w:kinsoku/>
        <w:wordWrap/>
        <w:overflowPunct/>
        <w:topLinePunct w:val="0"/>
        <w:autoSpaceDE/>
        <w:autoSpaceDN/>
        <w:bidi w:val="0"/>
        <w:adjustRightInd/>
        <w:snapToGrid w:val="0"/>
        <w:spacing w:line="360" w:lineRule="auto"/>
        <w:ind w:left="420" w:left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2.1.2 除专用条件另有约定外，监理工作内容包括：</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（1）收到工程设计文件后编制监理规划，并在第一次工地会议7天前报委托人。根据有关规定和监理工作需要，编制监理实施细则；</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（2）熟悉工程设计文件，并参加由委托人主持的图纸会审和设计交底会议；</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（3）参加由委托人主持的第一次工地会议；主持监理例会并根据工程需要主持或参加专题会议；</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（4）审查施工承包人提交的施工组织设计，重点审查其中的质量安全技术措施、专项施工方案与工程建设强制性标准的符合性；</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（5）检查施工承包人工程质量、安全生产管理制度及组织机构和人员资格； </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（6）检查施工承包人专职安全生产管理人员的配备情况；</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（7）审查施工承包人提交的施工进度计划，核查承包人对施工进度计划的调整；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（8）检查施工承包人的试验室；</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（9）审核施工分包人资质条件；</w:t>
      </w:r>
    </w:p>
    <w:p>
      <w:pPr>
        <w:keepNext w:val="0"/>
        <w:keepLines w:val="0"/>
        <w:widowControl w:val="0"/>
        <w:kinsoku/>
        <w:wordWrap/>
        <w:overflowPunct/>
        <w:topLinePunct w:val="0"/>
        <w:autoSpaceDE/>
        <w:autoSpaceDN/>
        <w:bidi w:val="0"/>
        <w:adjustRightInd/>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（10）查验施工承包人的施工测量放线成果；</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（11）审查工程开工条件，对条件具备的签发开工令；</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（12）审查施工承包人报送的工程材料、构配件、设备质量证明文件的有效性和符合性，并按规定对用于工程的材料采取平行检验或见证取样方式进行抽检；</w:t>
      </w:r>
    </w:p>
    <w:p>
      <w:pPr>
        <w:keepNext w:val="0"/>
        <w:keepLines w:val="0"/>
        <w:widowControl w:val="0"/>
        <w:kinsoku/>
        <w:wordWrap/>
        <w:overflowPunct/>
        <w:topLinePunct w:val="0"/>
        <w:autoSpaceDE/>
        <w:autoSpaceDN/>
        <w:bidi w:val="0"/>
        <w:adjustRightInd/>
        <w:snapToGrid w:val="0"/>
        <w:spacing w:line="360" w:lineRule="auto"/>
        <w:ind w:left="-97" w:leftChars="-46"/>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（13）审核施工承包人提交的工程款支付申请，签发或出具工程款支付证书，并报委托人审核、批准；</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color w:val="000000" w:themeColor="text1"/>
          <w:szCs w:val="24"/>
          <w14:textFill>
            <w14:solidFill>
              <w14:schemeClr w14:val="tx1"/>
            </w14:solidFill>
          </w14:textFill>
        </w:rPr>
        <w:t>（14）在巡视、旁站和检验过程中，发现工程质量、施工安</w:t>
      </w:r>
      <w:r>
        <w:rPr>
          <w:rFonts w:hint="eastAsia" w:ascii="宋体" w:hAnsi="宋体" w:cs="宋体"/>
          <w:szCs w:val="24"/>
        </w:rPr>
        <w:t>全存在事故隐患的，要求施工承包人整改并报委托人；</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（15）经委托人同意，签发工程暂停令和复工令；</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（16）审查施工承包人提交的采用新材料、新工艺、新技术、新设备的论证材料及相关验收标准；</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（17）验收隐蔽工程、分部分项工程；</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（18）审查施工承包人提交的工程变更申请，协调处理施工进度调整、费用索赔、合同争议等事项；</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（19）审查施工承包人提交的竣工验收申请，编写工程质量评估报告；</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（20）参加工程竣工验收，签署竣工验收意见；</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（21）审查施工承包人提交的竣工结算申请并报委托人；</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（22）编制、整理工程监理归档文件并报委托人。</w:t>
      </w:r>
    </w:p>
    <w:p>
      <w:pPr>
        <w:keepNext w:val="0"/>
        <w:keepLines w:val="0"/>
        <w:widowControl w:val="0"/>
        <w:kinsoku/>
        <w:wordWrap/>
        <w:overflowPunct/>
        <w:topLinePunct w:val="0"/>
        <w:autoSpaceDE/>
        <w:autoSpaceDN/>
        <w:bidi w:val="0"/>
        <w:adjustRightInd/>
        <w:spacing w:line="360" w:lineRule="auto"/>
        <w:ind w:left="420" w:leftChars="200" w:firstLine="105" w:firstLineChars="50"/>
        <w:textAlignment w:val="auto"/>
        <w:outlineLvl w:val="9"/>
        <w:rPr>
          <w:rFonts w:ascii="宋体" w:hAnsi="宋体" w:cs="宋体"/>
          <w:szCs w:val="24"/>
        </w:rPr>
      </w:pPr>
      <w:r>
        <w:rPr>
          <w:rFonts w:hint="eastAsia" w:ascii="宋体" w:hAnsi="宋体" w:cs="宋体"/>
          <w:szCs w:val="24"/>
        </w:rPr>
        <w:t>2.1.3 相关服务的范围和内容在附录A中约定。</w:t>
      </w:r>
    </w:p>
    <w:p>
      <w:pPr>
        <w:keepNext w:val="0"/>
        <w:keepLines w:val="0"/>
        <w:widowControl w:val="0"/>
        <w:kinsoku/>
        <w:wordWrap/>
        <w:overflowPunct/>
        <w:topLinePunct w:val="0"/>
        <w:autoSpaceDE/>
        <w:autoSpaceDN/>
        <w:bidi w:val="0"/>
        <w:adjustRightInd/>
        <w:spacing w:line="360" w:lineRule="auto"/>
        <w:ind w:firstLine="210" w:firstLineChars="100"/>
        <w:textAlignment w:val="auto"/>
        <w:outlineLvl w:val="9"/>
        <w:rPr>
          <w:rFonts w:ascii="宋体" w:hAnsi="宋体" w:cs="宋体"/>
          <w:szCs w:val="24"/>
        </w:rPr>
      </w:pPr>
      <w:r>
        <w:rPr>
          <w:rFonts w:hint="eastAsia" w:ascii="宋体" w:hAnsi="宋体" w:cs="宋体"/>
          <w:szCs w:val="24"/>
        </w:rPr>
        <w:t>2.2 监理与相关服务依据</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2.2.1 监理依据包括：</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szCs w:val="24"/>
        </w:rPr>
      </w:pPr>
      <w:r>
        <w:rPr>
          <w:rFonts w:hint="eastAsia" w:ascii="宋体" w:hAnsi="宋体" w:cs="宋体"/>
          <w:szCs w:val="24"/>
        </w:rPr>
        <w:t>（1）适用的法律、行政法规及部门规章；</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szCs w:val="24"/>
        </w:rPr>
      </w:pPr>
      <w:r>
        <w:rPr>
          <w:rFonts w:hint="eastAsia" w:ascii="宋体" w:hAnsi="宋体" w:cs="宋体"/>
          <w:szCs w:val="24"/>
        </w:rPr>
        <w:t>（2）与工程有关的标准；</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szCs w:val="24"/>
        </w:rPr>
      </w:pPr>
      <w:r>
        <w:rPr>
          <w:rFonts w:hint="eastAsia" w:ascii="宋体" w:hAnsi="宋体" w:cs="宋体"/>
          <w:szCs w:val="24"/>
        </w:rPr>
        <w:t>（3）工程设计及有关文件；</w:t>
      </w:r>
    </w:p>
    <w:p>
      <w:pPr>
        <w:keepNext w:val="0"/>
        <w:keepLines w:val="0"/>
        <w:widowControl w:val="0"/>
        <w:kinsoku/>
        <w:wordWrap/>
        <w:overflowPunct/>
        <w:topLinePunct w:val="0"/>
        <w:autoSpaceDE/>
        <w:autoSpaceDN/>
        <w:bidi w:val="0"/>
        <w:adjustRightInd/>
        <w:snapToGrid w:val="0"/>
        <w:spacing w:line="360" w:lineRule="auto"/>
        <w:ind w:firstLine="525" w:firstLineChars="250"/>
        <w:textAlignment w:val="auto"/>
        <w:outlineLvl w:val="9"/>
        <w:rPr>
          <w:rFonts w:ascii="宋体" w:hAnsi="宋体" w:cs="宋体"/>
          <w:szCs w:val="24"/>
        </w:rPr>
      </w:pPr>
      <w:r>
        <w:rPr>
          <w:rFonts w:hint="eastAsia" w:ascii="宋体" w:hAnsi="宋体" w:cs="宋体"/>
          <w:szCs w:val="24"/>
        </w:rPr>
        <w:t>（4）本合同及委托人与第三方签订的与实施工程有关的其他合同。</w:t>
      </w:r>
    </w:p>
    <w:p>
      <w:pPr>
        <w:keepNext w:val="0"/>
        <w:keepLines w:val="0"/>
        <w:widowControl w:val="0"/>
        <w:kinsoku/>
        <w:wordWrap/>
        <w:overflowPunct/>
        <w:topLinePunct w:val="0"/>
        <w:autoSpaceDE/>
        <w:autoSpaceDN/>
        <w:bidi w:val="0"/>
        <w:adjustRightInd/>
        <w:spacing w:line="360" w:lineRule="auto"/>
        <w:ind w:left="210" w:leftChars="100" w:firstLine="420" w:firstLineChars="200"/>
        <w:textAlignment w:val="auto"/>
        <w:outlineLvl w:val="9"/>
        <w:rPr>
          <w:rFonts w:ascii="宋体" w:hAnsi="宋体" w:cs="宋体"/>
          <w:szCs w:val="24"/>
        </w:rPr>
      </w:pPr>
      <w:r>
        <w:rPr>
          <w:rFonts w:hint="eastAsia" w:ascii="宋体" w:hAnsi="宋体" w:cs="宋体"/>
          <w:szCs w:val="24"/>
        </w:rPr>
        <w:t>双方根据工程的行业和地域特点，在专用条件中具体约定监理依据。</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2.2.2 相关服务依据在专用条件中约定。</w:t>
      </w:r>
    </w:p>
    <w:p>
      <w:pPr>
        <w:keepNext w:val="0"/>
        <w:keepLines w:val="0"/>
        <w:widowControl w:val="0"/>
        <w:kinsoku/>
        <w:wordWrap/>
        <w:overflowPunct/>
        <w:topLinePunct w:val="0"/>
        <w:autoSpaceDE/>
        <w:autoSpaceDN/>
        <w:bidi w:val="0"/>
        <w:adjustRightInd/>
        <w:spacing w:line="360" w:lineRule="auto"/>
        <w:ind w:firstLine="210" w:firstLineChars="100"/>
        <w:textAlignment w:val="auto"/>
        <w:outlineLvl w:val="9"/>
        <w:rPr>
          <w:rFonts w:ascii="宋体" w:hAnsi="宋体" w:cs="宋体"/>
          <w:szCs w:val="24"/>
        </w:rPr>
      </w:pPr>
      <w:r>
        <w:rPr>
          <w:rFonts w:hint="eastAsia" w:ascii="宋体" w:hAnsi="宋体" w:cs="宋体"/>
          <w:szCs w:val="24"/>
        </w:rPr>
        <w:t>2.3 项目监理机构和人员</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2.3.1 监理人应组建满足工作需要的项目监理机构，配备必要的检测设备。项目监理机构的主要人员应具有相应的资格条件。</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2.3.2本合同履行过程中，总监理工程师及重要岗位监理人员应保持相对稳定，以保证监理工作正常进行。</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2.3.4 监理人应及时更换有下列情形之一的监理人员：</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（1）严重过失行为的；</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（2）有违法行为不能履行职责的；</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（3）涉嫌犯罪的；</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（4）不能胜任岗位职责的；</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（5）严重违反职业道德的；</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（6）专用条件约定的其他情形。</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2.3.5 委托人可要求监理人更换不能胜任本职工作的项目监理机构人员。</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2.4 履行职责</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监理人应遵循职业道德准则和行为规范，严格按照法律法规、工程建设有关标准及本合同履行职责。</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2.4.1 在监理与相关服务范围内，委托人和承包人提出的意见和要求，监理人应及时提出处置意见。当委托人与承包人之间发生合同争议时，监理人应协助委托人、承包人协商解决。</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2.4.2 当委托人与承包人之间的合同争议提交仲裁机构仲裁或人民法院审理时，监理人应提供必要的证明资料。</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2.4.3 监理人应在专用条件约定的授权范围内，处理委托人与承包人所签订合同的变更事宜。如果变更超过授权范围，应以书面形式报委托人批准。</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在紧急情况下，为了保护财产和人身安全，监理人所发出的指令未能事先报委托人批准时，应在发出指令后的24小时内以书面形式报委托人。</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2.4.4 除专用条件另有约定外，监理人发现承包人的人员不能胜任本职工作的，有权要求承包人予以调换。</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2.5 提交报告</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监理人应按专用条件约定的种类、时间和份数向委托人提交监理与相关服务的报告。</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2.6 文件资料</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在本合同履行期内，监理人应在现场保留工作所用的图纸、报告及记录监理工作的相关文件。工程竣工后，应当按照档案管理规定将监理有关文件归档。</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2.7 使用委托人的财产</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b/>
          <w:szCs w:val="24"/>
        </w:rPr>
      </w:pPr>
      <w:r>
        <w:rPr>
          <w:rFonts w:hint="eastAsia" w:ascii="宋体" w:hAnsi="宋体" w:cs="宋体"/>
          <w:b/>
          <w:szCs w:val="24"/>
        </w:rPr>
        <w:t>3．委托人的义务</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3.1 告知</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委托人应在委托人与承包人签订的合同中明确监理人、总监理工程师和授予项目监理机构的权限。如有变更，应及时通知承包人。</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3.2 提供资料</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委托人应按照附录B约定，无偿向监理人提供工程有关的资料。在本合同履行过程中，委托人应及时向监理人提供最新的与工程有关的资料。</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3.3 提供工作条件</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委托人应为监理人完成监理与相关服务提供必要的条件。</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3.3.1 委托人应按照附录B约定，派遣相应的人员，提供房屋、设备，供监理人无偿使用。</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3.3.2 委托人应负责协调工程建设中所有外部关系，为监理人履行本合同提供必要的外部条件。</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3.4 委托人代表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3.5 委托人意见或要求</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在本合同约定的监理与相关服务工作范围内，委托人对承包人的任何意见或要求应通知监理人，由监理人向承包人发出相应指令。</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3.6 答复</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委托人应在专用条件约定的时间内，对监理人以书面形式提交并要求作出决定的事宜，给予书面答复。逾期未答复的，视为委托人认可。</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3.7 支付</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委托人应按本合同约定，向监理人支付酬金。</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4. 违约责任</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4.1 监理人的违约责任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监理人未履行本合同义务的，应承担相应的责任。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4.1.1 因监理人违反本合同约定给委托人造成损失的，监理人应当赔偿委托人损失。赔偿金额的确定方法在专用条件中约定。监理人承担部分赔偿责任的，其承担赔偿金额由双方协商确定。</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4.1.2 监理人向委托人的索赔不成立时，监理人应赔偿委托人由此发生的费用。</w:t>
      </w:r>
    </w:p>
    <w:p>
      <w:pPr>
        <w:keepNext w:val="0"/>
        <w:keepLines w:val="0"/>
        <w:widowControl w:val="0"/>
        <w:kinsoku/>
        <w:wordWrap/>
        <w:overflowPunct/>
        <w:topLinePunct w:val="0"/>
        <w:autoSpaceDE/>
        <w:autoSpaceDN/>
        <w:bidi w:val="0"/>
        <w:adjustRightInd/>
        <w:snapToGrid w:val="0"/>
        <w:spacing w:line="360" w:lineRule="auto"/>
        <w:ind w:firstLine="210" w:firstLineChars="100"/>
        <w:textAlignment w:val="auto"/>
        <w:outlineLvl w:val="9"/>
        <w:rPr>
          <w:rFonts w:ascii="宋体" w:hAnsi="宋体" w:cs="宋体"/>
          <w:szCs w:val="24"/>
        </w:rPr>
      </w:pPr>
      <w:r>
        <w:rPr>
          <w:rFonts w:hint="eastAsia" w:ascii="宋体" w:hAnsi="宋体" w:cs="宋体"/>
          <w:szCs w:val="24"/>
        </w:rPr>
        <w:t>4.2 委托人的违约责任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委托人未履行本合同义务的，应承担相应的责任。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4.2.1 委托人违反本合同约定造成监理人损失的，委托人应予以赔偿。</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4.2.2 委托人向监理人的索赔不成立时，应赔偿监理人由此引起的费用。</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4.2.3 委托人未能按期支付酬金超过28天，应按专用条件约定支付逾期付款利息。</w:t>
      </w:r>
    </w:p>
    <w:p>
      <w:pPr>
        <w:keepNext w:val="0"/>
        <w:keepLines w:val="0"/>
        <w:widowControl w:val="0"/>
        <w:kinsoku/>
        <w:wordWrap/>
        <w:overflowPunct/>
        <w:topLinePunct w:val="0"/>
        <w:autoSpaceDE/>
        <w:autoSpaceDN/>
        <w:bidi w:val="0"/>
        <w:adjustRightInd/>
        <w:spacing w:line="360" w:lineRule="auto"/>
        <w:ind w:firstLine="210" w:firstLineChars="100"/>
        <w:textAlignment w:val="auto"/>
        <w:outlineLvl w:val="9"/>
        <w:rPr>
          <w:rFonts w:ascii="宋体" w:hAnsi="宋体" w:cs="宋体"/>
          <w:szCs w:val="24"/>
        </w:rPr>
      </w:pPr>
      <w:r>
        <w:rPr>
          <w:rFonts w:hint="eastAsia" w:ascii="宋体" w:hAnsi="宋体" w:cs="宋体"/>
          <w:szCs w:val="24"/>
        </w:rPr>
        <w:t>4.3 除外责任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因非监理人的原因，且监理人无过错，发生工程质量事故、安全事故、工期延误等造成的损失，监理人不承担赔偿责任。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因不可抗力导致本合同全部或部分不能履行时，双方各自承担其因此而造成的损失、损害。</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5. 支付</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5.1 支付货币</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除专用条件另有约定外，酬金均以人民币支付。涉及外币支付的，所采用的货币种类、比例和汇率在专用条件中约定。</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5.2 支付申请</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监理人应在本合同约定的每次应付款时间的7天前，向委托人提交支付申请书。支付申请书应当说明当期应付款总额，并列出当期应支付的款项及其金额。</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5.3 支付酬金</w:t>
      </w:r>
    </w:p>
    <w:p>
      <w:pPr>
        <w:keepNext w:val="0"/>
        <w:keepLines w:val="0"/>
        <w:widowControl w:val="0"/>
        <w:kinsoku/>
        <w:wordWrap/>
        <w:overflowPunct/>
        <w:topLinePunct w:val="0"/>
        <w:autoSpaceDE/>
        <w:autoSpaceDN/>
        <w:bidi w:val="0"/>
        <w:adjustRightInd/>
        <w:snapToGrid w:val="0"/>
        <w:spacing w:line="360" w:lineRule="auto"/>
        <w:ind w:firstLine="480"/>
        <w:textAlignment w:val="auto"/>
        <w:outlineLvl w:val="9"/>
        <w:rPr>
          <w:rFonts w:ascii="宋体" w:hAnsi="宋体" w:cs="宋体"/>
          <w:szCs w:val="24"/>
        </w:rPr>
      </w:pPr>
      <w:r>
        <w:rPr>
          <w:rFonts w:hint="eastAsia" w:ascii="宋体" w:hAnsi="宋体" w:cs="宋体"/>
          <w:szCs w:val="24"/>
        </w:rPr>
        <w:t>支付的酬金包括正常工作酬金、附加工作酬金、合理化建议奖励金额及费用。</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5.4 有争议部分的付款</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6. 合同生效、变更、暂停、解除与终止</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6.1生效</w:t>
      </w:r>
    </w:p>
    <w:p>
      <w:pPr>
        <w:keepNext w:val="0"/>
        <w:keepLines w:val="0"/>
        <w:widowControl w:val="0"/>
        <w:kinsoku/>
        <w:wordWrap/>
        <w:overflowPunct/>
        <w:topLinePunct w:val="0"/>
        <w:autoSpaceDE/>
        <w:autoSpaceDN/>
        <w:bidi w:val="0"/>
        <w:adjustRightInd/>
        <w:spacing w:line="360" w:lineRule="auto"/>
        <w:ind w:firstLine="420" w:firstLineChars="200"/>
        <w:textAlignment w:val="auto"/>
        <w:outlineLvl w:val="9"/>
        <w:rPr>
          <w:rFonts w:ascii="宋体" w:hAnsi="宋体" w:cs="宋体"/>
          <w:szCs w:val="24"/>
        </w:rPr>
      </w:pPr>
      <w:r>
        <w:rPr>
          <w:rFonts w:hint="eastAsia" w:ascii="宋体" w:hAnsi="宋体" w:cs="宋体"/>
          <w:szCs w:val="24"/>
        </w:rPr>
        <w:t>除法律另有规定或者专用条件另有约定外，委托人和监理人的法定代表人或其授权代理人在协议书上签字并盖单位章后本合同生效。</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6.2变更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6.2.1 任何一方提出变更请求时，双方经协商一致后可进行变更。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6.2.4合同签订后，遇有与工程相关的法律法规、标准颁布或修订的，双方应遵照执行。由此引起监理与相关服务的范围、时间、酬金变化的，双方应通过协商进行相应调整。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6.2.5 因非监理人原因造成工程概算投资额或建筑安装工程费增加时，正常工作酬金应作相应调整。调整方法在专用条件中约定。</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6.2.6 因工程规模、监理范围的变化导致监理人的正常工作量减少时，正常工作酬金应作相应调整。调整方法在专用条件中约定。</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6.3 暂停与解除</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除双方协商一致可以解除本合同外，当一方无正当理由未履行本合同约定的义务时，另一方可以根据本合同约定暂停履行本合同直至解除本合同。</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因解除本合同或解除监理人的部分义务导致监理人遭受的损失，除依法可以免除责任的情况外，应由委托人予以补偿，补偿金额由双方协商确定。</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解除本合同的协议必须采取书面形式，协议未达成之前，本合同仍然有效。</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6.3.5 因不可抗力致使本合同部分或全部不能履行时，一方应立即通知另一方，可暂停或解除本合同。</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6.3.6 本合同解除后，本合同约定的有关结算、清理、争议解决方式的条件仍然有效。</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6.4 终止</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以下条件全部满足时，本合同即告终止：</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（1）监理人完成本合同约定的全部工作；</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（2）委托人与监理人结清并支付全部酬金。</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7. 争议解决</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7.1协商</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双方应本着诚信原则协商解决彼此间的争议。</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7.2调解</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如果双方不能在14天内或双方商定的其他时间内解决本合同争议，可以将其提交给专用条件约定的或事后达成协议的调解人进行调解。</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7.3仲裁或诉讼</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双方均有权不经调解直接向专用条件约定的仲裁机构申请仲裁或向有管辖权的人民法院提起诉讼。</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8. 其他</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szCs w:val="24"/>
        </w:rPr>
      </w:pPr>
      <w:r>
        <w:rPr>
          <w:rFonts w:hint="eastAsia" w:ascii="宋体" w:hAnsi="宋体" w:cs="宋体"/>
          <w:szCs w:val="24"/>
        </w:rPr>
        <w:t>8.1 外出考察费用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经委托人同意，监理人员外出考察发生的费用由委托人审核后支付。</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8.2 检测费用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委托人要求监理人进行的材料和设备检测所发生的费用，由委托人支付，支付时间在专用条件中约定。</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8.3 咨询费用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经委托人同意，根据工程需要由监理人组织的相关咨询论证会以及聘请相关专家等发生的费用由委托人支付，支付时间在专用条件中约定。</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8.4 奖励</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8.5 守法诚信</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监理人及其工作人员不得从与实施工程有关的第三方处获得任何经济利益。</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8.6 保密</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双方不得泄露对方申明的保密资料，亦不得泄露与实施工程有关的第三方所提供的保密资料，保密事项在专用条件中约定。</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8.7 通知</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本合同涉及的通知均应当采用书面形式，并在送达对方时生效，收件人应书面签收。</w:t>
      </w:r>
    </w:p>
    <w:p>
      <w:pPr>
        <w:keepNext w:val="0"/>
        <w:keepLines w:val="0"/>
        <w:widowControl w:val="0"/>
        <w:kinsoku/>
        <w:wordWrap/>
        <w:overflowPunct/>
        <w:topLinePunct w:val="0"/>
        <w:autoSpaceDE/>
        <w:autoSpaceDN/>
        <w:bidi w:val="0"/>
        <w:adjustRightInd/>
        <w:snapToGrid w:val="0"/>
        <w:spacing w:line="360" w:lineRule="auto"/>
        <w:ind w:left="210" w:leftChars="100"/>
        <w:textAlignment w:val="auto"/>
        <w:outlineLvl w:val="9"/>
        <w:rPr>
          <w:rFonts w:ascii="宋体" w:hAnsi="宋体" w:cs="宋体"/>
          <w:szCs w:val="24"/>
        </w:rPr>
      </w:pPr>
      <w:r>
        <w:rPr>
          <w:rFonts w:hint="eastAsia" w:ascii="宋体" w:hAnsi="宋体" w:cs="宋体"/>
          <w:szCs w:val="24"/>
        </w:rPr>
        <w:t>8.8 著作权</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监理人对其编制的文件拥有著作权。</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keepNext w:val="0"/>
        <w:keepLines w:val="0"/>
        <w:pageBreakBefore/>
        <w:widowControl w:val="0"/>
        <w:kinsoku/>
        <w:wordWrap/>
        <w:overflowPunct/>
        <w:topLinePunct w:val="0"/>
        <w:autoSpaceDE/>
        <w:autoSpaceDN/>
        <w:bidi w:val="0"/>
        <w:adjustRightInd/>
        <w:spacing w:line="360" w:lineRule="auto"/>
        <w:jc w:val="center"/>
        <w:textAlignment w:val="auto"/>
        <w:outlineLvl w:val="9"/>
        <w:rPr>
          <w:rFonts w:ascii="宋体" w:hAnsi="宋体" w:cs="宋体"/>
          <w:b/>
          <w:szCs w:val="24"/>
        </w:rPr>
      </w:pPr>
      <w:r>
        <w:rPr>
          <w:rFonts w:hint="eastAsia" w:ascii="宋体" w:hAnsi="宋体" w:cs="宋体"/>
          <w:b/>
          <w:szCs w:val="24"/>
        </w:rPr>
        <w:t>第三部分  专用条款</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1. 定义与解释</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1.2  解释</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1.2.1 本合同文件除使用中文外，还可用</w:t>
      </w:r>
      <w:r>
        <w:rPr>
          <w:rFonts w:hint="eastAsia" w:ascii="宋体" w:hAnsi="宋体" w:cs="宋体"/>
          <w:szCs w:val="24"/>
          <w:u w:val="single"/>
        </w:rPr>
        <w:t xml:space="preserve"> </w:t>
      </w:r>
      <w:r>
        <w:rPr>
          <w:rFonts w:hint="eastAsia" w:ascii="宋体" w:hAnsi="宋体" w:cs="宋体"/>
          <w:b/>
          <w:szCs w:val="24"/>
          <w:u w:val="single"/>
        </w:rPr>
        <w:t xml:space="preserve"> </w:t>
      </w:r>
      <w:r>
        <w:rPr>
          <w:rFonts w:hint="eastAsia" w:ascii="宋体" w:hAnsi="宋体" w:cs="宋体"/>
          <w:szCs w:val="24"/>
          <w:u w:val="single"/>
        </w:rPr>
        <w:t>/</w:t>
      </w:r>
      <w:r>
        <w:rPr>
          <w:rFonts w:hint="eastAsia" w:ascii="宋体" w:hAnsi="宋体" w:cs="宋体"/>
          <w:b/>
          <w:szCs w:val="24"/>
          <w:u w:val="single"/>
        </w:rPr>
        <w:t xml:space="preserve">   </w:t>
      </w:r>
      <w:r>
        <w:rPr>
          <w:rFonts w:hint="eastAsia" w:ascii="宋体" w:hAnsi="宋体" w:cs="宋体"/>
          <w:szCs w:val="24"/>
          <w:u w:val="single"/>
        </w:rPr>
        <w:t xml:space="preserve">    </w:t>
      </w:r>
      <w:r>
        <w:rPr>
          <w:rFonts w:hint="eastAsia" w:ascii="宋体" w:hAnsi="宋体" w:cs="宋体"/>
          <w:szCs w:val="24"/>
        </w:rPr>
        <w:t>。</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1.2.2 约定本合同文件的解释顺序为：</w:t>
      </w:r>
      <w:r>
        <w:rPr>
          <w:rFonts w:hint="eastAsia" w:ascii="宋体" w:hAnsi="宋体" w:cs="宋体"/>
          <w:szCs w:val="24"/>
          <w:u w:val="single"/>
        </w:rPr>
        <w:t>协议书、中标通知书、专用条件及附录A、附录B、通用条件、投标文件和其他合同文件（包括补充协议、会议纪要等）。</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2. 监理人义务</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szCs w:val="24"/>
        </w:rPr>
      </w:pPr>
      <w:r>
        <w:rPr>
          <w:rFonts w:hint="eastAsia" w:ascii="宋体" w:hAnsi="宋体" w:cs="宋体"/>
          <w:szCs w:val="24"/>
        </w:rPr>
        <w:t>2.1 监理的范围和内容</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2.1.1 监理范围包括：</w:t>
      </w:r>
      <w:r>
        <w:rPr>
          <w:rFonts w:hint="eastAsia" w:ascii="宋体" w:hAnsi="宋体" w:cs="宋体"/>
          <w:szCs w:val="24"/>
          <w:u w:val="single"/>
        </w:rPr>
        <w:t xml:space="preserve">                                   </w:t>
      </w:r>
      <w:r>
        <w:rPr>
          <w:rFonts w:hint="eastAsia" w:ascii="宋体" w:hAnsi="宋体" w:cs="宋体"/>
          <w:szCs w:val="24"/>
        </w:rPr>
        <w:t>。</w:t>
      </w:r>
    </w:p>
    <w:p>
      <w:pPr>
        <w:pStyle w:val="15"/>
        <w:keepNext w:val="0"/>
        <w:keepLines w:val="0"/>
        <w:widowControl w:val="0"/>
        <w:kinsoku/>
        <w:wordWrap/>
        <w:overflowPunct/>
        <w:topLinePunct w:val="0"/>
        <w:autoSpaceDE/>
        <w:autoSpaceDN/>
        <w:bidi w:val="0"/>
        <w:adjustRightInd/>
        <w:spacing w:line="440" w:lineRule="exact"/>
        <w:ind w:firstLine="447" w:firstLineChars="213"/>
        <w:textAlignment w:val="auto"/>
        <w:outlineLvl w:val="9"/>
        <w:rPr>
          <w:rFonts w:hint="default" w:hAnsi="宋体" w:cs="宋体"/>
        </w:rPr>
      </w:pPr>
      <w:r>
        <w:rPr>
          <w:rFonts w:hAnsi="宋体" w:cs="宋体"/>
        </w:rPr>
        <w:t>2.1.2 监理工作内容还包括：</w:t>
      </w:r>
      <w:r>
        <w:rPr>
          <w:rFonts w:hAnsi="宋体" w:cs="宋体"/>
          <w:b/>
          <w:u w:val="single"/>
        </w:rPr>
        <w:t>“</w:t>
      </w:r>
      <w:r>
        <w:rPr>
          <w:rFonts w:hAnsi="宋体" w:cs="宋体"/>
          <w:u w:val="single"/>
        </w:rPr>
        <w:t>四控、两管、一协调”（四控即：安全控制、质量控制、工期控制、造价控制，两管即：合同管理、信息管理，一协调即：协调委托人、设计人和承包人之间的关系）和《河南省建设监理管理规定》 第十二条中（三）～（十）条的监理内容及《建设工程质量管理条例》、《河南省建筑工程施工现场质量标准化管理实施办法》、《建设工程监理规范》内的必须实行监理的内容</w:t>
      </w:r>
      <w:r>
        <w:rPr>
          <w:rFonts w:hAnsi="宋体" w:cs="宋体"/>
        </w:rPr>
        <w:t>。</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szCs w:val="24"/>
        </w:rPr>
      </w:pPr>
      <w:r>
        <w:rPr>
          <w:rFonts w:hint="eastAsia" w:ascii="宋体" w:hAnsi="宋体" w:cs="宋体"/>
          <w:szCs w:val="24"/>
        </w:rPr>
        <w:t>2.2 监理与相关服务依据</w:t>
      </w:r>
    </w:p>
    <w:p>
      <w:pPr>
        <w:pStyle w:val="15"/>
        <w:keepNext w:val="0"/>
        <w:keepLines w:val="0"/>
        <w:widowControl w:val="0"/>
        <w:kinsoku/>
        <w:wordWrap/>
        <w:overflowPunct/>
        <w:topLinePunct w:val="0"/>
        <w:autoSpaceDE/>
        <w:autoSpaceDN/>
        <w:bidi w:val="0"/>
        <w:adjustRightInd/>
        <w:spacing w:line="440" w:lineRule="exact"/>
        <w:ind w:firstLine="447" w:firstLineChars="213"/>
        <w:textAlignment w:val="auto"/>
        <w:outlineLvl w:val="9"/>
        <w:rPr>
          <w:rFonts w:hint="default" w:hAnsi="宋体" w:cs="宋体"/>
          <w:u w:val="single"/>
        </w:rPr>
      </w:pPr>
      <w:r>
        <w:rPr>
          <w:rFonts w:hAnsi="宋体" w:cs="宋体"/>
        </w:rPr>
        <w:t>2.2.1 监理依据包括：</w:t>
      </w:r>
      <w:r>
        <w:rPr>
          <w:rFonts w:hAnsi="宋体" w:cs="宋体"/>
          <w:u w:val="single"/>
        </w:rPr>
        <w:t>1、国家和地方有关工程建设的法律、法规；2、国家和地方有关工程建设的技术标准、规范和规程；3、经有关部门批准的工程项目文件和设计文件；4、本监理合同；5、委托人与承包单位依法签订的建设工程施工合同。</w:t>
      </w:r>
    </w:p>
    <w:p>
      <w:pPr>
        <w:pStyle w:val="69"/>
        <w:keepNext w:val="0"/>
        <w:keepLines w:val="0"/>
        <w:widowControl w:val="0"/>
        <w:kinsoku/>
        <w:wordWrap/>
        <w:overflowPunct/>
        <w:topLinePunct w:val="0"/>
        <w:autoSpaceDE/>
        <w:autoSpaceDN/>
        <w:bidi w:val="0"/>
        <w:adjustRightInd/>
        <w:spacing w:line="520" w:lineRule="atLeast"/>
        <w:ind w:left="0" w:firstLine="315" w:firstLineChars="150"/>
        <w:textAlignment w:val="auto"/>
        <w:outlineLvl w:val="9"/>
        <w:rPr>
          <w:rFonts w:hint="default" w:ascii="宋体" w:hAnsi="宋体" w:cs="宋体"/>
          <w:dstrike/>
          <w:sz w:val="21"/>
        </w:rPr>
      </w:pPr>
      <w:r>
        <w:rPr>
          <w:rFonts w:ascii="宋体" w:hAnsi="宋体" w:cs="宋体"/>
          <w:sz w:val="21"/>
        </w:rPr>
        <w:t>2.2.2 相关服务依据包括：</w:t>
      </w:r>
      <w:r>
        <w:rPr>
          <w:rFonts w:ascii="宋体" w:hAnsi="宋体" w:cs="宋体"/>
          <w:sz w:val="21"/>
          <w:u w:val="single"/>
        </w:rPr>
        <w:t>1、国家和地方有关工程建设的法律、法规；2、国家和地方有关工程建设的技术标准、规范和规程；3、经有关部门批准的工程项目文件和设计文件；4、本监理合同；5、委托人与承包单位依法签订的建设工程施工合同</w:t>
      </w:r>
      <w:r>
        <w:rPr>
          <w:rFonts w:ascii="宋体" w:hAnsi="宋体" w:cs="宋体"/>
          <w:b/>
          <w:sz w:val="21"/>
        </w:rPr>
        <w:t>。</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szCs w:val="24"/>
        </w:rPr>
      </w:pPr>
      <w:r>
        <w:rPr>
          <w:rFonts w:hint="eastAsia" w:ascii="宋体" w:hAnsi="宋体" w:cs="宋体"/>
          <w:szCs w:val="24"/>
        </w:rPr>
        <w:t xml:space="preserve">  2.3项目监理机构和人员</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2.3.4 更换监理人员的其他情形：</w:t>
      </w:r>
      <w:r>
        <w:rPr>
          <w:rFonts w:hint="eastAsia" w:ascii="宋体" w:hAnsi="宋体" w:cs="宋体"/>
          <w:szCs w:val="24"/>
          <w:u w:val="single"/>
        </w:rPr>
        <w:t xml:space="preserve"> 根据工程进度施工情况进行调整但调整前应征的委托人同意</w:t>
      </w:r>
      <w:r>
        <w:rPr>
          <w:rFonts w:hint="eastAsia" w:ascii="宋体" w:hAnsi="宋体" w:cs="宋体"/>
          <w:szCs w:val="24"/>
        </w:rPr>
        <w:t>。</w:t>
      </w:r>
    </w:p>
    <w:p>
      <w:pPr>
        <w:keepNext w:val="0"/>
        <w:keepLines w:val="0"/>
        <w:widowControl w:val="0"/>
        <w:kinsoku/>
        <w:wordWrap/>
        <w:overflowPunct/>
        <w:topLinePunct w:val="0"/>
        <w:autoSpaceDE/>
        <w:autoSpaceDN/>
        <w:bidi w:val="0"/>
        <w:adjustRightInd/>
        <w:spacing w:line="360" w:lineRule="auto"/>
        <w:ind w:firstLine="205" w:firstLineChars="98"/>
        <w:textAlignment w:val="auto"/>
        <w:outlineLvl w:val="9"/>
        <w:rPr>
          <w:rFonts w:ascii="宋体" w:hAnsi="宋体" w:cs="宋体"/>
          <w:szCs w:val="24"/>
        </w:rPr>
      </w:pPr>
      <w:r>
        <w:rPr>
          <w:rFonts w:hint="eastAsia" w:ascii="宋体" w:hAnsi="宋体" w:cs="宋体"/>
          <w:szCs w:val="24"/>
        </w:rPr>
        <w:t>2.4 履行职责</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r>
        <w:rPr>
          <w:rFonts w:hint="eastAsia" w:ascii="宋体" w:hAnsi="宋体" w:cs="宋体"/>
          <w:szCs w:val="24"/>
        </w:rPr>
        <w:t>2.4.3 对监理人的授权范围：</w:t>
      </w:r>
      <w:r>
        <w:rPr>
          <w:rFonts w:hint="eastAsia" w:ascii="宋体" w:hAnsi="宋体" w:cs="宋体"/>
          <w:szCs w:val="24"/>
          <w:u w:val="single"/>
        </w:rPr>
        <w:t xml:space="preserve"> 见通用条件 </w:t>
      </w:r>
      <w:r>
        <w:rPr>
          <w:rFonts w:hint="eastAsia" w:ascii="宋体" w:hAnsi="宋体" w:cs="宋体"/>
          <w:szCs w:val="24"/>
        </w:rPr>
        <w:t>。</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4"/>
        </w:rPr>
      </w:pPr>
      <w:bookmarkStart w:id="722" w:name="_Toc10727"/>
      <w:bookmarkStart w:id="723" w:name="_Toc29564"/>
      <w:bookmarkStart w:id="724" w:name="_Toc19915"/>
      <w:bookmarkStart w:id="725" w:name="_Toc26856"/>
      <w:r>
        <w:rPr>
          <w:rFonts w:hint="eastAsia" w:ascii="宋体" w:hAnsi="宋体" w:cs="宋体"/>
          <w:szCs w:val="24"/>
        </w:rPr>
        <w:t>在涉及工程延期</w:t>
      </w:r>
      <w:r>
        <w:rPr>
          <w:rFonts w:hint="eastAsia" w:ascii="宋体" w:hAnsi="宋体" w:cs="宋体"/>
          <w:b/>
          <w:szCs w:val="24"/>
          <w:u w:val="single"/>
        </w:rPr>
        <w:t xml:space="preserve"> </w:t>
      </w:r>
      <w:r>
        <w:rPr>
          <w:rFonts w:hint="eastAsia" w:ascii="宋体" w:hAnsi="宋体" w:cs="宋体"/>
          <w:szCs w:val="24"/>
          <w:u w:val="single"/>
        </w:rPr>
        <w:t>/</w:t>
      </w:r>
      <w:r>
        <w:rPr>
          <w:rFonts w:hint="eastAsia" w:ascii="宋体" w:hAnsi="宋体" w:cs="宋体"/>
          <w:b/>
          <w:szCs w:val="24"/>
          <w:u w:val="single"/>
        </w:rPr>
        <w:t xml:space="preserve"> </w:t>
      </w:r>
      <w:r>
        <w:rPr>
          <w:rFonts w:hint="eastAsia" w:ascii="宋体" w:hAnsi="宋体" w:cs="宋体"/>
          <w:szCs w:val="24"/>
          <w:u w:val="single"/>
        </w:rPr>
        <w:t xml:space="preserve"> </w:t>
      </w:r>
      <w:r>
        <w:rPr>
          <w:rFonts w:hint="eastAsia" w:ascii="宋体" w:hAnsi="宋体" w:cs="宋体"/>
          <w:szCs w:val="24"/>
        </w:rPr>
        <w:t>天内和（或）金额</w:t>
      </w:r>
      <w:r>
        <w:rPr>
          <w:rFonts w:hint="eastAsia" w:ascii="宋体" w:hAnsi="宋体" w:cs="宋体"/>
          <w:szCs w:val="24"/>
          <w:u w:val="single"/>
        </w:rPr>
        <w:t xml:space="preserve">  / </w:t>
      </w:r>
      <w:r>
        <w:rPr>
          <w:rFonts w:hint="eastAsia" w:ascii="宋体" w:hAnsi="宋体" w:cs="宋体"/>
          <w:szCs w:val="24"/>
        </w:rPr>
        <w:t>万元内的变更，监理人不需请示委托人即可向承包人发布变更通知。</w:t>
      </w:r>
      <w:bookmarkEnd w:id="722"/>
      <w:bookmarkEnd w:id="723"/>
      <w:bookmarkEnd w:id="724"/>
      <w:bookmarkEnd w:id="725"/>
    </w:p>
    <w:p>
      <w:pPr>
        <w:keepNext w:val="0"/>
        <w:keepLines w:val="0"/>
        <w:widowControl w:val="0"/>
        <w:kinsoku/>
        <w:wordWrap/>
        <w:overflowPunct/>
        <w:topLinePunct w:val="0"/>
        <w:autoSpaceDE/>
        <w:autoSpaceDN/>
        <w:bidi w:val="0"/>
        <w:adjustRightInd/>
        <w:snapToGrid w:val="0"/>
        <w:spacing w:line="360" w:lineRule="auto"/>
        <w:ind w:firstLine="315" w:firstLineChars="150"/>
        <w:textAlignment w:val="auto"/>
        <w:outlineLvl w:val="9"/>
        <w:rPr>
          <w:rFonts w:ascii="宋体" w:hAnsi="宋体" w:cs="宋体"/>
          <w:szCs w:val="24"/>
          <w:u w:val="single"/>
        </w:rPr>
      </w:pPr>
      <w:r>
        <w:rPr>
          <w:rFonts w:hint="eastAsia" w:ascii="宋体" w:hAnsi="宋体" w:cs="宋体"/>
          <w:szCs w:val="24"/>
        </w:rPr>
        <w:t>2.4.4 监理人有权要求承包人调换其人员的限制条件：</w:t>
      </w:r>
      <w:r>
        <w:rPr>
          <w:rFonts w:hint="eastAsia" w:ascii="宋体" w:hAnsi="宋体" w:cs="宋体"/>
          <w:szCs w:val="24"/>
          <w:u w:val="single"/>
        </w:rPr>
        <w:t xml:space="preserve"> 承包人在施工中出现严重安全和质量隐患，对于监理人员出具的合理整改内容不进行整改的行为时，可以提出警告、处罚、暂停施工等措施；对屡教不改者，监理单位在征求委托人意见后有权提出更改管理人的决定 。  </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szCs w:val="24"/>
        </w:rPr>
      </w:pPr>
      <w:r>
        <w:rPr>
          <w:rFonts w:hint="eastAsia" w:ascii="宋体" w:hAnsi="宋体" w:cs="宋体"/>
          <w:szCs w:val="24"/>
        </w:rPr>
        <w:t>2.5 监理工作职责</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2.5.1组建监理组织机构，按甲方要求时间进场，完善监理设施，建立和健全各类监理规章制度；</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2.5.2乙方针对本工程设计图纸及建设用地的地质、水文、周边环境等情况，有针对性的编制监理规划和监理细则。</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2.5.3积极进行现场调查，对坐标水准点进行复核并督促承包商制定方案、加以保护；</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2.5.4参与图纸会审、设计技术交底工作；</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2.5.5检查承包商的项目机构和人员就位情况，督促承包商建立质量保证体系及安全保证体系形成书面意见报甲方；</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2.5.6参加第一次工程会议并主持召开常规工地监理例会，主持每周一次的施工协调会，协调各工程参与单位之间的工作，并形成书面意见报甲方；</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2.5.7审查承包商施工准备情况，确认其具备开工条件时，按规定程序、报甲方同意后发布开工令，批准单位工程开工报告；</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2.5.8审核承包商授权的常驻现场代表的资质，以及其它派驻到现场的主要技术、管理人员的资质。在监理过程中如发现承包商的某些人员工作不力，可向甲方提出调换建议；</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2.5.9审查承包商报送的施工组织设计，确认每一个承包商的工作是否与合同相符，并形成书面意见报甲方；</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2.5.10审批承包商拟用与本工程的原材料；</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2.5.11审查承包商拟用与本工程的施工机械的性能与数量是否满足技术规定和工程质量，进度的要求；</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2.5.12审查承包商实施本工程的施工方案、技术措施、施工方法和施工工艺，并形成书面意见报甲方，在施工过程中监督执行；</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2.5.13协助甲方审查分包合同和分包人的资质，并控制外购成品件或半成品件的质量，形成书面意见报甲方；</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kern w:val="0"/>
          <w:szCs w:val="21"/>
        </w:rPr>
      </w:pPr>
      <w:r>
        <w:rPr>
          <w:rFonts w:hint="eastAsia" w:ascii="宋体" w:hAnsi="宋体" w:cs="宋体"/>
          <w:szCs w:val="24"/>
        </w:rPr>
        <w:t>2.5.14会同甲方审批承包</w:t>
      </w:r>
      <w:r>
        <w:rPr>
          <w:rFonts w:hint="eastAsia" w:ascii="宋体" w:hAnsi="宋体"/>
          <w:kern w:val="0"/>
          <w:szCs w:val="21"/>
        </w:rPr>
        <w:t>商提交的总体进度计划，检查和督促承包商实施进度计划，核批承包商的修正计划，并形成书面意见报甲方；</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2.5.15要求承包商按照合同条件、技术规范和监理程序进行施工，通过旁站、巡视、检测、试验和整体验收等手段全面监督、检查和控制工程质量；</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2.5.16严格执行工序进行中的旁站监理，确认工序质量，办理隐蔽工程验收，签发中间交工证书；</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2.5.17调查、处理工程质量缺陷和事故，出现重大质量事故时，督促承包商按规定上报有关部门；</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2.5.18针对现场存在的重大问题，在征得甲方同意后，发布暂停令；</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2.5.19按照设计和规范对已完分部、分项、检验批工程进行质量检评，对确认合格的分部、分项、检验批进行准确的计量，会同甲方办理工程签证；</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2.5.20办理工程款（进度款）支付凭证手续，会同甲方审核后签发；</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2.5.21组织总、分包单位之间工作面的移交工作，并办理相关会签手续；</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2.5.22对承包商的竣工验收申请进行实地调查和评估，确认符合竣工条件且竣工资料齐全时，组织竣工初验，对发现的问题督促承包商进行整改直至合格，并参与竣工验收。</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2.5.23确认工程质量合格、竣工资料符合合同要求，并在征得甲方同意后签发交工证书；</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2.5.24编制监理方面的竣工文件，并向甲方提交一整套工程资料；</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cs="宋体"/>
          <w:szCs w:val="24"/>
        </w:rPr>
      </w:pPr>
      <w:r>
        <w:rPr>
          <w:rFonts w:hint="eastAsia" w:ascii="宋体" w:hAnsi="宋体" w:cs="宋体"/>
          <w:szCs w:val="24"/>
        </w:rPr>
        <w:t>2.5.25督促各承包商提供保修责任书，明确保修期、保修范围、保修责任和实施方法，明确保修责任人及联络方法；</w:t>
      </w:r>
    </w:p>
    <w:p>
      <w:pPr>
        <w:keepNext w:val="0"/>
        <w:keepLines w:val="0"/>
        <w:widowControl w:val="0"/>
        <w:kinsoku/>
        <w:wordWrap/>
        <w:overflowPunct/>
        <w:topLinePunct w:val="0"/>
        <w:autoSpaceDE/>
        <w:autoSpaceDN/>
        <w:bidi w:val="0"/>
        <w:adjustRightInd/>
        <w:spacing w:line="360" w:lineRule="auto"/>
        <w:ind w:firstLine="420"/>
        <w:textAlignment w:val="auto"/>
        <w:outlineLvl w:val="9"/>
        <w:rPr>
          <w:rFonts w:ascii="宋体" w:hAnsi="宋体"/>
          <w:kern w:val="0"/>
          <w:szCs w:val="21"/>
        </w:rPr>
      </w:pPr>
      <w:r>
        <w:rPr>
          <w:rFonts w:hint="eastAsia" w:ascii="宋体" w:hAnsi="宋体" w:cs="宋体"/>
          <w:szCs w:val="24"/>
        </w:rPr>
        <w:t>2.5.26审查符合和确认工程结算款，</w:t>
      </w:r>
      <w:r>
        <w:rPr>
          <w:rFonts w:hint="eastAsia" w:ascii="宋体" w:hAnsi="宋体"/>
          <w:kern w:val="0"/>
          <w:szCs w:val="21"/>
        </w:rPr>
        <w:t>办理最终支付凭证手续，会同甲方后签发承包商拟用与本工程；</w:t>
      </w:r>
    </w:p>
    <w:p>
      <w:pPr>
        <w:keepNext w:val="0"/>
        <w:keepLines w:val="0"/>
        <w:widowControl w:val="0"/>
        <w:kinsoku/>
        <w:wordWrap/>
        <w:overflowPunct/>
        <w:topLinePunct w:val="0"/>
        <w:autoSpaceDE/>
        <w:autoSpaceDN/>
        <w:bidi w:val="0"/>
        <w:adjustRightInd/>
        <w:snapToGrid w:val="0"/>
        <w:spacing w:line="360" w:lineRule="auto"/>
        <w:ind w:firstLine="105" w:firstLineChars="50"/>
        <w:textAlignment w:val="auto"/>
        <w:outlineLvl w:val="9"/>
        <w:rPr>
          <w:rFonts w:ascii="宋体" w:hAnsi="宋体" w:cs="宋体"/>
          <w:szCs w:val="24"/>
        </w:rPr>
      </w:pPr>
      <w:r>
        <w:rPr>
          <w:rFonts w:hint="eastAsia" w:ascii="宋体" w:hAnsi="宋体" w:cs="宋体"/>
          <w:szCs w:val="24"/>
        </w:rPr>
        <w:t>2.6 提交报告</w:t>
      </w:r>
    </w:p>
    <w:p>
      <w:pPr>
        <w:keepNext w:val="0"/>
        <w:keepLines w:val="0"/>
        <w:widowControl w:val="0"/>
        <w:kinsoku/>
        <w:wordWrap/>
        <w:overflowPunct/>
        <w:topLinePunct w:val="0"/>
        <w:autoSpaceDE/>
        <w:autoSpaceDN/>
        <w:bidi w:val="0"/>
        <w:adjustRightInd/>
        <w:snapToGrid w:val="0"/>
        <w:spacing w:line="360" w:lineRule="auto"/>
        <w:ind w:firstLine="525"/>
        <w:textAlignment w:val="auto"/>
        <w:outlineLvl w:val="9"/>
        <w:rPr>
          <w:rFonts w:ascii="宋体" w:hAnsi="宋体" w:cs="宋体"/>
          <w:szCs w:val="24"/>
          <w:u w:val="single"/>
        </w:rPr>
      </w:pPr>
      <w:r>
        <w:rPr>
          <w:rFonts w:hint="eastAsia" w:ascii="宋体" w:hAnsi="宋体" w:cs="宋体"/>
          <w:szCs w:val="24"/>
        </w:rPr>
        <w:t>监理人应提交报告的种类(包括监理规划、监理月报及约定的专项报告)、时间和份数：</w:t>
      </w:r>
      <w:r>
        <w:rPr>
          <w:rFonts w:hint="eastAsia" w:ascii="宋体" w:hAnsi="宋体" w:cs="宋体"/>
          <w:szCs w:val="24"/>
          <w:u w:val="single"/>
        </w:rPr>
        <w:t xml:space="preserve"> 监理规划在开工前提供1份；监理周报、月报及约定的专项报告在每月28日前提供1份 </w:t>
      </w:r>
      <w:r>
        <w:rPr>
          <w:rFonts w:hint="eastAsia" w:ascii="宋体" w:hAnsi="宋体" w:cs="宋体"/>
          <w:szCs w:val="24"/>
        </w:rPr>
        <w:t>。</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szCs w:val="24"/>
        </w:rPr>
      </w:pPr>
      <w:r>
        <w:rPr>
          <w:rFonts w:hint="eastAsia" w:ascii="宋体" w:hAnsi="宋体" w:cs="宋体"/>
          <w:szCs w:val="24"/>
        </w:rPr>
        <w:t xml:space="preserve"> 2.7 使用委托人的财产</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szCs w:val="24"/>
        </w:rPr>
      </w:pPr>
      <w:r>
        <w:rPr>
          <w:rFonts w:hint="eastAsia" w:ascii="宋体" w:hAnsi="宋体" w:cs="宋体"/>
          <w:szCs w:val="24"/>
        </w:rPr>
        <w:t xml:space="preserve">     附录B中由委托人无偿提供的房屋、设备的所有权属于：</w:t>
      </w:r>
      <w:r>
        <w:rPr>
          <w:rFonts w:hint="eastAsia" w:ascii="宋体" w:hAnsi="宋体" w:cs="宋体"/>
          <w:szCs w:val="24"/>
          <w:u w:val="single"/>
        </w:rPr>
        <w:t xml:space="preserve">  委托人</w:t>
      </w:r>
      <w:r>
        <w:rPr>
          <w:rFonts w:hint="eastAsia" w:ascii="宋体" w:hAnsi="宋体" w:cs="宋体"/>
          <w:b/>
          <w:szCs w:val="24"/>
          <w:u w:val="single"/>
        </w:rPr>
        <w:t xml:space="preserve"> </w:t>
      </w:r>
      <w:r>
        <w:rPr>
          <w:rFonts w:hint="eastAsia" w:ascii="宋体" w:hAnsi="宋体" w:cs="宋体"/>
          <w:szCs w:val="24"/>
          <w:u w:val="single"/>
        </w:rPr>
        <w:t xml:space="preserve">  </w:t>
      </w:r>
      <w:r>
        <w:rPr>
          <w:rFonts w:hint="eastAsia" w:ascii="宋体" w:hAnsi="宋体" w:cs="宋体"/>
          <w:szCs w:val="24"/>
        </w:rPr>
        <w:t>。</w:t>
      </w:r>
    </w:p>
    <w:p>
      <w:pPr>
        <w:keepNext w:val="0"/>
        <w:keepLines w:val="0"/>
        <w:widowControl w:val="0"/>
        <w:kinsoku/>
        <w:wordWrap/>
        <w:overflowPunct/>
        <w:topLinePunct w:val="0"/>
        <w:autoSpaceDE/>
        <w:autoSpaceDN/>
        <w:bidi w:val="0"/>
        <w:adjustRightInd/>
        <w:spacing w:line="360" w:lineRule="auto"/>
        <w:ind w:firstLine="525" w:firstLineChars="250"/>
        <w:textAlignment w:val="auto"/>
        <w:outlineLvl w:val="9"/>
        <w:rPr>
          <w:rFonts w:ascii="宋体" w:hAnsi="宋体" w:cs="宋体"/>
          <w:szCs w:val="24"/>
        </w:rPr>
      </w:pPr>
      <w:r>
        <w:rPr>
          <w:rFonts w:hint="eastAsia" w:ascii="宋体" w:hAnsi="宋体" w:cs="宋体"/>
          <w:szCs w:val="24"/>
        </w:rPr>
        <w:t>监理人应在本合同终止后</w:t>
      </w:r>
      <w:r>
        <w:rPr>
          <w:rFonts w:hint="eastAsia" w:ascii="宋体" w:hAnsi="宋体" w:cs="宋体"/>
          <w:b/>
          <w:szCs w:val="24"/>
          <w:u w:val="single"/>
        </w:rPr>
        <w:t>7</w:t>
      </w:r>
      <w:r>
        <w:rPr>
          <w:rFonts w:hint="eastAsia" w:ascii="宋体" w:hAnsi="宋体" w:cs="宋体"/>
          <w:szCs w:val="24"/>
        </w:rPr>
        <w:t>天内移交委托人无偿提供的房屋、设备，移交的时间和方式为：</w:t>
      </w:r>
      <w:r>
        <w:rPr>
          <w:rFonts w:hint="eastAsia" w:ascii="宋体" w:hAnsi="宋体" w:cs="宋体"/>
          <w:b/>
          <w:szCs w:val="24"/>
          <w:u w:val="single"/>
        </w:rPr>
        <w:t xml:space="preserve"> </w:t>
      </w:r>
      <w:r>
        <w:rPr>
          <w:rFonts w:hint="eastAsia" w:ascii="宋体" w:hAnsi="宋体" w:cs="宋体"/>
          <w:szCs w:val="24"/>
          <w:u w:val="single"/>
        </w:rPr>
        <w:t>当面移交</w:t>
      </w:r>
      <w:r>
        <w:rPr>
          <w:rFonts w:hint="eastAsia" w:ascii="宋体" w:hAnsi="宋体" w:cs="宋体"/>
          <w:b/>
          <w:szCs w:val="24"/>
          <w:u w:val="single"/>
        </w:rPr>
        <w:t xml:space="preserve"> </w:t>
      </w:r>
      <w:r>
        <w:rPr>
          <w:rFonts w:hint="eastAsia" w:ascii="宋体" w:hAnsi="宋体" w:cs="宋体"/>
          <w:szCs w:val="24"/>
        </w:rPr>
        <w:t>。</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szCs w:val="24"/>
        </w:rPr>
      </w:pPr>
      <w:r>
        <w:rPr>
          <w:rFonts w:hint="eastAsia" w:ascii="宋体" w:hAnsi="宋体" w:cs="宋体"/>
          <w:b/>
          <w:szCs w:val="24"/>
        </w:rPr>
        <w:t xml:space="preserve">3. 委托人义务  </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szCs w:val="24"/>
        </w:rPr>
      </w:pPr>
      <w:r>
        <w:rPr>
          <w:rFonts w:hint="eastAsia" w:ascii="宋体" w:hAnsi="宋体" w:cs="宋体"/>
          <w:szCs w:val="24"/>
        </w:rPr>
        <w:t xml:space="preserve">  3.4 委托人代表</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委托人代表为：</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3.6 答复</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委托人同意在</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7</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天内，对监理人书面提交并要求做出决定的事宜给予书面答复。</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4. 违约责任</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4.1 监理人的违约责任</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4.1.1监理人赔偿金额按下列方法确定：</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赔偿金＝直接经济损失×中标监理费率（费率=监理合同额/施工合同额）</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b/>
          <w:color w:val="000000" w:themeColor="text1"/>
          <w:szCs w:val="24"/>
          <w:lang w:val="zh-CN"/>
          <w14:textFill>
            <w14:solidFill>
              <w14:schemeClr w14:val="tx1"/>
            </w14:solidFill>
          </w14:textFill>
        </w:rPr>
      </w:pPr>
      <w:r>
        <w:rPr>
          <w:rFonts w:hint="eastAsia" w:ascii="宋体" w:hAnsi="宋体" w:cs="宋体"/>
          <w:b/>
          <w:color w:val="000000" w:themeColor="text1"/>
          <w:szCs w:val="24"/>
          <w:lang w:val="zh-CN"/>
          <w14:textFill>
            <w14:solidFill>
              <w14:schemeClr w14:val="tx1"/>
            </w14:solidFill>
          </w14:textFill>
        </w:rPr>
        <w:t>5. 支付</w:t>
      </w:r>
    </w:p>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 xml:space="preserve">  5.1 支付货币</w:t>
      </w:r>
    </w:p>
    <w:p>
      <w:pPr>
        <w:keepNext w:val="0"/>
        <w:keepLines w:val="0"/>
        <w:widowControl w:val="0"/>
        <w:kinsoku/>
        <w:wordWrap/>
        <w:overflowPunct/>
        <w:topLinePunct w:val="0"/>
        <w:autoSpaceDE/>
        <w:autoSpaceDN/>
        <w:bidi w:val="0"/>
        <w:adjustRightInd/>
        <w:spacing w:line="360" w:lineRule="auto"/>
        <w:ind w:firstLine="560"/>
        <w:textAlignment w:val="auto"/>
        <w:outlineLvl w:val="9"/>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币种为：</w:t>
      </w:r>
      <w:r>
        <w:rPr>
          <w:rFonts w:hint="eastAsia" w:ascii="宋体" w:hAnsi="宋体" w:cs="宋体"/>
          <w:color w:val="000000" w:themeColor="text1"/>
          <w:szCs w:val="24"/>
          <w:u w:val="single"/>
          <w:lang w:val="zh-CN"/>
          <w14:textFill>
            <w14:solidFill>
              <w14:schemeClr w14:val="tx1"/>
            </w14:solidFill>
          </w14:textFill>
        </w:rPr>
        <w:t>人民币</w:t>
      </w:r>
      <w:r>
        <w:rPr>
          <w:rFonts w:hint="eastAsia" w:ascii="宋体" w:hAnsi="宋体" w:cs="宋体"/>
          <w:color w:val="000000" w:themeColor="text1"/>
          <w:szCs w:val="24"/>
          <w:lang w:val="zh-CN"/>
          <w14:textFill>
            <w14:solidFill>
              <w14:schemeClr w14:val="tx1"/>
            </w14:solidFill>
          </w14:textFill>
        </w:rPr>
        <w:t>，比例为：</w:t>
      </w:r>
      <w:r>
        <w:rPr>
          <w:rFonts w:hint="eastAsia" w:ascii="宋体" w:hAnsi="宋体" w:cs="宋体"/>
          <w:color w:val="000000" w:themeColor="text1"/>
          <w:szCs w:val="24"/>
          <w:u w:val="single"/>
          <w:lang w:val="zh-CN"/>
          <w14:textFill>
            <w14:solidFill>
              <w14:schemeClr w14:val="tx1"/>
            </w14:solidFill>
          </w14:textFill>
        </w:rPr>
        <w:t xml:space="preserve">   /   </w:t>
      </w:r>
      <w:r>
        <w:rPr>
          <w:rFonts w:hint="eastAsia" w:ascii="宋体" w:hAnsi="宋体" w:cs="宋体"/>
          <w:color w:val="000000" w:themeColor="text1"/>
          <w:szCs w:val="24"/>
          <w:lang w:val="zh-CN"/>
          <w14:textFill>
            <w14:solidFill>
              <w14:schemeClr w14:val="tx1"/>
            </w14:solidFill>
          </w14:textFill>
        </w:rPr>
        <w:t>，汇率为：</w:t>
      </w:r>
      <w:r>
        <w:rPr>
          <w:rFonts w:hint="eastAsia" w:ascii="宋体" w:hAnsi="宋体" w:cs="宋体"/>
          <w:color w:val="000000" w:themeColor="text1"/>
          <w:szCs w:val="24"/>
          <w:u w:val="single"/>
          <w:lang w:val="zh-CN"/>
          <w14:textFill>
            <w14:solidFill>
              <w14:schemeClr w14:val="tx1"/>
            </w14:solidFill>
          </w14:textFill>
        </w:rPr>
        <w:t xml:space="preserve">   /   </w:t>
      </w:r>
      <w:r>
        <w:rPr>
          <w:rFonts w:hint="eastAsia" w:ascii="宋体" w:hAnsi="宋体" w:cs="宋体"/>
          <w:color w:val="000000" w:themeColor="text1"/>
          <w:szCs w:val="24"/>
          <w:lang w:val="zh-CN"/>
          <w14:textFill>
            <w14:solidFill>
              <w14:schemeClr w14:val="tx1"/>
            </w14:solidFill>
          </w14:textFill>
        </w:rPr>
        <w:t xml:space="preserve">。 </w:t>
      </w:r>
    </w:p>
    <w:p>
      <w:pPr>
        <w:pStyle w:val="43"/>
        <w:keepNext w:val="0"/>
        <w:keepLines w:val="0"/>
        <w:widowControl w:val="0"/>
        <w:kinsoku/>
        <w:wordWrap/>
        <w:overflowPunct/>
        <w:topLinePunct w:val="0"/>
        <w:autoSpaceDE/>
        <w:autoSpaceDN/>
        <w:bidi w:val="0"/>
        <w:adjustRightInd/>
        <w:ind w:firstLine="210" w:firstLineChars="100"/>
        <w:textAlignment w:val="auto"/>
        <w:outlineLvl w:val="9"/>
        <w:rPr>
          <w:rFonts w:ascii="宋体" w:hAnsi="宋体" w:cs="宋体"/>
          <w:color w:val="000000" w:themeColor="text1"/>
          <w:sz w:val="21"/>
          <w:szCs w:val="24"/>
          <w:lang w:val="zh-CN"/>
          <w14:textFill>
            <w14:solidFill>
              <w14:schemeClr w14:val="tx1"/>
            </w14:solidFill>
          </w14:textFill>
        </w:rPr>
      </w:pPr>
      <w:r>
        <w:rPr>
          <w:rFonts w:hint="eastAsia" w:ascii="宋体" w:hAnsi="宋体" w:cs="宋体"/>
          <w:color w:val="000000" w:themeColor="text1"/>
          <w:sz w:val="21"/>
          <w:szCs w:val="24"/>
          <w:lang w:val="zh-CN"/>
          <w14:textFill>
            <w14:solidFill>
              <w14:schemeClr w14:val="tx1"/>
            </w14:solidFill>
          </w14:textFill>
        </w:rPr>
        <w:t>5.2履约担保</w:t>
      </w:r>
    </w:p>
    <w:p>
      <w:pPr>
        <w:pStyle w:val="43"/>
        <w:keepNext w:val="0"/>
        <w:keepLines w:val="0"/>
        <w:widowControl w:val="0"/>
        <w:kinsoku/>
        <w:wordWrap/>
        <w:overflowPunct/>
        <w:topLinePunct w:val="0"/>
        <w:autoSpaceDE/>
        <w:autoSpaceDN/>
        <w:bidi w:val="0"/>
        <w:adjustRightInd/>
        <w:ind w:firstLine="420"/>
        <w:textAlignment w:val="auto"/>
        <w:outlineLvl w:val="9"/>
        <w:rPr>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keepNext w:val="0"/>
        <w:keepLines w:val="0"/>
        <w:widowControl w:val="0"/>
        <w:kinsoku/>
        <w:wordWrap/>
        <w:overflowPunct/>
        <w:topLinePunct w:val="0"/>
        <w:autoSpaceDE/>
        <w:autoSpaceDN/>
        <w:bidi w:val="0"/>
        <w:adjustRightInd/>
        <w:spacing w:line="360" w:lineRule="auto"/>
        <w:ind w:firstLine="32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5.3 </w:t>
      </w:r>
      <w:r>
        <w:rPr>
          <w:rFonts w:hint="eastAsia" w:ascii="宋体" w:hAnsi="宋体" w:cs="宋体"/>
          <w:color w:val="000000" w:themeColor="text1"/>
          <w:szCs w:val="24"/>
          <w:lang w:val="zh-CN"/>
          <w14:textFill>
            <w14:solidFill>
              <w14:schemeClr w14:val="tx1"/>
            </w14:solidFill>
          </w14:textFill>
        </w:rPr>
        <w:t>支付酬金</w:t>
      </w:r>
    </w:p>
    <w:p>
      <w:pPr>
        <w:keepNext w:val="0"/>
        <w:keepLines w:val="0"/>
        <w:widowControl w:val="0"/>
        <w:kinsoku/>
        <w:wordWrap/>
        <w:overflowPunct/>
        <w:topLinePunct w:val="0"/>
        <w:autoSpaceDE/>
        <w:autoSpaceDN/>
        <w:bidi w:val="0"/>
        <w:adjustRightInd/>
        <w:spacing w:line="360" w:lineRule="auto"/>
        <w:ind w:left="210" w:leftChars="1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正常工作酬金的支付：</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550"/>
        <w:gridCol w:w="816"/>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支付次数</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支付节点</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支付比例</w:t>
            </w: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lang w:val="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lang w:val="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lang w:val="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lang w:val="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最后付款</w:t>
            </w:r>
          </w:p>
        </w:tc>
        <w:tc>
          <w:tcPr>
            <w:tcW w:w="35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lang w:val="zh-CN"/>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jc w:val="center"/>
              <w:textAlignment w:val="auto"/>
              <w:outlineLvl w:val="9"/>
              <w:rPr>
                <w:rFonts w:ascii="宋体" w:hAnsi="宋体" w:cs="宋体"/>
                <w:color w:val="000000" w:themeColor="text1"/>
                <w:szCs w:val="21"/>
                <w14:textFill>
                  <w14:solidFill>
                    <w14:schemeClr w14:val="tx1"/>
                  </w14:solidFill>
                </w14:textFill>
              </w:rPr>
            </w:pPr>
          </w:p>
        </w:tc>
      </w:tr>
    </w:tbl>
    <w:p>
      <w:pPr>
        <w:keepNext w:val="0"/>
        <w:keepLines w:val="0"/>
        <w:widowControl w:val="0"/>
        <w:kinsoku/>
        <w:wordWrap/>
        <w:overflowPunct/>
        <w:topLinePunct w:val="0"/>
        <w:autoSpaceDE/>
        <w:autoSpaceDN/>
        <w:bidi w:val="0"/>
        <w:adjustRightInd/>
        <w:snapToGrid w:val="0"/>
        <w:spacing w:line="360" w:lineRule="auto"/>
        <w:ind w:firstLine="840" w:firstLineChars="400"/>
        <w:jc w:val="left"/>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备注：监理合同额=监理单位中标金额</w:t>
      </w:r>
    </w:p>
    <w:p>
      <w:pPr>
        <w:pStyle w:val="25"/>
        <w:keepNext w:val="0"/>
        <w:keepLines w:val="0"/>
        <w:widowControl w:val="0"/>
        <w:kinsoku/>
        <w:wordWrap/>
        <w:overflowPunct/>
        <w:topLinePunct w:val="0"/>
        <w:autoSpaceDE/>
        <w:autoSpaceDN/>
        <w:bidi w:val="0"/>
        <w:adjustRightInd/>
        <w:textAlignment w:val="auto"/>
        <w:outlineLvl w:val="9"/>
        <w:rPr>
          <w:rFonts w:ascii="宋体" w:hAnsi="宋体" w:cs="宋体"/>
          <w:b/>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每次付款前须开具同等金额的增值税专用发票。</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w:t>
      </w:r>
      <w:r>
        <w:rPr>
          <w:rFonts w:hint="eastAsia" w:ascii="宋体" w:hAnsi="宋体" w:cs="宋体"/>
          <w:b/>
          <w:color w:val="000000" w:themeColor="text1"/>
          <w:szCs w:val="24"/>
          <w14:textFill>
            <w14:solidFill>
              <w14:schemeClr w14:val="tx1"/>
            </w14:solidFill>
          </w14:textFill>
        </w:rPr>
        <w:t>. 合同生效、变更、暂停、解除与终止</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6.1 生效</w:t>
      </w:r>
    </w:p>
    <w:p>
      <w:pPr>
        <w:keepNext w:val="0"/>
        <w:keepLines w:val="0"/>
        <w:widowControl w:val="0"/>
        <w:kinsoku/>
        <w:wordWrap/>
        <w:overflowPunct/>
        <w:topLinePunct w:val="0"/>
        <w:autoSpaceDE/>
        <w:autoSpaceDN/>
        <w:bidi w:val="0"/>
        <w:adjustRightInd/>
        <w:snapToGrid w:val="0"/>
        <w:spacing w:line="360" w:lineRule="auto"/>
        <w:ind w:firstLine="48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本合同生效条件：</w:t>
      </w:r>
      <w:r>
        <w:rPr>
          <w:rFonts w:hint="eastAsia" w:ascii="宋体" w:hAnsi="宋体" w:cs="宋体"/>
          <w:color w:val="000000" w:themeColor="text1"/>
          <w:szCs w:val="24"/>
          <w:u w:val="single"/>
          <w14:textFill>
            <w14:solidFill>
              <w14:schemeClr w14:val="tx1"/>
            </w14:solidFill>
          </w14:textFill>
        </w:rPr>
        <w:t xml:space="preserve"> 双方签字、盖章后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13" w:firstLineChars="197"/>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6.2 变更</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6.2.2 除不可抗力外，项目建设工期延长不增加监理费用。 </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6.2.3因工程规模、监理范围的变化导致监理人的正常工作量减少时，按减少工作量的比例从协议书约定的正常工作酬金中扣减相同比例的酬金。</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7. 争议解决</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7.1 调解</w:t>
      </w:r>
    </w:p>
    <w:p>
      <w:pPr>
        <w:keepNext w:val="0"/>
        <w:keepLines w:val="0"/>
        <w:widowControl w:val="0"/>
        <w:kinsoku/>
        <w:wordWrap/>
        <w:overflowPunct/>
        <w:topLinePunct w:val="0"/>
        <w:autoSpaceDE/>
        <w:autoSpaceDN/>
        <w:bidi w:val="0"/>
        <w:adjustRightInd/>
        <w:snapToGrid w:val="0"/>
        <w:spacing w:line="360" w:lineRule="auto"/>
        <w:ind w:firstLine="411" w:firstLineChars="196"/>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本合同争议进行调解时，可提交</w:t>
      </w:r>
      <w:r>
        <w:rPr>
          <w:rFonts w:hint="eastAsia" w:ascii="宋体" w:hAnsi="宋体" w:cs="宋体"/>
          <w:color w:val="000000" w:themeColor="text1"/>
          <w:szCs w:val="24"/>
          <w:u w:val="single"/>
          <w14:textFill>
            <w14:solidFill>
              <w14:schemeClr w14:val="tx1"/>
            </w14:solidFill>
          </w14:textFill>
        </w:rPr>
        <w:t xml:space="preserve"> 工程所在地具有管辖权的人民法院 </w:t>
      </w:r>
      <w:r>
        <w:rPr>
          <w:rFonts w:hint="eastAsia" w:ascii="宋体" w:hAnsi="宋体" w:cs="宋体"/>
          <w:color w:val="000000" w:themeColor="text1"/>
          <w:szCs w:val="24"/>
          <w14:textFill>
            <w14:solidFill>
              <w14:schemeClr w14:val="tx1"/>
            </w14:solidFill>
          </w14:textFill>
        </w:rPr>
        <w:t>进行调解。</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7.2 仲裁或诉讼</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合同争议的最终解决方式为下列第</w:t>
      </w:r>
      <w:r>
        <w:rPr>
          <w:rFonts w:hint="eastAsia" w:ascii="宋体" w:hAnsi="宋体" w:cs="宋体"/>
          <w:color w:val="000000" w:themeColor="text1"/>
          <w:szCs w:val="24"/>
          <w:u w:val="single"/>
          <w14:textFill>
            <w14:solidFill>
              <w14:schemeClr w14:val="tx1"/>
            </w14:solidFill>
          </w14:textFill>
        </w:rPr>
        <w:t xml:space="preserve"> （2） </w:t>
      </w:r>
      <w:r>
        <w:rPr>
          <w:rFonts w:hint="eastAsia" w:ascii="宋体" w:hAnsi="宋体" w:cs="宋体"/>
          <w:color w:val="000000" w:themeColor="text1"/>
          <w:szCs w:val="24"/>
          <w14:textFill>
            <w14:solidFill>
              <w14:schemeClr w14:val="tx1"/>
            </w14:solidFill>
          </w14:textFill>
        </w:rPr>
        <w:t>种方式：</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（1）提请</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仲裁委员会进行仲裁。</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（2）向</w:t>
      </w:r>
      <w:r>
        <w:rPr>
          <w:rFonts w:hint="eastAsia" w:ascii="宋体" w:hAnsi="宋体" w:cs="宋体"/>
          <w:color w:val="000000" w:themeColor="text1"/>
          <w:szCs w:val="24"/>
          <w:u w:val="single"/>
          <w14:textFill>
            <w14:solidFill>
              <w14:schemeClr w14:val="tx1"/>
            </w14:solidFill>
          </w14:textFill>
        </w:rPr>
        <w:t xml:space="preserve"> 项目所在地  </w:t>
      </w:r>
      <w:r>
        <w:rPr>
          <w:rFonts w:hint="eastAsia" w:ascii="宋体" w:hAnsi="宋体" w:cs="宋体"/>
          <w:color w:val="000000" w:themeColor="text1"/>
          <w:szCs w:val="24"/>
          <w14:textFill>
            <w14:solidFill>
              <w14:schemeClr w14:val="tx1"/>
            </w14:solidFill>
          </w14:textFill>
        </w:rPr>
        <w:t>人民法院提起诉讼。</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8. 其他</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8.1 检测费用</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委托人应在检测工作完成后</w:t>
      </w:r>
      <w:r>
        <w:rPr>
          <w:rFonts w:hint="eastAsia" w:ascii="宋体" w:hAnsi="宋体" w:cs="宋体"/>
          <w:color w:val="000000" w:themeColor="text1"/>
          <w:szCs w:val="24"/>
          <w:u w:val="single"/>
          <w14:textFill>
            <w14:solidFill>
              <w14:schemeClr w14:val="tx1"/>
            </w14:solidFill>
          </w14:textFill>
        </w:rPr>
        <w:t xml:space="preserve"> 7 </w:t>
      </w:r>
      <w:r>
        <w:rPr>
          <w:rFonts w:hint="eastAsia" w:ascii="宋体" w:hAnsi="宋体" w:cs="宋体"/>
          <w:color w:val="000000" w:themeColor="text1"/>
          <w:szCs w:val="24"/>
          <w14:textFill>
            <w14:solidFill>
              <w14:schemeClr w14:val="tx1"/>
            </w14:solidFill>
          </w14:textFill>
        </w:rPr>
        <w:t>天内支付检测费用。</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8.2 咨询费用</w:t>
      </w:r>
    </w:p>
    <w:p>
      <w:pPr>
        <w:keepNext w:val="0"/>
        <w:keepLines w:val="0"/>
        <w:widowControl w:val="0"/>
        <w:kinsoku/>
        <w:wordWrap/>
        <w:overflowPunct/>
        <w:topLinePunct w:val="0"/>
        <w:autoSpaceDE/>
        <w:autoSpaceDN/>
        <w:bidi w:val="0"/>
        <w:adjustRightInd/>
        <w:snapToGrid w:val="0"/>
        <w:spacing w:line="360" w:lineRule="auto"/>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委托人应在咨询工作完成后</w:t>
      </w:r>
      <w:r>
        <w:rPr>
          <w:rFonts w:hint="eastAsia" w:ascii="宋体" w:hAnsi="宋体" w:cs="宋体"/>
          <w:color w:val="000000" w:themeColor="text1"/>
          <w:szCs w:val="24"/>
          <w:u w:val="single"/>
          <w14:textFill>
            <w14:solidFill>
              <w14:schemeClr w14:val="tx1"/>
            </w14:solidFill>
          </w14:textFill>
        </w:rPr>
        <w:t xml:space="preserve"> 7 </w:t>
      </w:r>
      <w:r>
        <w:rPr>
          <w:rFonts w:hint="eastAsia" w:ascii="宋体" w:hAnsi="宋体" w:cs="宋体"/>
          <w:color w:val="000000" w:themeColor="text1"/>
          <w:szCs w:val="24"/>
          <w14:textFill>
            <w14:solidFill>
              <w14:schemeClr w14:val="tx1"/>
            </w14:solidFill>
          </w14:textFill>
        </w:rPr>
        <w:t>天内支付咨询费用。</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8.3 奖励</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合理化建议的奖励金额按下列方法确定为：</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奖励金额＝工程投资节省额×奖励金额的比率；</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奖励金额的比率为</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8.4 保密</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委托人申明的保密事项和期限：</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监理人申明的保密事项和期限：</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第三方申明的保密事项和期限：</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205" w:firstLineChars="98"/>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8.5著作权</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监理人在本合同履行期间及本合同终止后两年内出版涉及本工程的有关监理与相关服务的资料的限制条件：</w:t>
      </w:r>
      <w:r>
        <w:rPr>
          <w:rFonts w:hint="eastAsia" w:ascii="宋体" w:hAnsi="宋体" w:cs="宋体"/>
          <w:color w:val="000000" w:themeColor="text1"/>
          <w:szCs w:val="24"/>
          <w:u w:val="single"/>
          <w14:textFill>
            <w14:solidFill>
              <w14:schemeClr w14:val="tx1"/>
            </w14:solidFill>
          </w14:textFill>
        </w:rPr>
        <w:t xml:space="preserve">   / </w:t>
      </w:r>
      <w:r>
        <w:rPr>
          <w:rFonts w:hint="eastAsia" w:ascii="宋体" w:hAnsi="宋体" w:cs="宋体"/>
          <w:b/>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u w:val="single"/>
          <w14:textFill>
            <w14:solidFill>
              <w14:schemeClr w14:val="tx1"/>
            </w14:solidFill>
          </w14:textFill>
        </w:rPr>
        <w:t xml:space="preserve">   </w:t>
      </w:r>
      <w:r>
        <w:rPr>
          <w:rFonts w:hint="eastAsia" w:ascii="宋体" w:hAnsi="宋体" w:cs="宋体"/>
          <w:color w:val="000000" w:themeColor="text1"/>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before="78" w:beforeLines="25" w:line="360" w:lineRule="auto"/>
        <w:ind w:firstLine="210" w:firstLineChars="100"/>
        <w:textAlignment w:val="auto"/>
        <w:outlineLvl w:val="9"/>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9. 补充条款</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u w:val="single"/>
          <w14:textFill>
            <w14:solidFill>
              <w14:schemeClr w14:val="tx1"/>
            </w14:solidFill>
          </w14:textFill>
        </w:rPr>
        <w:t>（1）专用条件未尽事宜参照通用条件执行。</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u w:val="single"/>
          <w14:textFill>
            <w14:solidFill>
              <w14:schemeClr w14:val="tx1"/>
            </w14:solidFill>
          </w14:textFill>
        </w:rPr>
        <w:t>（2）监理人员应恪守理人员职业道德、确保监理工作的公平、公正。</w:t>
      </w:r>
    </w:p>
    <w:p>
      <w:pPr>
        <w:keepNext w:val="0"/>
        <w:keepLines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color w:val="000000" w:themeColor="text1"/>
          <w:szCs w:val="24"/>
          <w:u w:val="single"/>
          <w14:textFill>
            <w14:solidFill>
              <w14:schemeClr w14:val="tx1"/>
            </w14:solidFill>
          </w14:textFill>
        </w:rPr>
      </w:pPr>
      <w:r>
        <w:rPr>
          <w:rFonts w:hint="eastAsia" w:ascii="宋体" w:hAnsi="宋体" w:cs="宋体"/>
          <w:color w:val="000000" w:themeColor="text1"/>
          <w:szCs w:val="24"/>
          <w:u w:val="single"/>
          <w14:textFill>
            <w14:solidFill>
              <w14:schemeClr w14:val="tx1"/>
            </w14:solidFill>
          </w14:textFill>
        </w:rPr>
        <w:t>（3）委托人认为不称职监理人员，监理人应无条件进行调整，且保证满足监理工作需要。</w:t>
      </w:r>
    </w:p>
    <w:p>
      <w:pPr>
        <w:keepNext w:val="0"/>
        <w:keepLines w:val="0"/>
        <w:widowControl w:val="0"/>
        <w:kinsoku/>
        <w:wordWrap/>
        <w:overflowPunct/>
        <w:topLinePunct w:val="0"/>
        <w:autoSpaceDE/>
        <w:autoSpaceDN/>
        <w:bidi w:val="0"/>
        <w:adjustRightInd/>
        <w:spacing w:line="360" w:lineRule="auto"/>
        <w:ind w:firstLine="645"/>
        <w:textAlignment w:val="auto"/>
        <w:outlineLvl w:val="9"/>
        <w:rPr>
          <w:rFonts w:ascii="宋体" w:hAnsi="宋体" w:cs="宋体"/>
          <w:b/>
          <w:color w:val="000000" w:themeColor="text1"/>
          <w:szCs w:val="24"/>
          <w:u w:val="single"/>
          <w14:textFill>
            <w14:solidFill>
              <w14:schemeClr w14:val="tx1"/>
            </w14:solidFill>
          </w14:textFill>
        </w:rPr>
      </w:pPr>
    </w:p>
    <w:p>
      <w:pPr>
        <w:keepNext w:val="0"/>
        <w:keepLines w:val="0"/>
        <w:pageBreakBefore/>
        <w:widowControl w:val="0"/>
        <w:kinsoku/>
        <w:wordWrap/>
        <w:overflowPunct/>
        <w:topLinePunct w:val="0"/>
        <w:autoSpaceDE/>
        <w:autoSpaceDN/>
        <w:bidi w:val="0"/>
        <w:adjustRightInd/>
        <w:spacing w:line="360" w:lineRule="auto"/>
        <w:jc w:val="center"/>
        <w:textAlignment w:val="auto"/>
        <w:outlineLvl w:val="9"/>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附录A  相关服务的范围和内容</w:t>
      </w:r>
    </w:p>
    <w:p>
      <w:pPr>
        <w:keepNext w:val="0"/>
        <w:keepLines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宋体"/>
          <w:color w:val="000000" w:themeColor="text1"/>
          <w:sz w:val="24"/>
          <w:szCs w:val="24"/>
          <w14:textFill>
            <w14:solidFill>
              <w14:schemeClr w14:val="tx1"/>
            </w14:solidFill>
          </w14:textFill>
        </w:rPr>
      </w:pPr>
    </w:p>
    <w:p>
      <w:pPr>
        <w:keepNext w:val="0"/>
        <w:keepLines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A-1 勘察阶段：</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A-2 设计阶段：</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保修阶段：</w:t>
      </w:r>
      <w:r>
        <w:rPr>
          <w:rFonts w:hint="eastAsia" w:ascii="宋体" w:hAnsi="宋体" w:cs="宋体"/>
          <w:color w:val="000000" w:themeColor="text1"/>
          <w:sz w:val="24"/>
          <w:szCs w:val="24"/>
          <w:u w:val="single"/>
          <w14:textFill>
            <w14:solidFill>
              <w14:schemeClr w14:val="tx1"/>
            </w14:solidFill>
          </w14:textFill>
        </w:rPr>
        <w:t xml:space="preserve"> 竣工后24个月内对所监理工程出现质量缺陷，协调承包</w:t>
      </w:r>
    </w:p>
    <w:p>
      <w:pPr>
        <w:keepNext w:val="0"/>
        <w:keepLines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人维修或赔付 。</w:t>
      </w:r>
    </w:p>
    <w:p>
      <w:pPr>
        <w:keepNext w:val="0"/>
        <w:keepLines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A-4 其他（专业技术咨询、外部协调工作等）：</w:t>
      </w:r>
      <w:r>
        <w:rPr>
          <w:rFonts w:hint="eastAsia" w:ascii="宋体" w:hAnsi="宋体" w:cs="宋体"/>
          <w:b/>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keepNext w:val="0"/>
        <w:keepLines w:val="0"/>
        <w:widowControl w:val="0"/>
        <w:kinsoku/>
        <w:wordWrap/>
        <w:overflowPunct/>
        <w:topLinePunct w:val="0"/>
        <w:autoSpaceDE/>
        <w:autoSpaceDN/>
        <w:bidi w:val="0"/>
        <w:adjustRightInd/>
        <w:snapToGrid w:val="0"/>
        <w:spacing w:before="156" w:beforeLines="50" w:after="156" w:afterLines="50" w:line="360" w:lineRule="auto"/>
        <w:ind w:firstLine="560" w:firstLineChars="200"/>
        <w:textAlignment w:val="auto"/>
        <w:outlineLvl w:val="9"/>
        <w:rPr>
          <w:rFonts w:ascii="宋体" w:hAnsi="宋体" w:cs="宋体"/>
          <w:color w:val="000000" w:themeColor="text1"/>
          <w:sz w:val="28"/>
          <w:szCs w:val="24"/>
          <w14:textFill>
            <w14:solidFill>
              <w14:schemeClr w14:val="tx1"/>
            </w14:solidFill>
          </w14:textFill>
        </w:rPr>
      </w:pPr>
    </w:p>
    <w:p>
      <w:pPr>
        <w:keepNext w:val="0"/>
        <w:keepLines w:val="0"/>
        <w:pageBreakBefore/>
        <w:widowControl w:val="0"/>
        <w:kinsoku/>
        <w:wordWrap/>
        <w:overflowPunct/>
        <w:topLinePunct w:val="0"/>
        <w:autoSpaceDE/>
        <w:autoSpaceDN/>
        <w:bidi w:val="0"/>
        <w:adjustRightInd/>
        <w:spacing w:line="360" w:lineRule="auto"/>
        <w:jc w:val="center"/>
        <w:textAlignment w:val="auto"/>
        <w:outlineLvl w:val="9"/>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附录B  委托人派遣的人员和提供的房屋、资料、设备</w:t>
      </w:r>
    </w:p>
    <w:p>
      <w:pPr>
        <w:keepNext w:val="0"/>
        <w:keepLines w:val="0"/>
        <w:widowControl w:val="0"/>
        <w:kinsoku/>
        <w:wordWrap/>
        <w:overflowPunct/>
        <w:topLinePunct w:val="0"/>
        <w:autoSpaceDE/>
        <w:autoSpaceDN/>
        <w:bidi w:val="0"/>
        <w:adjustRightInd/>
        <w:spacing w:before="156" w:beforeLines="50" w:line="360" w:lineRule="auto"/>
        <w:textAlignment w:val="auto"/>
        <w:outlineLvl w:val="9"/>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B-1  委托人派遣的人员</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77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工作要求</w:t>
            </w: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 工程技术人员 </w:t>
            </w:r>
          </w:p>
        </w:tc>
        <w:tc>
          <w:tcPr>
            <w:tcW w:w="177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辅助工作人员</w:t>
            </w:r>
          </w:p>
        </w:tc>
        <w:tc>
          <w:tcPr>
            <w:tcW w:w="177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80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其他人员</w:t>
            </w:r>
          </w:p>
        </w:tc>
        <w:tc>
          <w:tcPr>
            <w:tcW w:w="177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bl>
    <w:p>
      <w:pPr>
        <w:keepNext w:val="0"/>
        <w:keepLines w:val="0"/>
        <w:widowControl w:val="0"/>
        <w:kinsoku/>
        <w:wordWrap/>
        <w:overflowPunct/>
        <w:topLinePunct w:val="0"/>
        <w:autoSpaceDE/>
        <w:autoSpaceDN/>
        <w:bidi w:val="0"/>
        <w:adjustRightInd/>
        <w:spacing w:before="156" w:beforeLines="50" w:line="360" w:lineRule="auto"/>
        <w:textAlignment w:val="auto"/>
        <w:outlineLvl w:val="9"/>
        <w:rPr>
          <w:rFonts w:ascii="宋体" w:hAnsi="宋体" w:cs="宋体"/>
          <w:b/>
          <w:color w:val="000000" w:themeColor="text1"/>
          <w:sz w:val="28"/>
          <w:szCs w:val="24"/>
          <w14:textFill>
            <w14:solidFill>
              <w14:schemeClr w14:val="tx1"/>
            </w14:solidFill>
          </w14:textFill>
        </w:rPr>
      </w:pPr>
      <w:bookmarkStart w:id="726" w:name="_Toc24222"/>
      <w:bookmarkStart w:id="727" w:name="_Toc9219"/>
      <w:bookmarkStart w:id="728" w:name="_Toc22602"/>
      <w:bookmarkStart w:id="729" w:name="_Toc32763"/>
      <w:r>
        <w:rPr>
          <w:rFonts w:hint="eastAsia" w:ascii="宋体" w:hAnsi="宋体" w:cs="宋体"/>
          <w:b/>
          <w:color w:val="000000" w:themeColor="text1"/>
          <w:sz w:val="28"/>
          <w:szCs w:val="24"/>
          <w14:textFill>
            <w14:solidFill>
              <w14:schemeClr w14:val="tx1"/>
            </w14:solidFill>
          </w14:textFill>
        </w:rPr>
        <w:t>B-2  委托人提供的房屋</w:t>
      </w:r>
      <w:bookmarkEnd w:id="726"/>
      <w:bookmarkEnd w:id="727"/>
      <w:bookmarkEnd w:id="728"/>
      <w:bookmarkEnd w:id="72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592"/>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59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面积</w:t>
            </w: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办公用房</w:t>
            </w:r>
          </w:p>
        </w:tc>
        <w:tc>
          <w:tcPr>
            <w:tcW w:w="159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1间</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生活用房</w:t>
            </w:r>
          </w:p>
        </w:tc>
        <w:tc>
          <w:tcPr>
            <w:tcW w:w="159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d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试验用房</w:t>
            </w:r>
          </w:p>
        </w:tc>
        <w:tc>
          <w:tcPr>
            <w:tcW w:w="159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样品用房</w:t>
            </w:r>
          </w:p>
        </w:tc>
        <w:tc>
          <w:tcPr>
            <w:tcW w:w="159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用餐及其他生活条件</w:t>
            </w:r>
          </w:p>
        </w:tc>
        <w:tc>
          <w:tcPr>
            <w:tcW w:w="5582" w:type="dxa"/>
            <w:gridSpan w:val="3"/>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ind w:firstLine="240" w:firstLineChars="100"/>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r>
    </w:tbl>
    <w:p>
      <w:pPr>
        <w:keepNext w:val="0"/>
        <w:keepLines w:val="0"/>
        <w:widowControl w:val="0"/>
        <w:kinsoku/>
        <w:wordWrap/>
        <w:overflowPunct/>
        <w:topLinePunct w:val="0"/>
        <w:autoSpaceDE/>
        <w:autoSpaceDN/>
        <w:bidi w:val="0"/>
        <w:adjustRightInd/>
        <w:spacing w:before="156" w:beforeLines="50" w:line="360" w:lineRule="auto"/>
        <w:textAlignment w:val="auto"/>
        <w:outlineLvl w:val="9"/>
        <w:rPr>
          <w:rFonts w:ascii="宋体" w:hAnsi="宋体" w:cs="宋体"/>
          <w:b/>
          <w:color w:val="000000" w:themeColor="text1"/>
          <w:sz w:val="28"/>
          <w:szCs w:val="24"/>
          <w14:textFill>
            <w14:solidFill>
              <w14:schemeClr w14:val="tx1"/>
            </w14:solidFill>
          </w14:textFill>
        </w:rPr>
      </w:pPr>
      <w:bookmarkStart w:id="730" w:name="_Toc19678"/>
      <w:bookmarkStart w:id="731" w:name="_Toc31215"/>
      <w:bookmarkStart w:id="732" w:name="_Toc21550"/>
      <w:bookmarkStart w:id="733" w:name="_Toc4237"/>
      <w:r>
        <w:rPr>
          <w:rFonts w:hint="eastAsia" w:ascii="宋体" w:hAnsi="宋体" w:cs="宋体"/>
          <w:b/>
          <w:color w:val="000000" w:themeColor="text1"/>
          <w:sz w:val="28"/>
          <w:szCs w:val="24"/>
          <w14:textFill>
            <w14:solidFill>
              <w14:schemeClr w14:val="tx1"/>
            </w14:solidFill>
          </w14:textFill>
        </w:rPr>
        <w:t>B-3  委托人提供的资料</w:t>
      </w:r>
      <w:bookmarkEnd w:id="730"/>
      <w:bookmarkEnd w:id="731"/>
      <w:bookmarkEnd w:id="732"/>
      <w:bookmarkEnd w:id="73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8"/>
        <w:gridCol w:w="325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05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份数</w:t>
            </w:r>
          </w:p>
        </w:tc>
        <w:tc>
          <w:tcPr>
            <w:tcW w:w="3255"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提供时间</w:t>
            </w: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工程立项文件</w:t>
            </w:r>
          </w:p>
        </w:tc>
        <w:tc>
          <w:tcPr>
            <w:tcW w:w="105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3255"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工程勘察文件</w:t>
            </w:r>
          </w:p>
        </w:tc>
        <w:tc>
          <w:tcPr>
            <w:tcW w:w="105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3255"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工程设计及施工图纸</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2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合同签订后及时提供</w:t>
            </w: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工程承包合同及其他相关合同</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2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合同签订后及时提供</w:t>
            </w: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施工许可文件</w:t>
            </w:r>
          </w:p>
        </w:tc>
        <w:tc>
          <w:tcPr>
            <w:tcW w:w="105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255"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合同签订后及时提供</w:t>
            </w: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其他文件</w:t>
            </w:r>
          </w:p>
        </w:tc>
        <w:tc>
          <w:tcPr>
            <w:tcW w:w="105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3255"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及时</w:t>
            </w:r>
          </w:p>
        </w:tc>
        <w:tc>
          <w:tcPr>
            <w:tcW w:w="1407"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p>
        </w:tc>
      </w:tr>
    </w:tbl>
    <w:p>
      <w:pPr>
        <w:keepNext w:val="0"/>
        <w:keepLines w:val="0"/>
        <w:widowControl w:val="0"/>
        <w:kinsoku/>
        <w:wordWrap/>
        <w:overflowPunct/>
        <w:topLinePunct w:val="0"/>
        <w:autoSpaceDE/>
        <w:autoSpaceDN/>
        <w:bidi w:val="0"/>
        <w:adjustRightInd/>
        <w:spacing w:before="156" w:beforeLines="50" w:line="360" w:lineRule="auto"/>
        <w:textAlignment w:val="auto"/>
        <w:outlineLvl w:val="9"/>
        <w:rPr>
          <w:rFonts w:ascii="宋体" w:hAnsi="宋体" w:cs="宋体"/>
          <w:b/>
          <w:color w:val="000000" w:themeColor="text1"/>
          <w:sz w:val="28"/>
          <w:szCs w:val="24"/>
          <w14:textFill>
            <w14:solidFill>
              <w14:schemeClr w14:val="tx1"/>
            </w14:solidFill>
          </w14:textFill>
        </w:rPr>
      </w:pPr>
      <w:r>
        <w:rPr>
          <w:rFonts w:hint="eastAsia" w:ascii="宋体" w:hAnsi="宋体" w:cs="宋体"/>
          <w:b/>
          <w:color w:val="000000" w:themeColor="text1"/>
          <w:sz w:val="28"/>
          <w:szCs w:val="24"/>
          <w14:textFill>
            <w14:solidFill>
              <w14:schemeClr w14:val="tx1"/>
            </w14:solidFill>
          </w14:textFill>
        </w:rPr>
        <w:t>B-4 委托人提供的设备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59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型号与规格</w:t>
            </w: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 通讯设备</w:t>
            </w:r>
          </w:p>
        </w:tc>
        <w:tc>
          <w:tcPr>
            <w:tcW w:w="159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办公设备</w:t>
            </w:r>
          </w:p>
        </w:tc>
        <w:tc>
          <w:tcPr>
            <w:tcW w:w="159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交通工具</w:t>
            </w:r>
          </w:p>
        </w:tc>
        <w:tc>
          <w:tcPr>
            <w:tcW w:w="159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检测和试验设备</w:t>
            </w:r>
          </w:p>
        </w:tc>
        <w:tc>
          <w:tcPr>
            <w:tcW w:w="159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c>
          <w:tcPr>
            <w:tcW w:w="1860" w:type="dxa"/>
            <w:tcBorders>
              <w:top w:val="single" w:color="auto" w:sz="4" w:space="0"/>
              <w:left w:val="single" w:color="auto" w:sz="4" w:space="0"/>
              <w:bottom w:val="single" w:color="auto" w:sz="4" w:space="0"/>
              <w:right w:val="single" w:color="auto" w:sz="4" w:space="0"/>
              <w:tl2br w:val="nil"/>
              <w:tr2bl w:val="nil"/>
            </w:tcBorders>
          </w:tcPr>
          <w:p>
            <w:pPr>
              <w:keepNext w:val="0"/>
              <w:keepLines w:val="0"/>
              <w:widowControl w:val="0"/>
              <w:kinsoku/>
              <w:wordWrap/>
              <w:overflowPunct/>
              <w:topLinePunct w:val="0"/>
              <w:autoSpaceDE/>
              <w:autoSpaceDN/>
              <w:bidi w:val="0"/>
              <w:adjustRightInd/>
              <w:spacing w:line="360" w:lineRule="auto"/>
              <w:jc w:val="center"/>
              <w:textAlignment w:val="auto"/>
              <w:outlineLvl w:val="9"/>
              <w:rPr>
                <w:rFonts w:ascii="宋体" w:hAnsi="宋体" w:cs="宋体"/>
                <w:color w:val="000000" w:themeColor="text1"/>
                <w:sz w:val="24"/>
                <w:szCs w:val="24"/>
                <w14:textFill>
                  <w14:solidFill>
                    <w14:schemeClr w14:val="tx1"/>
                  </w14:solidFill>
                </w14:textFill>
              </w:rPr>
            </w:pPr>
          </w:p>
        </w:tc>
      </w:tr>
    </w:tbl>
    <w:p>
      <w:pPr>
        <w:keepNext w:val="0"/>
        <w:keepLines w:val="0"/>
        <w:widowControl w:val="0"/>
        <w:kinsoku/>
        <w:wordWrap/>
        <w:overflowPunct/>
        <w:topLinePunct w:val="0"/>
        <w:autoSpaceDE/>
        <w:autoSpaceDN/>
        <w:bidi w:val="0"/>
        <w:adjustRightInd/>
        <w:textAlignment w:val="auto"/>
        <w:outlineLvl w:val="9"/>
        <w:rPr>
          <w:rFonts w:ascii="宋体" w:hAnsi="宋体" w:cs="宋体"/>
          <w:color w:val="000000" w:themeColor="text1"/>
          <w:sz w:val="24"/>
          <w:szCs w:val="24"/>
          <w14:textFill>
            <w14:solidFill>
              <w14:schemeClr w14:val="tx1"/>
            </w14:solidFill>
          </w14:textFill>
        </w:rPr>
      </w:pPr>
    </w:p>
    <w:p>
      <w:pPr>
        <w:pStyle w:val="2"/>
        <w:pageBreakBefore/>
        <w:spacing w:before="340" w:after="330" w:line="576" w:lineRule="auto"/>
        <w:jc w:val="center"/>
        <w:rPr>
          <w:rFonts w:ascii="宋体" w:hAnsi="宋体" w:cs="宋体"/>
          <w:color w:val="000000" w:themeColor="text1"/>
          <w14:textFill>
            <w14:solidFill>
              <w14:schemeClr w14:val="tx1"/>
            </w14:solidFill>
          </w14:textFill>
        </w:rPr>
      </w:pPr>
      <w:bookmarkStart w:id="734" w:name="_Toc9382"/>
      <w:bookmarkStart w:id="735" w:name="_Toc27786"/>
      <w:bookmarkStart w:id="736" w:name="_Toc14947"/>
      <w:bookmarkStart w:id="737" w:name="_Toc5289"/>
      <w:bookmarkStart w:id="738" w:name="_Toc5946"/>
      <w:r>
        <w:rPr>
          <w:rFonts w:ascii="宋体" w:hAnsi="宋体"/>
          <w:color w:val="000000" w:themeColor="text1"/>
          <w14:textFill>
            <w14:solidFill>
              <w14:schemeClr w14:val="tx1"/>
            </w14:solidFill>
          </w14:textFill>
        </w:rPr>
        <w:t>第</w:t>
      </w:r>
      <w:r>
        <w:rPr>
          <w:rFonts w:hint="eastAsia" w:ascii="宋体" w:hAnsi="宋体"/>
          <w:color w:val="000000" w:themeColor="text1"/>
          <w14:textFill>
            <w14:solidFill>
              <w14:schemeClr w14:val="tx1"/>
            </w14:solidFill>
          </w14:textFill>
        </w:rPr>
        <w:t>六</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投标文件格式</w:t>
      </w:r>
      <w:bookmarkEnd w:id="681"/>
      <w:bookmarkEnd w:id="682"/>
      <w:bookmarkEnd w:id="683"/>
      <w:bookmarkEnd w:id="684"/>
      <w:bookmarkEnd w:id="685"/>
      <w:bookmarkEnd w:id="734"/>
      <w:bookmarkEnd w:id="735"/>
      <w:bookmarkEnd w:id="736"/>
      <w:bookmarkEnd w:id="737"/>
      <w:bookmarkEnd w:id="738"/>
    </w:p>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ind w:firstLine="560"/>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 xml:space="preserve">       </w:t>
      </w:r>
    </w:p>
    <w:p>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p>
    <w:p>
      <w:pPr>
        <w:spacing w:line="400" w:lineRule="exact"/>
        <w:rPr>
          <w:rFonts w:ascii="宋体" w:hAnsi="宋体" w:cs="宋体"/>
          <w:b/>
          <w:color w:val="000000" w:themeColor="text1"/>
          <w:sz w:val="36"/>
          <w14:textFill>
            <w14:solidFill>
              <w14:schemeClr w14:val="tx1"/>
            </w14:solidFill>
          </w14:textFill>
        </w:rPr>
      </w:pPr>
    </w:p>
    <w:p>
      <w:pPr>
        <w:rPr>
          <w:rFonts w:ascii="宋体" w:hAnsi="宋体" w:cs="宋体"/>
          <w:color w:val="000000" w:themeColor="text1"/>
          <w:sz w:val="20"/>
          <w14:textFill>
            <w14:solidFill>
              <w14:schemeClr w14:val="tx1"/>
            </w14:solidFill>
          </w14:textFill>
        </w:rPr>
      </w:pPr>
    </w:p>
    <w:p>
      <w:pPr>
        <w:rPr>
          <w:rFonts w:ascii="宋体" w:hAnsi="宋体" w:cs="宋体"/>
          <w:b/>
          <w:color w:val="000000" w:themeColor="text1"/>
          <w:sz w:val="72"/>
          <w14:textFill>
            <w14:solidFill>
              <w14:schemeClr w14:val="tx1"/>
            </w14:solidFill>
          </w14:textFill>
        </w:rPr>
      </w:pPr>
    </w:p>
    <w:p>
      <w:pPr>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0"/>
          <w14:textFill>
            <w14:solidFill>
              <w14:schemeClr w14:val="tx1"/>
            </w14:solidFill>
          </w14:textFill>
        </w:rPr>
        <w:t>投 标 文 件</w:t>
      </w:r>
    </w:p>
    <w:p>
      <w:pPr>
        <w:jc w:val="center"/>
        <w:rPr>
          <w:rFonts w:ascii="宋体" w:hAnsi="宋体" w:cs="宋体"/>
          <w:color w:val="000000" w:themeColor="text1"/>
          <w:sz w:val="32"/>
          <w14:textFill>
            <w14:solidFill>
              <w14:schemeClr w14:val="tx1"/>
            </w14:solidFill>
          </w14:textFill>
        </w:rPr>
      </w:pPr>
    </w:p>
    <w:p>
      <w:pPr>
        <w:pStyle w:val="44"/>
        <w:jc w:val="center"/>
        <w:rPr>
          <w:rFonts w:hAnsi="宋体" w:cs="宋体"/>
          <w:b/>
          <w:color w:val="000000" w:themeColor="text1"/>
          <w:kern w:val="2"/>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招标编号：</w:t>
      </w:r>
      <w:r>
        <w:rPr>
          <w:rFonts w:hint="eastAsia" w:hAnsi="宋体" w:cs="宋体"/>
          <w:b/>
          <w:color w:val="000000" w:themeColor="text1"/>
          <w:kern w:val="2"/>
          <w:sz w:val="28"/>
          <w:szCs w:val="28"/>
          <w14:textFill>
            <w14:solidFill>
              <w14:schemeClr w14:val="tx1"/>
            </w14:solidFill>
          </w14:textFill>
        </w:rPr>
        <w:t xml:space="preserve">  </w:t>
      </w:r>
    </w:p>
    <w:p>
      <w:pPr>
        <w:pStyle w:val="44"/>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项目编号：</w:t>
      </w:r>
    </w:p>
    <w:p>
      <w:pPr>
        <w:jc w:val="left"/>
        <w:rPr>
          <w:rFonts w:ascii="宋体" w:hAnsi="宋体" w:cs="宋体"/>
          <w:color w:val="000000" w:themeColor="text1"/>
          <w:sz w:val="32"/>
          <w14:textFill>
            <w14:solidFill>
              <w14:schemeClr w14:val="tx1"/>
            </w14:solidFill>
          </w14:textFill>
        </w:rPr>
      </w:pPr>
    </w:p>
    <w:p>
      <w:pPr>
        <w:jc w:val="left"/>
        <w:rPr>
          <w:rFonts w:ascii="宋体" w:hAnsi="宋体" w:cs="宋体"/>
          <w:color w:val="000000" w:themeColor="text1"/>
          <w:sz w:val="32"/>
          <w14:textFill>
            <w14:solidFill>
              <w14:schemeClr w14:val="tx1"/>
            </w14:solidFill>
          </w14:textFill>
        </w:rPr>
      </w:pPr>
    </w:p>
    <w:p>
      <w:pPr>
        <w:jc w:val="left"/>
        <w:rPr>
          <w:rFonts w:ascii="宋体" w:hAnsi="宋体" w:cs="宋体"/>
          <w:color w:val="000000" w:themeColor="text1"/>
          <w:sz w:val="32"/>
          <w14:textFill>
            <w14:solidFill>
              <w14:schemeClr w14:val="tx1"/>
            </w14:solidFill>
          </w14:textFill>
        </w:rPr>
      </w:pPr>
    </w:p>
    <w:p>
      <w:pPr>
        <w:jc w:val="left"/>
        <w:rPr>
          <w:rFonts w:ascii="宋体" w:hAnsi="宋体" w:cs="宋体"/>
          <w:color w:val="000000" w:themeColor="text1"/>
          <w:sz w:val="32"/>
          <w14:textFill>
            <w14:solidFill>
              <w14:schemeClr w14:val="tx1"/>
            </w14:solidFill>
          </w14:textFill>
        </w:rPr>
      </w:pPr>
    </w:p>
    <w:p>
      <w:pPr>
        <w:rPr>
          <w:rFonts w:ascii="宋体" w:hAnsi="宋体" w:cs="宋体"/>
          <w:color w:val="000000" w:themeColor="text1"/>
          <w:sz w:val="28"/>
          <w14:textFill>
            <w14:solidFill>
              <w14:schemeClr w14:val="tx1"/>
            </w14:solidFill>
          </w14:textFill>
        </w:rPr>
      </w:pPr>
    </w:p>
    <w:p>
      <w:pPr>
        <w:spacing w:line="360" w:lineRule="auto"/>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（盖单位章）</w:t>
      </w:r>
    </w:p>
    <w:p>
      <w:pPr>
        <w:spacing w:line="360" w:lineRule="auto"/>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法定代表人或其委托代理人：</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（签字）</w:t>
      </w:r>
    </w:p>
    <w:p>
      <w:pPr>
        <w:spacing w:line="360" w:lineRule="auto"/>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年</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月</w:t>
      </w:r>
      <w:r>
        <w:rPr>
          <w:rFonts w:hint="eastAsia"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日</w:t>
      </w:r>
    </w:p>
    <w:p>
      <w:pPr>
        <w:pStyle w:val="64"/>
        <w:pageBreakBefore/>
        <w:spacing w:line="360" w:lineRule="auto"/>
        <w:jc w:val="center"/>
        <w:outlineLvl w:val="9"/>
        <w:rPr>
          <w:rFonts w:ascii="宋体" w:cs="宋体"/>
          <w:b w:val="0"/>
          <w:color w:val="000000" w:themeColor="text1"/>
          <w:sz w:val="32"/>
          <w14:textFill>
            <w14:solidFill>
              <w14:schemeClr w14:val="tx1"/>
            </w14:solidFill>
          </w14:textFill>
        </w:rPr>
      </w:pPr>
      <w:bookmarkStart w:id="739" w:name="_Toc18732"/>
      <w:bookmarkStart w:id="740" w:name="_Toc485"/>
      <w:bookmarkStart w:id="741" w:name="_Toc26517"/>
      <w:bookmarkStart w:id="742" w:name="_Toc277917699"/>
      <w:bookmarkStart w:id="743" w:name="_Toc276715151"/>
      <w:bookmarkStart w:id="744" w:name="_Toc27136"/>
      <w:bookmarkStart w:id="745" w:name="_Toc25025"/>
      <w:r>
        <w:rPr>
          <w:rFonts w:hint="eastAsia" w:ascii="宋体" w:cs="宋体"/>
          <w:b w:val="0"/>
          <w:color w:val="000000" w:themeColor="text1"/>
          <w:sz w:val="32"/>
          <w14:textFill>
            <w14:solidFill>
              <w14:schemeClr w14:val="tx1"/>
            </w14:solidFill>
          </w14:textFill>
        </w:rPr>
        <w:t>目  录</w:t>
      </w:r>
      <w:bookmarkEnd w:id="739"/>
      <w:bookmarkEnd w:id="740"/>
      <w:bookmarkEnd w:id="741"/>
      <w:bookmarkEnd w:id="742"/>
      <w:bookmarkEnd w:id="743"/>
      <w:bookmarkEnd w:id="744"/>
      <w:bookmarkEnd w:id="745"/>
    </w:p>
    <w:p>
      <w:pPr>
        <w:tabs>
          <w:tab w:val="left" w:pos="540"/>
        </w:tabs>
        <w:spacing w:line="360" w:lineRule="exact"/>
        <w:ind w:left="514" w:leftChars="245"/>
        <w:rPr>
          <w:rFonts w:ascii="宋体" w:hAnsi="宋体" w:cs="宋体"/>
          <w:color w:val="000000" w:themeColor="text1"/>
          <w14:textFill>
            <w14:solidFill>
              <w14:schemeClr w14:val="tx1"/>
            </w14:solidFill>
          </w14:textFill>
        </w:rPr>
      </w:pP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一、投标函及投标函附录</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二、法定代表人身份证明</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三、授权委托书</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四、投标保证金</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五、监理大纲</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六、项目管理机构</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七、资格审查资料</w:t>
      </w:r>
    </w:p>
    <w:p>
      <w:pPr>
        <w:tabs>
          <w:tab w:val="left" w:pos="540"/>
        </w:tabs>
        <w:spacing w:line="480" w:lineRule="auto"/>
        <w:ind w:left="514" w:leftChars="24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八、其他材料</w:t>
      </w:r>
    </w:p>
    <w:p>
      <w:pPr>
        <w:pStyle w:val="64"/>
        <w:pageBreakBefore/>
        <w:spacing w:line="360" w:lineRule="auto"/>
        <w:jc w:val="center"/>
        <w:rPr>
          <w:rFonts w:ascii="宋体" w:cs="宋体"/>
          <w:color w:val="000000" w:themeColor="text1"/>
          <w:sz w:val="32"/>
          <w14:textFill>
            <w14:solidFill>
              <w14:schemeClr w14:val="tx1"/>
            </w14:solidFill>
          </w14:textFill>
        </w:rPr>
      </w:pPr>
      <w:bookmarkStart w:id="746" w:name="_Toc210364895"/>
      <w:bookmarkStart w:id="747" w:name="_Toc22454"/>
      <w:bookmarkStart w:id="748" w:name="_Toc18462"/>
      <w:bookmarkStart w:id="749" w:name="_Toc210355571"/>
      <w:bookmarkStart w:id="750" w:name="_Toc336245949"/>
      <w:bookmarkStart w:id="751" w:name="_Toc210327709"/>
      <w:bookmarkStart w:id="752" w:name="_Toc168287365"/>
      <w:bookmarkStart w:id="753" w:name="_Toc276715154"/>
      <w:bookmarkStart w:id="754" w:name="_Toc195508878"/>
      <w:bookmarkStart w:id="755" w:name="_Toc26526"/>
      <w:bookmarkStart w:id="756" w:name="_Toc277917705"/>
      <w:r>
        <w:rPr>
          <w:rFonts w:hint="eastAsia" w:ascii="宋体" w:cs="宋体"/>
          <w:color w:val="000000" w:themeColor="text1"/>
          <w:sz w:val="32"/>
          <w14:textFill>
            <w14:solidFill>
              <w14:schemeClr w14:val="tx1"/>
            </w14:solidFill>
          </w14:textFill>
        </w:rPr>
        <w:t>一、投标函及投标函附录</w:t>
      </w:r>
      <w:bookmarkEnd w:id="746"/>
      <w:bookmarkEnd w:id="747"/>
      <w:bookmarkEnd w:id="748"/>
      <w:bookmarkEnd w:id="749"/>
      <w:bookmarkEnd w:id="750"/>
      <w:bookmarkEnd w:id="751"/>
      <w:bookmarkEnd w:id="752"/>
      <w:bookmarkEnd w:id="753"/>
      <w:bookmarkEnd w:id="754"/>
      <w:bookmarkEnd w:id="755"/>
      <w:bookmarkEnd w:id="756"/>
    </w:p>
    <w:p>
      <w:pPr>
        <w:pStyle w:val="60"/>
        <w:spacing w:before="0" w:beforeAutospacing="0" w:after="0" w:afterAutospacing="0" w:line="360" w:lineRule="auto"/>
        <w:rPr>
          <w:rFonts w:ascii="宋体" w:hAnsi="宋体" w:cs="宋体"/>
          <w:color w:val="000000" w:themeColor="text1"/>
          <w:sz w:val="28"/>
          <w14:textFill>
            <w14:solidFill>
              <w14:schemeClr w14:val="tx1"/>
            </w14:solidFill>
          </w14:textFill>
        </w:rPr>
      </w:pPr>
      <w:bookmarkStart w:id="757" w:name="_Toc2074"/>
      <w:bookmarkStart w:id="758" w:name="_Toc210327710"/>
      <w:bookmarkStart w:id="759" w:name="_Toc8354"/>
      <w:bookmarkStart w:id="760" w:name="_Toc25594"/>
      <w:bookmarkStart w:id="761" w:name="_Toc168287366"/>
      <w:bookmarkStart w:id="762" w:name="_Toc210355572"/>
      <w:bookmarkStart w:id="763" w:name="_Toc195508879"/>
      <w:bookmarkStart w:id="764" w:name="_Toc5505"/>
      <w:bookmarkStart w:id="765" w:name="_Toc276715155"/>
      <w:bookmarkStart w:id="766" w:name="_Toc210364896"/>
      <w:bookmarkStart w:id="767" w:name="_Toc336245950"/>
      <w:bookmarkStart w:id="768" w:name="_Toc17076"/>
      <w:r>
        <w:rPr>
          <w:rFonts w:hint="eastAsia" w:ascii="宋体" w:hAnsi="宋体" w:cs="宋体"/>
          <w:color w:val="000000" w:themeColor="text1"/>
          <w:sz w:val="28"/>
          <w14:textFill>
            <w14:solidFill>
              <w14:schemeClr w14:val="tx1"/>
            </w14:solidFill>
          </w14:textFill>
        </w:rPr>
        <w:t>（一）投标函</w:t>
      </w:r>
      <w:bookmarkEnd w:id="757"/>
      <w:bookmarkEnd w:id="758"/>
      <w:bookmarkEnd w:id="759"/>
      <w:bookmarkEnd w:id="760"/>
      <w:bookmarkEnd w:id="761"/>
      <w:bookmarkEnd w:id="762"/>
      <w:bookmarkEnd w:id="763"/>
      <w:bookmarkEnd w:id="764"/>
      <w:bookmarkEnd w:id="765"/>
      <w:bookmarkEnd w:id="766"/>
      <w:bookmarkEnd w:id="767"/>
      <w:bookmarkEnd w:id="768"/>
    </w:p>
    <w:p>
      <w:pPr>
        <w:spacing w:line="360" w:lineRule="auto"/>
        <w:rPr>
          <w:szCs w:val="21"/>
        </w:rPr>
      </w:pPr>
      <w:r>
        <w:rPr>
          <w:rFonts w:hint="eastAsia"/>
          <w:szCs w:val="21"/>
          <w:u w:val="single"/>
        </w:rPr>
        <w:t xml:space="preserve">                     </w:t>
      </w:r>
      <w:r>
        <w:rPr>
          <w:rFonts w:hint="eastAsia"/>
          <w:szCs w:val="21"/>
        </w:rPr>
        <w:t xml:space="preserve">（招标人名称）: </w:t>
      </w:r>
    </w:p>
    <w:p>
      <w:pPr>
        <w:numPr>
          <w:ilvl w:val="0"/>
          <w:numId w:val="2"/>
        </w:numPr>
        <w:spacing w:line="360" w:lineRule="auto"/>
        <w:ind w:firstLine="420" w:firstLineChars="200"/>
        <w:rPr>
          <w:szCs w:val="21"/>
        </w:rPr>
      </w:pPr>
      <w:r>
        <w:rPr>
          <w:rFonts w:hint="eastAsia"/>
          <w:szCs w:val="21"/>
        </w:rPr>
        <w:t>我方己仔细研究了</w:t>
      </w:r>
      <w:r>
        <w:rPr>
          <w:rFonts w:hint="eastAsia"/>
          <w:szCs w:val="21"/>
          <w:u w:val="single"/>
        </w:rPr>
        <w:t xml:space="preserve">        （项目名称）</w:t>
      </w:r>
      <w:r>
        <w:rPr>
          <w:rFonts w:hint="eastAsia"/>
          <w:szCs w:val="21"/>
        </w:rPr>
        <w:t>项目招标文件的全部内容，愿意以</w:t>
      </w:r>
      <w:r>
        <w:rPr>
          <w:rFonts w:hint="eastAsia"/>
          <w:color w:val="000000"/>
          <w:szCs w:val="21"/>
        </w:rPr>
        <w:t>（</w:t>
      </w:r>
      <w:r>
        <w:rPr>
          <w:color w:val="000000"/>
          <w:szCs w:val="21"/>
        </w:rPr>
        <w:t>大写</w:t>
      </w:r>
      <w:r>
        <w:rPr>
          <w:rFonts w:hint="eastAsia"/>
          <w:color w:val="000000"/>
          <w:szCs w:val="21"/>
        </w:rPr>
        <w:t>）</w:t>
      </w:r>
      <w:r>
        <w:rPr>
          <w:rFonts w:hint="eastAsia"/>
          <w:color w:val="000000"/>
          <w:szCs w:val="21"/>
          <w:u w:val="single"/>
        </w:rPr>
        <w:t xml:space="preserve">      </w:t>
      </w:r>
      <w:r>
        <w:rPr>
          <w:rFonts w:hint="eastAsia"/>
          <w:color w:val="000000"/>
          <w:szCs w:val="21"/>
        </w:rPr>
        <w:t>（</w:t>
      </w:r>
      <w:r>
        <w:rPr>
          <w:color w:val="000000"/>
          <w:szCs w:val="21"/>
        </w:rPr>
        <w:t>小写：</w:t>
      </w:r>
      <w:r>
        <w:rPr>
          <w:szCs w:val="21"/>
          <w:u w:val="single"/>
        </w:rPr>
        <w:t xml:space="preserve"> </w:t>
      </w:r>
      <w:r>
        <w:rPr>
          <w:rFonts w:hint="eastAsia"/>
          <w:szCs w:val="21"/>
          <w:u w:val="single"/>
        </w:rPr>
        <w:t xml:space="preserve">       </w:t>
      </w:r>
      <w:r>
        <w:rPr>
          <w:rFonts w:hint="eastAsia"/>
          <w:color w:val="000000"/>
          <w:szCs w:val="21"/>
        </w:rPr>
        <w:t>）</w:t>
      </w:r>
      <w:r>
        <w:rPr>
          <w:color w:val="000000"/>
          <w:szCs w:val="21"/>
        </w:rPr>
        <w:t>的投标报价</w:t>
      </w:r>
      <w:r>
        <w:rPr>
          <w:rFonts w:hint="eastAsia"/>
          <w:szCs w:val="21"/>
        </w:rPr>
        <w:t>；监理服务期限</w:t>
      </w:r>
      <w:r>
        <w:rPr>
          <w:rFonts w:hint="eastAsia"/>
          <w:szCs w:val="21"/>
          <w:u w:val="single"/>
        </w:rPr>
        <w:t xml:space="preserve">      </w:t>
      </w:r>
      <w:r>
        <w:rPr>
          <w:rFonts w:hint="eastAsia"/>
          <w:szCs w:val="21"/>
        </w:rPr>
        <w:t>，按合同约定实施和完成承包工程，修补工程中的任何缺陷，质量控制目标达到</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2．我方承诺在投标有效期内不修改、撤销投标文件。</w:t>
      </w:r>
    </w:p>
    <w:p>
      <w:pPr>
        <w:spacing w:line="360" w:lineRule="auto"/>
        <w:ind w:firstLine="420" w:firstLineChars="200"/>
        <w:rPr>
          <w:szCs w:val="21"/>
        </w:rPr>
      </w:pPr>
      <w:r>
        <w:rPr>
          <w:rFonts w:hint="eastAsia"/>
          <w:szCs w:val="21"/>
        </w:rPr>
        <w:t>3．随同本投标函提交投标保证金一份，金额为人民币（大写）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元）。</w:t>
      </w:r>
    </w:p>
    <w:p>
      <w:pPr>
        <w:spacing w:line="360" w:lineRule="auto"/>
        <w:ind w:firstLine="420" w:firstLineChars="200"/>
        <w:rPr>
          <w:szCs w:val="21"/>
        </w:rPr>
      </w:pPr>
      <w:r>
        <w:rPr>
          <w:rFonts w:hint="eastAsia"/>
          <w:szCs w:val="21"/>
        </w:rPr>
        <w:t>4．如我方中标：</w:t>
      </w:r>
    </w:p>
    <w:p>
      <w:pPr>
        <w:spacing w:line="360" w:lineRule="auto"/>
        <w:ind w:firstLine="420" w:firstLineChars="200"/>
        <w:rPr>
          <w:szCs w:val="21"/>
        </w:rPr>
      </w:pPr>
      <w:r>
        <w:rPr>
          <w:rFonts w:hint="eastAsia"/>
          <w:szCs w:val="21"/>
        </w:rPr>
        <w:t>（l）我方承诺在收到中标通知书后，在中标通知书规定的期限内与你方签订合同。</w:t>
      </w:r>
    </w:p>
    <w:p>
      <w:pPr>
        <w:spacing w:line="360" w:lineRule="auto"/>
        <w:ind w:firstLine="420" w:firstLineChars="200"/>
        <w:rPr>
          <w:szCs w:val="21"/>
        </w:rPr>
      </w:pPr>
      <w:r>
        <w:rPr>
          <w:rFonts w:hint="eastAsia"/>
          <w:szCs w:val="21"/>
        </w:rPr>
        <w:t>（2）随同本投标函递交的投标函附录属于合同文件的组成部分。</w:t>
      </w:r>
    </w:p>
    <w:p>
      <w:pPr>
        <w:spacing w:line="360" w:lineRule="auto"/>
        <w:ind w:firstLine="420" w:firstLineChars="200"/>
        <w:rPr>
          <w:szCs w:val="21"/>
        </w:rPr>
      </w:pPr>
      <w:r>
        <w:rPr>
          <w:rFonts w:hint="eastAsia"/>
          <w:szCs w:val="21"/>
        </w:rPr>
        <w:t>（(3）我方承诺按照招标文件规定向你方递交履约担保；</w:t>
      </w:r>
    </w:p>
    <w:p>
      <w:pPr>
        <w:spacing w:line="360" w:lineRule="auto"/>
        <w:ind w:firstLine="420" w:firstLineChars="200"/>
        <w:rPr>
          <w:szCs w:val="21"/>
        </w:rPr>
      </w:pPr>
      <w:r>
        <w:rPr>
          <w:rFonts w:hint="eastAsia"/>
          <w:szCs w:val="21"/>
        </w:rPr>
        <w:t>（4）我方承诺在合同约定的期限内完成并移交全部合同工程。</w:t>
      </w:r>
    </w:p>
    <w:p>
      <w:pPr>
        <w:spacing w:line="360" w:lineRule="auto"/>
        <w:ind w:firstLine="420" w:firstLineChars="200"/>
        <w:rPr>
          <w:szCs w:val="21"/>
        </w:rPr>
      </w:pPr>
      <w:r>
        <w:rPr>
          <w:rFonts w:hint="eastAsia"/>
          <w:szCs w:val="21"/>
        </w:rPr>
        <w:t>5．我方在此声明，所递交的投标文件及有关资料内容完整、真实和准确，且不存在第二章“投标人须知”第1.4.3 项规定的任何一种情形。</w:t>
      </w:r>
    </w:p>
    <w:p>
      <w:pPr>
        <w:spacing w:line="360" w:lineRule="auto"/>
        <w:ind w:firstLine="420" w:firstLineChars="200"/>
        <w:rPr>
          <w:szCs w:val="21"/>
        </w:rPr>
      </w:pPr>
      <w:r>
        <w:rPr>
          <w:rFonts w:hint="eastAsia"/>
          <w:szCs w:val="21"/>
        </w:rPr>
        <w:t>6. 其他需补充的内容：</w:t>
      </w:r>
      <w:r>
        <w:rPr>
          <w:rFonts w:hint="eastAsia"/>
          <w:szCs w:val="21"/>
          <w:u w:val="single"/>
        </w:rPr>
        <w:t xml:space="preserve">                      。</w:t>
      </w:r>
    </w:p>
    <w:p>
      <w:pPr>
        <w:spacing w:line="360" w:lineRule="auto"/>
        <w:ind w:firstLine="420" w:firstLineChars="200"/>
        <w:rPr>
          <w:szCs w:val="21"/>
        </w:rPr>
      </w:pPr>
    </w:p>
    <w:p>
      <w:pPr>
        <w:spacing w:line="360" w:lineRule="auto"/>
        <w:ind w:firstLine="4305" w:firstLineChars="2050"/>
        <w:rPr>
          <w:szCs w:val="21"/>
        </w:rPr>
      </w:pPr>
    </w:p>
    <w:p>
      <w:pPr>
        <w:spacing w:line="360" w:lineRule="auto"/>
        <w:ind w:firstLine="4305" w:firstLineChars="2050"/>
        <w:rPr>
          <w:szCs w:val="21"/>
        </w:rPr>
      </w:pPr>
    </w:p>
    <w:p>
      <w:pPr>
        <w:spacing w:line="360" w:lineRule="auto"/>
        <w:ind w:firstLine="1898" w:firstLineChars="904"/>
        <w:rPr>
          <w:szCs w:val="21"/>
        </w:rPr>
      </w:pPr>
      <w:r>
        <w:rPr>
          <w:rFonts w:hint="eastAsia"/>
          <w:szCs w:val="21"/>
        </w:rPr>
        <w:t>投标人：</w:t>
      </w:r>
      <w:r>
        <w:rPr>
          <w:rFonts w:hint="eastAsia"/>
          <w:szCs w:val="21"/>
          <w:u w:val="single"/>
        </w:rPr>
        <w:t xml:space="preserve">          </w:t>
      </w:r>
      <w:r>
        <w:rPr>
          <w:rFonts w:hint="eastAsia"/>
          <w:szCs w:val="21"/>
        </w:rPr>
        <w:t>（</w:t>
      </w:r>
      <w:r>
        <w:rPr>
          <w:rStyle w:val="75"/>
          <w:rFonts w:hint="eastAsia" w:eastAsia="宋体"/>
          <w:sz w:val="21"/>
          <w:szCs w:val="21"/>
        </w:rPr>
        <w:t>企业电子签章或盖公章</w:t>
      </w:r>
      <w:r>
        <w:rPr>
          <w:rFonts w:hint="eastAsia"/>
          <w:szCs w:val="21"/>
        </w:rPr>
        <w:t>）</w:t>
      </w:r>
    </w:p>
    <w:p>
      <w:pPr>
        <w:spacing w:line="360" w:lineRule="auto"/>
        <w:ind w:firstLine="1898" w:firstLineChars="904"/>
        <w:rPr>
          <w:szCs w:val="21"/>
        </w:rPr>
      </w:pPr>
      <w:r>
        <w:rPr>
          <w:rFonts w:hint="eastAsia"/>
          <w:szCs w:val="21"/>
        </w:rPr>
        <w:t>法定代表人或其委托代理人：</w:t>
      </w:r>
      <w:r>
        <w:rPr>
          <w:rFonts w:hint="eastAsia"/>
          <w:szCs w:val="21"/>
          <w:u w:val="single"/>
        </w:rPr>
        <w:t xml:space="preserve">      </w:t>
      </w:r>
      <w:r>
        <w:rPr>
          <w:rFonts w:hint="eastAsia"/>
          <w:szCs w:val="21"/>
        </w:rPr>
        <w:t>（个人电子签章或签字）</w:t>
      </w:r>
    </w:p>
    <w:p>
      <w:pPr>
        <w:spacing w:line="360" w:lineRule="auto"/>
        <w:jc w:val="center"/>
        <w:rPr>
          <w:szCs w:val="21"/>
        </w:rPr>
      </w:pP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60"/>
        <w:pageBreakBefore/>
        <w:spacing w:before="0" w:beforeAutospacing="0" w:after="0" w:afterAutospacing="0" w:line="360" w:lineRule="auto"/>
        <w:rPr>
          <w:rFonts w:ascii="宋体" w:hAnsi="宋体" w:cs="宋体"/>
          <w:color w:val="000000" w:themeColor="text1"/>
          <w:sz w:val="28"/>
          <w14:textFill>
            <w14:solidFill>
              <w14:schemeClr w14:val="tx1"/>
            </w14:solidFill>
          </w14:textFill>
        </w:rPr>
      </w:pPr>
      <w:bookmarkStart w:id="769" w:name="_Toc5522"/>
      <w:bookmarkStart w:id="770" w:name="_Toc195508880"/>
      <w:bookmarkStart w:id="771" w:name="_Toc21241"/>
      <w:bookmarkStart w:id="772" w:name="_Toc210364897"/>
      <w:bookmarkStart w:id="773" w:name="_Toc336245951"/>
      <w:bookmarkStart w:id="774" w:name="_Toc210355573"/>
      <w:bookmarkStart w:id="775" w:name="_Toc7084"/>
      <w:bookmarkStart w:id="776" w:name="_Toc168287367"/>
      <w:bookmarkStart w:id="777" w:name="_Toc25840"/>
      <w:bookmarkStart w:id="778" w:name="_Toc210327711"/>
      <w:bookmarkStart w:id="779" w:name="_Toc276715156"/>
      <w:bookmarkStart w:id="780" w:name="_Toc12056"/>
      <w:r>
        <w:rPr>
          <w:rFonts w:hint="eastAsia" w:ascii="宋体" w:hAnsi="宋体" w:cs="宋体"/>
          <w:color w:val="000000" w:themeColor="text1"/>
          <w:sz w:val="28"/>
          <w14:textFill>
            <w14:solidFill>
              <w14:schemeClr w14:val="tx1"/>
            </w14:solidFill>
          </w14:textFill>
        </w:rPr>
        <w:t>（二）投标函附录</w:t>
      </w:r>
      <w:bookmarkEnd w:id="769"/>
      <w:bookmarkEnd w:id="770"/>
      <w:bookmarkEnd w:id="771"/>
      <w:bookmarkEnd w:id="772"/>
      <w:bookmarkEnd w:id="773"/>
      <w:bookmarkEnd w:id="774"/>
      <w:bookmarkEnd w:id="775"/>
      <w:bookmarkEnd w:id="776"/>
      <w:bookmarkEnd w:id="777"/>
      <w:bookmarkEnd w:id="778"/>
      <w:bookmarkEnd w:id="779"/>
      <w:bookmarkEnd w:id="780"/>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647"/>
        <w:gridCol w:w="1170"/>
        <w:gridCol w:w="1037"/>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85" w:type="pct"/>
            <w:vAlign w:val="center"/>
          </w:tcPr>
          <w:p>
            <w:pPr>
              <w:jc w:val="center"/>
              <w:rPr>
                <w:szCs w:val="21"/>
              </w:rPr>
            </w:pPr>
            <w:r>
              <w:rPr>
                <w:rFonts w:hint="eastAsia"/>
                <w:szCs w:val="21"/>
              </w:rPr>
              <w:t>项目名称</w:t>
            </w:r>
          </w:p>
        </w:tc>
        <w:tc>
          <w:tcPr>
            <w:tcW w:w="3314" w:type="pct"/>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85" w:type="pct"/>
            <w:vAlign w:val="center"/>
          </w:tcPr>
          <w:p>
            <w:pPr>
              <w:jc w:val="center"/>
              <w:rPr>
                <w:szCs w:val="21"/>
              </w:rPr>
            </w:pPr>
            <w:r>
              <w:rPr>
                <w:rFonts w:hint="eastAsia"/>
                <w:szCs w:val="21"/>
              </w:rPr>
              <w:t>投标单位名称</w:t>
            </w:r>
          </w:p>
        </w:tc>
        <w:tc>
          <w:tcPr>
            <w:tcW w:w="3314" w:type="pct"/>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85" w:type="pct"/>
            <w:vAlign w:val="center"/>
          </w:tcPr>
          <w:p>
            <w:pPr>
              <w:spacing w:line="380" w:lineRule="exact"/>
              <w:jc w:val="center"/>
              <w:rPr>
                <w:szCs w:val="21"/>
              </w:rPr>
            </w:pPr>
            <w:r>
              <w:rPr>
                <w:rFonts w:hint="eastAsia"/>
                <w:szCs w:val="21"/>
              </w:rPr>
              <w:t>投标内容</w:t>
            </w:r>
          </w:p>
        </w:tc>
        <w:tc>
          <w:tcPr>
            <w:tcW w:w="3314" w:type="pct"/>
            <w:gridSpan w:val="4"/>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685" w:type="pct"/>
            <w:vAlign w:val="center"/>
          </w:tcPr>
          <w:p>
            <w:pPr>
              <w:pStyle w:val="76"/>
              <w:spacing w:line="259" w:lineRule="exact"/>
              <w:ind w:firstLine="0"/>
              <w:jc w:val="center"/>
              <w:rPr>
                <w:sz w:val="21"/>
                <w:szCs w:val="21"/>
              </w:rPr>
            </w:pPr>
            <w:r>
              <w:rPr>
                <w:color w:val="000000"/>
                <w:sz w:val="21"/>
                <w:szCs w:val="21"/>
              </w:rPr>
              <w:t>投标报价</w:t>
            </w:r>
          </w:p>
        </w:tc>
        <w:tc>
          <w:tcPr>
            <w:tcW w:w="3314" w:type="pct"/>
            <w:gridSpan w:val="4"/>
            <w:vAlign w:val="center"/>
          </w:tcPr>
          <w:p>
            <w:pPr>
              <w:pStyle w:val="76"/>
              <w:tabs>
                <w:tab w:val="left" w:leader="underscore" w:pos="1781"/>
              </w:tabs>
              <w:spacing w:line="240" w:lineRule="auto"/>
              <w:ind w:firstLine="0"/>
              <w:rPr>
                <w:sz w:val="21"/>
                <w:szCs w:val="21"/>
              </w:rPr>
            </w:pPr>
            <w:r>
              <w:rPr>
                <w:color w:val="000000"/>
                <w:sz w:val="21"/>
                <w:szCs w:val="21"/>
              </w:rPr>
              <w:t>大写：</w:t>
            </w:r>
          </w:p>
          <w:p>
            <w:pPr>
              <w:pStyle w:val="76"/>
              <w:tabs>
                <w:tab w:val="left" w:leader="underscore" w:pos="1771"/>
              </w:tabs>
              <w:spacing w:line="240" w:lineRule="auto"/>
              <w:ind w:firstLine="0"/>
              <w:rPr>
                <w:sz w:val="21"/>
                <w:szCs w:val="21"/>
                <w:lang w:val="en-US" w:eastAsia="zh-CN"/>
              </w:rPr>
            </w:pPr>
            <w:r>
              <w:rPr>
                <w:color w:val="000000"/>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85" w:type="pct"/>
            <w:vAlign w:val="center"/>
          </w:tcPr>
          <w:p>
            <w:pPr>
              <w:jc w:val="center"/>
              <w:rPr>
                <w:szCs w:val="21"/>
              </w:rPr>
            </w:pPr>
            <w:r>
              <w:rPr>
                <w:rFonts w:hint="eastAsia"/>
                <w:szCs w:val="21"/>
              </w:rPr>
              <w:t>监理服务期限</w:t>
            </w:r>
          </w:p>
        </w:tc>
        <w:tc>
          <w:tcPr>
            <w:tcW w:w="3314" w:type="pct"/>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85" w:type="pct"/>
            <w:vAlign w:val="center"/>
          </w:tcPr>
          <w:p>
            <w:pPr>
              <w:jc w:val="center"/>
              <w:rPr>
                <w:szCs w:val="21"/>
              </w:rPr>
            </w:pPr>
            <w:r>
              <w:rPr>
                <w:rFonts w:hint="eastAsia"/>
                <w:szCs w:val="21"/>
              </w:rPr>
              <w:t>质量</w:t>
            </w:r>
          </w:p>
        </w:tc>
        <w:tc>
          <w:tcPr>
            <w:tcW w:w="3314" w:type="pct"/>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85" w:type="pct"/>
            <w:vAlign w:val="center"/>
          </w:tcPr>
          <w:p>
            <w:pPr>
              <w:jc w:val="center"/>
              <w:rPr>
                <w:szCs w:val="21"/>
              </w:rPr>
            </w:pPr>
            <w:r>
              <w:rPr>
                <w:rFonts w:hint="eastAsia"/>
                <w:szCs w:val="21"/>
              </w:rPr>
              <w:t>项目总监</w:t>
            </w:r>
          </w:p>
        </w:tc>
        <w:tc>
          <w:tcPr>
            <w:tcW w:w="375" w:type="pct"/>
            <w:vAlign w:val="center"/>
          </w:tcPr>
          <w:p>
            <w:pPr>
              <w:jc w:val="center"/>
              <w:rPr>
                <w:szCs w:val="21"/>
              </w:rPr>
            </w:pPr>
            <w:r>
              <w:rPr>
                <w:rFonts w:hint="eastAsia"/>
                <w:szCs w:val="21"/>
              </w:rPr>
              <w:t>姓名</w:t>
            </w:r>
          </w:p>
        </w:tc>
        <w:tc>
          <w:tcPr>
            <w:tcW w:w="678" w:type="pct"/>
            <w:vAlign w:val="center"/>
          </w:tcPr>
          <w:p>
            <w:pPr>
              <w:jc w:val="center"/>
              <w:rPr>
                <w:szCs w:val="21"/>
              </w:rPr>
            </w:pPr>
          </w:p>
        </w:tc>
        <w:tc>
          <w:tcPr>
            <w:tcW w:w="601" w:type="pct"/>
            <w:vAlign w:val="center"/>
          </w:tcPr>
          <w:p>
            <w:pPr>
              <w:jc w:val="center"/>
              <w:rPr>
                <w:szCs w:val="21"/>
              </w:rPr>
            </w:pPr>
            <w:r>
              <w:rPr>
                <w:rFonts w:hint="eastAsia"/>
                <w:szCs w:val="21"/>
              </w:rPr>
              <w:t>注册证书编号</w:t>
            </w:r>
          </w:p>
        </w:tc>
        <w:tc>
          <w:tcPr>
            <w:tcW w:w="1658"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85" w:type="pct"/>
            <w:vAlign w:val="center"/>
          </w:tcPr>
          <w:p>
            <w:pPr>
              <w:jc w:val="center"/>
              <w:rPr>
                <w:kern w:val="0"/>
                <w:szCs w:val="21"/>
              </w:rPr>
            </w:pPr>
            <w:r>
              <w:rPr>
                <w:rFonts w:hint="eastAsia"/>
                <w:szCs w:val="21"/>
              </w:rPr>
              <w:t>投标有效期</w:t>
            </w:r>
          </w:p>
        </w:tc>
        <w:tc>
          <w:tcPr>
            <w:tcW w:w="3314" w:type="pct"/>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685" w:type="pct"/>
            <w:vAlign w:val="center"/>
          </w:tcPr>
          <w:p>
            <w:pPr>
              <w:spacing w:line="460" w:lineRule="exact"/>
              <w:jc w:val="center"/>
              <w:rPr>
                <w:szCs w:val="21"/>
              </w:rPr>
            </w:pPr>
            <w:r>
              <w:rPr>
                <w:rFonts w:hint="eastAsia"/>
                <w:szCs w:val="21"/>
              </w:rPr>
              <w:t>需要说明的问题及承诺</w:t>
            </w:r>
          </w:p>
        </w:tc>
        <w:tc>
          <w:tcPr>
            <w:tcW w:w="3314" w:type="pct"/>
            <w:gridSpan w:val="4"/>
            <w:vAlign w:val="center"/>
          </w:tcPr>
          <w:p>
            <w:pPr>
              <w:spacing w:line="460" w:lineRule="exact"/>
              <w:rPr>
                <w:szCs w:val="21"/>
              </w:rPr>
            </w:pPr>
          </w:p>
        </w:tc>
      </w:tr>
    </w:tbl>
    <w:p>
      <w:pPr>
        <w:ind w:firstLine="4809" w:firstLineChars="2290"/>
        <w:rPr>
          <w:rFonts w:ascii="宋体" w:hAnsi="宋体" w:cs="宋体"/>
          <w:color w:val="000000" w:themeColor="text1"/>
          <w14:textFill>
            <w14:solidFill>
              <w14:schemeClr w14:val="tx1"/>
            </w14:solidFill>
          </w14:textFill>
        </w:rPr>
      </w:pPr>
    </w:p>
    <w:p>
      <w:pPr>
        <w:ind w:firstLine="4809" w:firstLineChars="2290"/>
        <w:rPr>
          <w:rFonts w:ascii="宋体" w:hAnsi="宋体" w:cs="宋体"/>
          <w:color w:val="000000" w:themeColor="text1"/>
          <w14:textFill>
            <w14:solidFill>
              <w14:schemeClr w14:val="tx1"/>
            </w14:solidFill>
          </w14:textFill>
        </w:rPr>
      </w:pPr>
    </w:p>
    <w:p>
      <w:pPr>
        <w:spacing w:line="360" w:lineRule="auto"/>
        <w:ind w:firstLine="2520" w:firstLineChars="1200"/>
        <w:rPr>
          <w:szCs w:val="21"/>
        </w:rPr>
      </w:pPr>
      <w:r>
        <w:rPr>
          <w:rFonts w:hint="eastAsia"/>
          <w:szCs w:val="21"/>
        </w:rPr>
        <w:t>投标人：</w:t>
      </w:r>
      <w:r>
        <w:rPr>
          <w:rFonts w:hint="eastAsia"/>
          <w:szCs w:val="21"/>
          <w:u w:val="single"/>
        </w:rPr>
        <w:t xml:space="preserve">                </w:t>
      </w:r>
      <w:r>
        <w:rPr>
          <w:rFonts w:hint="eastAsia"/>
          <w:szCs w:val="21"/>
        </w:rPr>
        <w:t>（企业电子签章或盖公章）</w:t>
      </w:r>
    </w:p>
    <w:p>
      <w:pPr>
        <w:spacing w:line="360" w:lineRule="auto"/>
        <w:jc w:val="right"/>
        <w:rPr>
          <w:szCs w:val="21"/>
        </w:rPr>
      </w:pPr>
      <w:r>
        <w:rPr>
          <w:rFonts w:hint="eastAsia"/>
          <w:szCs w:val="21"/>
        </w:rPr>
        <w:t>法定代表人或其委托代理人：</w:t>
      </w:r>
      <w:r>
        <w:rPr>
          <w:rFonts w:hint="eastAsia"/>
          <w:szCs w:val="21"/>
          <w:u w:val="single"/>
        </w:rPr>
        <w:t xml:space="preserve">       </w:t>
      </w:r>
      <w:r>
        <w:rPr>
          <w:rFonts w:hint="eastAsia"/>
          <w:szCs w:val="21"/>
        </w:rPr>
        <w:t>（个人电子签章或签字）</w:t>
      </w:r>
    </w:p>
    <w:p>
      <w:pPr>
        <w:spacing w:line="360" w:lineRule="auto"/>
        <w:ind w:firstLine="4515" w:firstLineChars="215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64"/>
        <w:pageBreakBefore/>
        <w:jc w:val="center"/>
        <w:rPr>
          <w:rFonts w:ascii="宋体" w:cs="宋体"/>
          <w:color w:val="000000" w:themeColor="text1"/>
          <w:sz w:val="32"/>
          <w14:textFill>
            <w14:solidFill>
              <w14:schemeClr w14:val="tx1"/>
            </w14:solidFill>
          </w14:textFill>
        </w:rPr>
      </w:pPr>
      <w:bookmarkStart w:id="781" w:name="_Toc210364898"/>
      <w:bookmarkStart w:id="782" w:name="_Toc28684"/>
      <w:bookmarkStart w:id="783" w:name="_Toc28246"/>
      <w:bookmarkStart w:id="784" w:name="_Toc168287368"/>
      <w:bookmarkStart w:id="785" w:name="_Toc210355574"/>
      <w:bookmarkStart w:id="786" w:name="_Toc31526"/>
      <w:bookmarkStart w:id="787" w:name="_Toc210327712"/>
      <w:bookmarkStart w:id="788" w:name="_Toc336245952"/>
      <w:bookmarkStart w:id="789" w:name="_Toc277917706"/>
      <w:bookmarkStart w:id="790" w:name="_Toc195508881"/>
      <w:bookmarkStart w:id="791" w:name="_Toc276715157"/>
      <w:r>
        <w:rPr>
          <w:rFonts w:hint="eastAsia" w:ascii="宋体" w:cs="宋体"/>
          <w:color w:val="000000" w:themeColor="text1"/>
          <w:sz w:val="32"/>
          <w14:textFill>
            <w14:solidFill>
              <w14:schemeClr w14:val="tx1"/>
            </w14:solidFill>
          </w14:textFill>
        </w:rPr>
        <w:t>二、法定代表人身份证明</w:t>
      </w:r>
      <w:bookmarkEnd w:id="781"/>
      <w:bookmarkEnd w:id="782"/>
      <w:bookmarkEnd w:id="783"/>
      <w:bookmarkEnd w:id="784"/>
      <w:bookmarkEnd w:id="785"/>
      <w:bookmarkEnd w:id="786"/>
      <w:bookmarkEnd w:id="787"/>
      <w:bookmarkEnd w:id="788"/>
      <w:bookmarkEnd w:id="789"/>
      <w:bookmarkEnd w:id="790"/>
      <w:bookmarkEnd w:id="791"/>
    </w:p>
    <w:p>
      <w:pPr>
        <w:spacing w:line="440" w:lineRule="exact"/>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单位性质：</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single"/>
          <w14:textFill>
            <w14:solidFill>
              <w14:schemeClr w14:val="tx1"/>
            </w14:solidFill>
          </w14:textFill>
        </w:rPr>
        <w:t xml:space="preserve">                                   </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日</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经营期限：</w:t>
      </w:r>
      <w:r>
        <w:rPr>
          <w:rFonts w:hint="eastAsia" w:ascii="宋体" w:hAnsi="宋体" w:cs="宋体"/>
          <w:color w:val="000000" w:themeColor="text1"/>
          <w:u w:val="single"/>
          <w14:textFill>
            <w14:solidFill>
              <w14:schemeClr w14:val="tx1"/>
            </w14:solidFill>
          </w14:textFill>
        </w:rPr>
        <w:t xml:space="preserve">                               </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性别：</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年龄：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职务：</w:t>
      </w:r>
      <w:r>
        <w:rPr>
          <w:rFonts w:hint="eastAsia" w:ascii="宋体" w:hAnsi="宋体" w:cs="宋体"/>
          <w:color w:val="000000" w:themeColor="text1"/>
          <w:u w:val="single"/>
          <w14:textFill>
            <w14:solidFill>
              <w14:schemeClr w14:val="tx1"/>
            </w14:solidFill>
          </w14:textFill>
        </w:rPr>
        <w:t xml:space="preserve">        </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（投标人名称）的法定代表人。</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特此证明。</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附法定代表人身份证</w:t>
      </w: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投标人：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（企业电子签章或盖公章）</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spacing w:line="360" w:lineRule="exact"/>
        <w:rPr>
          <w:rFonts w:ascii="宋体" w:hAnsi="宋体" w:cs="宋体"/>
          <w:color w:val="000000" w:themeColor="text1"/>
          <w14:textFill>
            <w14:solidFill>
              <w14:schemeClr w14:val="tx1"/>
            </w14:solidFill>
          </w14:textFill>
        </w:rPr>
      </w:pPr>
    </w:p>
    <w:p>
      <w:pPr>
        <w:spacing w:line="360" w:lineRule="exact"/>
        <w:rPr>
          <w:rFonts w:ascii="宋体" w:hAnsi="宋体" w:cs="宋体"/>
          <w:color w:val="000000" w:themeColor="text1"/>
          <w14:textFill>
            <w14:solidFill>
              <w14:schemeClr w14:val="tx1"/>
            </w14:solidFill>
          </w14:textFill>
        </w:rPr>
      </w:pPr>
    </w:p>
    <w:p>
      <w:pPr>
        <w:pStyle w:val="64"/>
        <w:pageBreakBefore/>
        <w:jc w:val="center"/>
        <w:rPr>
          <w:rFonts w:ascii="宋体" w:cs="宋体"/>
          <w:color w:val="000000" w:themeColor="text1"/>
          <w:sz w:val="32"/>
          <w14:textFill>
            <w14:solidFill>
              <w14:schemeClr w14:val="tx1"/>
            </w14:solidFill>
          </w14:textFill>
        </w:rPr>
      </w:pPr>
      <w:bookmarkStart w:id="792" w:name="_Toc13495"/>
      <w:bookmarkStart w:id="793" w:name="_Toc25294"/>
      <w:bookmarkStart w:id="794" w:name="_Toc210364900"/>
      <w:bookmarkStart w:id="795" w:name="_Toc25649"/>
      <w:bookmarkStart w:id="796" w:name="_Toc10834"/>
      <w:bookmarkStart w:id="797" w:name="_Toc195508883"/>
      <w:bookmarkStart w:id="798" w:name="_Toc336245954"/>
      <w:bookmarkStart w:id="799" w:name="_Toc15252"/>
      <w:bookmarkStart w:id="800" w:name="_Toc276715159"/>
      <w:bookmarkStart w:id="801" w:name="_Toc210355576"/>
      <w:bookmarkStart w:id="802" w:name="_Toc210327714"/>
      <w:bookmarkStart w:id="803" w:name="_Toc168287370"/>
      <w:r>
        <w:rPr>
          <w:rFonts w:hint="eastAsia" w:ascii="宋体" w:cs="宋体"/>
          <w:color w:val="000000" w:themeColor="text1"/>
          <w:sz w:val="32"/>
          <w14:textFill>
            <w14:solidFill>
              <w14:schemeClr w14:val="tx1"/>
            </w14:solidFill>
          </w14:textFill>
        </w:rPr>
        <w:t>三、法定代表人授权委托书</w:t>
      </w:r>
      <w:bookmarkEnd w:id="792"/>
      <w:bookmarkEnd w:id="793"/>
      <w:bookmarkEnd w:id="794"/>
      <w:bookmarkEnd w:id="795"/>
      <w:bookmarkEnd w:id="796"/>
      <w:bookmarkEnd w:id="797"/>
      <w:bookmarkEnd w:id="798"/>
      <w:bookmarkEnd w:id="799"/>
      <w:bookmarkEnd w:id="800"/>
      <w:bookmarkEnd w:id="801"/>
      <w:bookmarkEnd w:id="802"/>
      <w:bookmarkEnd w:id="803"/>
    </w:p>
    <w:p>
      <w:pPr>
        <w:spacing w:line="360" w:lineRule="exact"/>
        <w:ind w:firstLine="403" w:firstLineChars="192"/>
        <w:rPr>
          <w:rFonts w:ascii="宋体" w:hAnsi="宋体" w:cs="宋体"/>
          <w:color w:val="000000" w:themeColor="text1"/>
          <w14:textFill>
            <w14:solidFill>
              <w14:schemeClr w14:val="tx1"/>
            </w14:solidFill>
          </w14:textFill>
        </w:rPr>
      </w:pPr>
    </w:p>
    <w:p>
      <w:pPr>
        <w:spacing w:line="360" w:lineRule="exact"/>
        <w:ind w:firstLine="504" w:firstLineChars="24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本人</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（姓名）系</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（投标人名称）的法定代表人，现委托</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（姓名）作为我方代理人。代理人根据授权，以我方名义签署、澄清、说明、补正、递交、撤回、修改</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（项目名称）投标文件、签订合同和处理有关事宜，其法律后果由我方承担。</w:t>
      </w:r>
    </w:p>
    <w:p>
      <w:pPr>
        <w:spacing w:line="360" w:lineRule="exact"/>
        <w:ind w:firstLine="403"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委托期限：</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spacing w:line="360" w:lineRule="exact"/>
        <w:ind w:firstLine="403"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代理人无权转让委托权。</w:t>
      </w:r>
    </w:p>
    <w:p>
      <w:pPr>
        <w:spacing w:line="360" w:lineRule="exact"/>
        <w:ind w:firstLine="403"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附：法定代表人身份证扫描件</w:t>
      </w:r>
    </w:p>
    <w:p>
      <w:pPr>
        <w:spacing w:line="360" w:lineRule="exact"/>
        <w:ind w:firstLine="403" w:firstLineChars="192"/>
        <w:rPr>
          <w:rFonts w:ascii="宋体" w:hAnsi="宋体" w:cs="宋体"/>
          <w:color w:val="000000" w:themeColor="text1"/>
          <w14:textFill>
            <w14:solidFill>
              <w14:schemeClr w14:val="tx1"/>
            </w14:solidFill>
          </w14:textFill>
        </w:rPr>
      </w:pPr>
    </w:p>
    <w:p>
      <w:pPr>
        <w:spacing w:line="360" w:lineRule="exact"/>
        <w:ind w:firstLine="403" w:firstLineChars="19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附：委托代理人身份证扫描件</w:t>
      </w:r>
    </w:p>
    <w:p>
      <w:pPr>
        <w:spacing w:line="360" w:lineRule="exact"/>
        <w:ind w:firstLine="403" w:firstLineChars="192"/>
        <w:rPr>
          <w:rFonts w:ascii="宋体" w:hAnsi="宋体" w:cs="宋体"/>
          <w:color w:val="000000" w:themeColor="text1"/>
          <w14:textFill>
            <w14:solidFill>
              <w14:schemeClr w14:val="tx1"/>
            </w14:solidFill>
          </w14:textFill>
        </w:rPr>
      </w:pPr>
    </w:p>
    <w:p>
      <w:pPr>
        <w:spacing w:line="360" w:lineRule="exact"/>
        <w:ind w:firstLine="403" w:firstLineChars="192"/>
        <w:rPr>
          <w:rFonts w:ascii="宋体" w:hAnsi="宋体" w:cs="宋体"/>
          <w:color w:val="000000" w:themeColor="text1"/>
          <w14:textFill>
            <w14:solidFill>
              <w14:schemeClr w14:val="tx1"/>
            </w14:solidFill>
          </w14:textFill>
        </w:rPr>
      </w:pPr>
    </w:p>
    <w:p>
      <w:pPr>
        <w:spacing w:line="360" w:lineRule="exact"/>
        <w:ind w:firstLine="403" w:firstLineChars="192"/>
        <w:rPr>
          <w:rFonts w:ascii="宋体" w:hAnsi="宋体" w:cs="宋体"/>
          <w:color w:val="000000" w:themeColor="text1"/>
          <w14:textFill>
            <w14:solidFill>
              <w14:schemeClr w14:val="tx1"/>
            </w14:solidFill>
          </w14:textFill>
        </w:rPr>
      </w:pPr>
    </w:p>
    <w:p>
      <w:pPr>
        <w:spacing w:line="360" w:lineRule="exact"/>
        <w:ind w:firstLine="403" w:firstLineChars="192"/>
        <w:rPr>
          <w:rFonts w:ascii="宋体" w:hAnsi="宋体" w:cs="宋体"/>
          <w:color w:val="000000" w:themeColor="text1"/>
          <w14:textFill>
            <w14:solidFill>
              <w14:schemeClr w14:val="tx1"/>
            </w14:solidFill>
          </w14:textFill>
        </w:rPr>
      </w:pPr>
    </w:p>
    <w:p>
      <w:pPr>
        <w:spacing w:line="360" w:lineRule="auto"/>
        <w:ind w:firstLine="1898" w:firstLineChars="904"/>
        <w:rPr>
          <w:szCs w:val="21"/>
        </w:rPr>
      </w:pPr>
      <w:r>
        <w:rPr>
          <w:rFonts w:hint="eastAsia"/>
          <w:szCs w:val="21"/>
        </w:rPr>
        <w:t>投标人：</w:t>
      </w:r>
      <w:r>
        <w:rPr>
          <w:rFonts w:hint="eastAsia"/>
          <w:szCs w:val="21"/>
          <w:u w:val="single"/>
        </w:rPr>
        <w:t xml:space="preserve">                          </w:t>
      </w:r>
      <w:r>
        <w:rPr>
          <w:rFonts w:hint="eastAsia"/>
          <w:szCs w:val="21"/>
        </w:rPr>
        <w:t>（企业电子签章或盖公章）</w:t>
      </w:r>
    </w:p>
    <w:p>
      <w:pPr>
        <w:spacing w:line="360" w:lineRule="auto"/>
        <w:ind w:firstLine="1898" w:firstLineChars="904"/>
        <w:rPr>
          <w:szCs w:val="21"/>
        </w:rPr>
      </w:pPr>
      <w:r>
        <w:rPr>
          <w:rFonts w:hint="eastAsia"/>
          <w:szCs w:val="21"/>
        </w:rPr>
        <w:t>法定代表人：</w:t>
      </w:r>
      <w:r>
        <w:rPr>
          <w:rFonts w:hint="eastAsia"/>
          <w:szCs w:val="21"/>
          <w:u w:val="single"/>
        </w:rPr>
        <w:t xml:space="preserve">                     </w:t>
      </w:r>
      <w:r>
        <w:rPr>
          <w:rFonts w:hint="eastAsia"/>
          <w:szCs w:val="21"/>
        </w:rPr>
        <w:t>（个人电子签章或签字）</w:t>
      </w:r>
    </w:p>
    <w:p>
      <w:pPr>
        <w:spacing w:line="360" w:lineRule="auto"/>
        <w:ind w:firstLine="1898" w:firstLineChars="904"/>
        <w:rPr>
          <w:szCs w:val="21"/>
        </w:rPr>
      </w:pPr>
      <w:r>
        <w:rPr>
          <w:rFonts w:hint="eastAsia"/>
          <w:szCs w:val="21"/>
        </w:rPr>
        <w:t>身份证号码：</w:t>
      </w:r>
      <w:r>
        <w:rPr>
          <w:rFonts w:hint="eastAsia"/>
          <w:szCs w:val="21"/>
          <w:u w:val="single"/>
        </w:rPr>
        <w:t xml:space="preserve">                                </w:t>
      </w:r>
    </w:p>
    <w:p>
      <w:pPr>
        <w:spacing w:line="360" w:lineRule="auto"/>
        <w:ind w:firstLine="1898" w:firstLineChars="904"/>
        <w:rPr>
          <w:szCs w:val="21"/>
        </w:rPr>
      </w:pPr>
      <w:r>
        <w:rPr>
          <w:rFonts w:hint="eastAsia"/>
          <w:szCs w:val="21"/>
        </w:rPr>
        <w:t>委托代理人：</w:t>
      </w:r>
      <w:r>
        <w:rPr>
          <w:rFonts w:hint="eastAsia"/>
          <w:szCs w:val="21"/>
          <w:u w:val="single"/>
        </w:rPr>
        <w:t xml:space="preserve">                      </w:t>
      </w:r>
      <w:r>
        <w:rPr>
          <w:rFonts w:hint="eastAsia"/>
          <w:szCs w:val="21"/>
        </w:rPr>
        <w:t>（个人电子签章或签字）</w:t>
      </w:r>
    </w:p>
    <w:p>
      <w:pPr>
        <w:spacing w:line="360" w:lineRule="auto"/>
        <w:ind w:firstLine="1898" w:firstLineChars="904"/>
        <w:rPr>
          <w:szCs w:val="21"/>
          <w:u w:val="single"/>
        </w:rPr>
      </w:pPr>
      <w:r>
        <w:rPr>
          <w:rFonts w:hint="eastAsia"/>
          <w:szCs w:val="21"/>
        </w:rPr>
        <w:t>身份证号码：</w:t>
      </w:r>
      <w:r>
        <w:rPr>
          <w:rFonts w:hint="eastAsia"/>
          <w:szCs w:val="21"/>
          <w:u w:val="single"/>
        </w:rPr>
        <w:t xml:space="preserve">                                </w:t>
      </w:r>
    </w:p>
    <w:p>
      <w:pPr>
        <w:spacing w:line="360" w:lineRule="auto"/>
        <w:ind w:firstLine="1898" w:firstLineChars="904"/>
        <w:rPr>
          <w:rFonts w:ascii="宋体" w:hAnsi="宋体" w:cs="宋体"/>
          <w:color w:val="000000" w:themeColor="text1"/>
          <w14:textFill>
            <w14:solidFill>
              <w14:schemeClr w14:val="tx1"/>
            </w14:solidFill>
          </w14:textFill>
        </w:rPr>
      </w:pPr>
      <w:r>
        <w:rPr>
          <w:rFonts w:hint="eastAsia"/>
          <w:szCs w:val="21"/>
          <w:u w:val="single"/>
        </w:rPr>
        <w:t xml:space="preserve">        </w:t>
      </w:r>
      <w:r>
        <w:rPr>
          <w:rFonts w:hint="eastAsia" w:ascii="宋体" w:hAnsi="宋体" w:cs="宋体"/>
          <w:color w:val="000000" w:themeColor="text1"/>
          <w14:textFill>
            <w14:solidFill>
              <w14:schemeClr w14:val="tx1"/>
            </w14:solidFill>
          </w14:textFill>
        </w:rPr>
        <w:t>年</w:t>
      </w:r>
      <w:r>
        <w:rPr>
          <w:rFonts w:hint="eastAsia"/>
          <w:szCs w:val="21"/>
          <w:u w:val="single"/>
        </w:rPr>
        <w:t xml:space="preserve">        </w:t>
      </w:r>
      <w:r>
        <w:rPr>
          <w:rFonts w:hint="eastAsia" w:ascii="宋体" w:hAnsi="宋体" w:cs="宋体"/>
          <w:color w:val="000000" w:themeColor="text1"/>
          <w14:textFill>
            <w14:solidFill>
              <w14:schemeClr w14:val="tx1"/>
            </w14:solidFill>
          </w14:textFill>
        </w:rPr>
        <w:t>月</w:t>
      </w:r>
      <w:r>
        <w:rPr>
          <w:rFonts w:hint="eastAsia"/>
          <w:szCs w:val="21"/>
          <w:u w:val="single"/>
        </w:rPr>
        <w:t xml:space="preserve">        </w:t>
      </w:r>
      <w:r>
        <w:rPr>
          <w:rFonts w:hint="eastAsia" w:ascii="宋体" w:hAnsi="宋体" w:cs="宋体"/>
          <w:color w:val="000000" w:themeColor="text1"/>
          <w14:textFill>
            <w14:solidFill>
              <w14:schemeClr w14:val="tx1"/>
            </w14:solidFill>
          </w14:textFill>
        </w:rPr>
        <w:t>日</w:t>
      </w:r>
    </w:p>
    <w:p>
      <w:pPr>
        <w:pStyle w:val="64"/>
        <w:pageBreakBefore/>
        <w:jc w:val="center"/>
        <w:rPr>
          <w:rFonts w:ascii="宋体" w:cs="宋体"/>
          <w:color w:val="000000" w:themeColor="text1"/>
          <w:sz w:val="32"/>
          <w14:textFill>
            <w14:solidFill>
              <w14:schemeClr w14:val="tx1"/>
            </w14:solidFill>
          </w14:textFill>
        </w:rPr>
      </w:pPr>
      <w:bookmarkStart w:id="804" w:name="_Toc11214"/>
      <w:bookmarkStart w:id="805" w:name="_Toc6128"/>
      <w:bookmarkStart w:id="806" w:name="_Toc14104"/>
      <w:r>
        <w:rPr>
          <w:rFonts w:hint="eastAsia" w:ascii="宋体" w:cs="宋体"/>
          <w:color w:val="000000" w:themeColor="text1"/>
          <w:sz w:val="32"/>
          <w14:textFill>
            <w14:solidFill>
              <w14:schemeClr w14:val="tx1"/>
            </w14:solidFill>
          </w14:textFill>
        </w:rPr>
        <w:t>四、投标保证金</w:t>
      </w:r>
      <w:bookmarkEnd w:id="804"/>
      <w:bookmarkEnd w:id="805"/>
      <w:bookmarkEnd w:id="806"/>
      <w:r>
        <w:rPr>
          <w:rFonts w:hint="eastAsia" w:ascii="宋体" w:cs="宋体"/>
          <w:color w:val="000000" w:themeColor="text1"/>
          <w:sz w:val="32"/>
          <w14:textFill>
            <w14:solidFill>
              <w14:schemeClr w14:val="tx1"/>
            </w14:solidFill>
          </w14:textFill>
        </w:rPr>
        <w:t>交付证明</w:t>
      </w:r>
    </w:p>
    <w:p>
      <w:pPr>
        <w:spacing w:line="360" w:lineRule="exact"/>
        <w:ind w:firstLine="1960" w:firstLineChars="700"/>
        <w:rPr>
          <w:rStyle w:val="58"/>
          <w:rFonts w:ascii="宋体" w:hAnsi="宋体" w:eastAsia="宋体" w:cs="宋体"/>
          <w:color w:val="000000" w:themeColor="text1"/>
          <w14:textFill>
            <w14:solidFill>
              <w14:schemeClr w14:val="tx1"/>
            </w14:solidFill>
          </w14:textFill>
        </w:rPr>
      </w:pPr>
    </w:p>
    <w:p>
      <w:pPr>
        <w:spacing w:line="500" w:lineRule="exact"/>
        <w:ind w:firstLine="1960" w:firstLineChars="700"/>
        <w:rPr>
          <w:rStyle w:val="58"/>
          <w:rFonts w:ascii="宋体" w:hAnsi="宋体" w:eastAsia="宋体" w:cs="宋体"/>
          <w:color w:val="000000" w:themeColor="text1"/>
          <w14:textFill>
            <w14:solidFill>
              <w14:schemeClr w14:val="tx1"/>
            </w14:solidFill>
          </w14:textFill>
        </w:rPr>
      </w:pPr>
    </w:p>
    <w:p>
      <w:pPr>
        <w:spacing w:line="360" w:lineRule="exact"/>
        <w:ind w:firstLine="1960" w:firstLineChars="700"/>
        <w:rPr>
          <w:rStyle w:val="58"/>
          <w:rFonts w:ascii="宋体" w:hAnsi="宋体" w:eastAsia="宋体" w:cs="宋体"/>
          <w:color w:val="000000" w:themeColor="text1"/>
          <w14:textFill>
            <w14:solidFill>
              <w14:schemeClr w14:val="tx1"/>
            </w14:solidFill>
          </w14:textFill>
        </w:rPr>
      </w:pP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附投标保证金汇款凭证（或保函）</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及银行开户许可证（或基本存款帐户信息）复印件</w:t>
      </w:r>
    </w:p>
    <w:p>
      <w:pPr>
        <w:spacing w:line="360" w:lineRule="auto"/>
        <w:jc w:val="center"/>
        <w:rPr>
          <w:rFonts w:ascii="宋体" w:hAnsi="宋体" w:cs="宋体"/>
          <w:b/>
          <w:color w:val="000000" w:themeColor="text1"/>
          <w:szCs w:val="21"/>
          <w14:textFill>
            <w14:solidFill>
              <w14:schemeClr w14:val="tx1"/>
            </w14:solidFill>
          </w14:textFill>
        </w:rPr>
      </w:pPr>
    </w:p>
    <w:p>
      <w:pPr>
        <w:pStyle w:val="4"/>
        <w:pageBreakBefore/>
        <w:kinsoku w:val="0"/>
        <w:overflowPunct w:val="0"/>
        <w:spacing w:line="441" w:lineRule="exact"/>
        <w:ind w:left="6"/>
        <w:jc w:val="center"/>
        <w:rPr>
          <w:rFonts w:ascii="宋体" w:hAnsi="宋体" w:cs="宋体"/>
          <w:spacing w:val="2"/>
          <w:sz w:val="32"/>
          <w:szCs w:val="24"/>
        </w:rPr>
      </w:pPr>
      <w:r>
        <w:rPr>
          <w:rFonts w:hint="eastAsia" w:ascii="宋体" w:hAnsi="宋体" w:cs="宋体"/>
          <w:spacing w:val="2"/>
          <w:sz w:val="32"/>
          <w:szCs w:val="24"/>
        </w:rPr>
        <w:t>五、监理大纲</w:t>
      </w:r>
    </w:p>
    <w:p>
      <w:pPr>
        <w:pStyle w:val="10"/>
        <w:kinsoku w:val="0"/>
        <w:overflowPunct w:val="0"/>
        <w:spacing w:line="440" w:lineRule="exact"/>
        <w:jc w:val="center"/>
        <w:rPr>
          <w:rFonts w:ascii="宋体" w:hAnsi="宋体" w:eastAsia="宋体" w:cs="宋体"/>
          <w:sz w:val="21"/>
          <w:szCs w:val="24"/>
        </w:rPr>
      </w:pPr>
    </w:p>
    <w:p>
      <w:pPr>
        <w:pStyle w:val="10"/>
        <w:kinsoku w:val="0"/>
        <w:overflowPunct w:val="0"/>
        <w:spacing w:line="440" w:lineRule="exact"/>
        <w:jc w:val="center"/>
        <w:rPr>
          <w:rFonts w:ascii="宋体" w:hAnsi="宋体" w:eastAsia="宋体" w:cs="宋体"/>
          <w:sz w:val="21"/>
          <w:szCs w:val="24"/>
        </w:rPr>
      </w:pPr>
      <w:r>
        <w:rPr>
          <w:rFonts w:hint="eastAsia" w:ascii="宋体" w:hAnsi="宋体" w:eastAsia="宋体" w:cs="宋体"/>
          <w:sz w:val="21"/>
          <w:szCs w:val="24"/>
        </w:rPr>
        <w:t>（格式自拟）</w:t>
      </w:r>
    </w:p>
    <w:p>
      <w:pPr>
        <w:pStyle w:val="4"/>
        <w:pageBreakBefore/>
        <w:kinsoku w:val="0"/>
        <w:overflowPunct w:val="0"/>
        <w:spacing w:line="441" w:lineRule="exact"/>
        <w:ind w:left="6"/>
        <w:jc w:val="center"/>
        <w:rPr>
          <w:rFonts w:ascii="宋体" w:hAnsi="宋体" w:cs="宋体"/>
          <w:spacing w:val="2"/>
          <w:sz w:val="32"/>
          <w:szCs w:val="24"/>
        </w:rPr>
      </w:pPr>
      <w:bookmarkStart w:id="807" w:name="_Toc4504"/>
      <w:r>
        <w:rPr>
          <w:rFonts w:hint="eastAsia" w:ascii="宋体" w:hAnsi="宋体" w:cs="宋体"/>
          <w:spacing w:val="2"/>
          <w:sz w:val="32"/>
          <w:szCs w:val="24"/>
        </w:rPr>
        <w:t>六、项目管理机构</w:t>
      </w:r>
      <w:bookmarkEnd w:id="807"/>
    </w:p>
    <w:p>
      <w:pPr>
        <w:pStyle w:val="60"/>
        <w:spacing w:before="0" w:beforeAutospacing="0" w:after="0" w:afterAutospacing="0" w:line="360" w:lineRule="auto"/>
        <w:rPr>
          <w:rFonts w:ascii="宋体" w:hAnsi="宋体" w:cs="宋体"/>
          <w:color w:val="000000" w:themeColor="text1"/>
          <w:sz w:val="28"/>
          <w14:textFill>
            <w14:solidFill>
              <w14:schemeClr w14:val="tx1"/>
            </w14:solidFill>
          </w14:textFill>
        </w:rPr>
      </w:pPr>
      <w:bookmarkStart w:id="808" w:name="_Toc282853983"/>
      <w:r>
        <w:rPr>
          <w:rFonts w:hint="eastAsia" w:ascii="宋体" w:hAnsi="宋体" w:cs="宋体"/>
          <w:color w:val="000000" w:themeColor="text1"/>
          <w:sz w:val="28"/>
          <w14:textFill>
            <w14:solidFill>
              <w14:schemeClr w14:val="tx1"/>
            </w14:solidFill>
          </w14:textFill>
        </w:rPr>
        <w:t>（一）项目管理机构组成表</w:t>
      </w:r>
      <w:bookmarkEnd w:id="808"/>
    </w:p>
    <w:tbl>
      <w:tblPr>
        <w:tblStyle w:val="2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58"/>
        <w:gridCol w:w="1051"/>
        <w:gridCol w:w="1388"/>
        <w:gridCol w:w="867"/>
        <w:gridCol w:w="918"/>
        <w:gridCol w:w="1012"/>
        <w:gridCol w:w="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40" w:type="pct"/>
            <w:vMerge w:val="restart"/>
            <w:vAlign w:val="center"/>
          </w:tcPr>
          <w:p>
            <w:pPr>
              <w:jc w:val="center"/>
              <w:rPr>
                <w:szCs w:val="21"/>
              </w:rPr>
            </w:pPr>
            <w:r>
              <w:rPr>
                <w:rFonts w:hint="eastAsia"/>
                <w:szCs w:val="21"/>
              </w:rPr>
              <w:t>职务</w:t>
            </w:r>
          </w:p>
        </w:tc>
        <w:tc>
          <w:tcPr>
            <w:tcW w:w="552" w:type="pct"/>
            <w:vMerge w:val="restart"/>
            <w:vAlign w:val="center"/>
          </w:tcPr>
          <w:p>
            <w:pPr>
              <w:jc w:val="center"/>
              <w:rPr>
                <w:szCs w:val="21"/>
              </w:rPr>
            </w:pPr>
            <w:r>
              <w:rPr>
                <w:rFonts w:hint="eastAsia"/>
                <w:szCs w:val="21"/>
              </w:rPr>
              <w:t>姓名</w:t>
            </w:r>
          </w:p>
        </w:tc>
        <w:tc>
          <w:tcPr>
            <w:tcW w:w="676" w:type="pct"/>
            <w:vMerge w:val="restart"/>
            <w:vAlign w:val="center"/>
          </w:tcPr>
          <w:p>
            <w:pPr>
              <w:jc w:val="center"/>
              <w:rPr>
                <w:szCs w:val="21"/>
              </w:rPr>
            </w:pPr>
            <w:r>
              <w:rPr>
                <w:rFonts w:hint="eastAsia"/>
                <w:szCs w:val="21"/>
              </w:rPr>
              <w:t>职称</w:t>
            </w:r>
          </w:p>
        </w:tc>
        <w:tc>
          <w:tcPr>
            <w:tcW w:w="2703" w:type="pct"/>
            <w:gridSpan w:val="5"/>
            <w:vAlign w:val="center"/>
          </w:tcPr>
          <w:p>
            <w:pPr>
              <w:jc w:val="center"/>
              <w:rPr>
                <w:szCs w:val="21"/>
              </w:rPr>
            </w:pPr>
            <w:r>
              <w:rPr>
                <w:rFonts w:hint="eastAsia"/>
                <w:szCs w:val="21"/>
              </w:rPr>
              <w:t>执业或职业资格证明</w:t>
            </w:r>
          </w:p>
        </w:tc>
        <w:tc>
          <w:tcPr>
            <w:tcW w:w="526" w:type="pct"/>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0" w:type="pct"/>
            <w:vMerge w:val="continue"/>
          </w:tcPr>
          <w:p>
            <w:pPr>
              <w:rPr>
                <w:szCs w:val="21"/>
              </w:rPr>
            </w:pPr>
          </w:p>
        </w:tc>
        <w:tc>
          <w:tcPr>
            <w:tcW w:w="552" w:type="pct"/>
            <w:vMerge w:val="continue"/>
          </w:tcPr>
          <w:p>
            <w:pPr>
              <w:rPr>
                <w:szCs w:val="21"/>
              </w:rPr>
            </w:pPr>
          </w:p>
        </w:tc>
        <w:tc>
          <w:tcPr>
            <w:tcW w:w="676" w:type="pct"/>
            <w:vMerge w:val="continue"/>
          </w:tcPr>
          <w:p>
            <w:pPr>
              <w:rPr>
                <w:szCs w:val="21"/>
              </w:rPr>
            </w:pPr>
          </w:p>
        </w:tc>
        <w:tc>
          <w:tcPr>
            <w:tcW w:w="893" w:type="pct"/>
            <w:vAlign w:val="center"/>
          </w:tcPr>
          <w:p>
            <w:pPr>
              <w:jc w:val="center"/>
              <w:rPr>
                <w:szCs w:val="21"/>
              </w:rPr>
            </w:pPr>
            <w:r>
              <w:rPr>
                <w:rFonts w:hint="eastAsia"/>
                <w:szCs w:val="21"/>
              </w:rPr>
              <w:t>证书名称</w:t>
            </w:r>
          </w:p>
        </w:tc>
        <w:tc>
          <w:tcPr>
            <w:tcW w:w="558" w:type="pct"/>
            <w:vAlign w:val="center"/>
          </w:tcPr>
          <w:p>
            <w:pPr>
              <w:jc w:val="center"/>
              <w:rPr>
                <w:szCs w:val="21"/>
              </w:rPr>
            </w:pPr>
            <w:r>
              <w:rPr>
                <w:rFonts w:hint="eastAsia"/>
                <w:szCs w:val="21"/>
              </w:rPr>
              <w:t>级别</w:t>
            </w:r>
          </w:p>
        </w:tc>
        <w:tc>
          <w:tcPr>
            <w:tcW w:w="591" w:type="pct"/>
            <w:vAlign w:val="center"/>
          </w:tcPr>
          <w:p>
            <w:pPr>
              <w:jc w:val="center"/>
              <w:rPr>
                <w:szCs w:val="21"/>
              </w:rPr>
            </w:pPr>
            <w:r>
              <w:rPr>
                <w:rFonts w:hint="eastAsia"/>
                <w:szCs w:val="21"/>
              </w:rPr>
              <w:t>证号</w:t>
            </w:r>
          </w:p>
        </w:tc>
        <w:tc>
          <w:tcPr>
            <w:tcW w:w="651" w:type="pct"/>
            <w:vAlign w:val="center"/>
          </w:tcPr>
          <w:p>
            <w:pPr>
              <w:jc w:val="center"/>
              <w:rPr>
                <w:szCs w:val="21"/>
              </w:rPr>
            </w:pPr>
            <w:r>
              <w:rPr>
                <w:rFonts w:hint="eastAsia"/>
                <w:szCs w:val="21"/>
              </w:rPr>
              <w:t>专业</w:t>
            </w: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40" w:type="pct"/>
          </w:tcPr>
          <w:p>
            <w:pPr>
              <w:rPr>
                <w:szCs w:val="21"/>
              </w:rPr>
            </w:pPr>
          </w:p>
        </w:tc>
        <w:tc>
          <w:tcPr>
            <w:tcW w:w="552" w:type="pct"/>
          </w:tcPr>
          <w:p>
            <w:pPr>
              <w:rPr>
                <w:szCs w:val="21"/>
              </w:rPr>
            </w:pPr>
          </w:p>
        </w:tc>
        <w:tc>
          <w:tcPr>
            <w:tcW w:w="676" w:type="pct"/>
          </w:tcPr>
          <w:p>
            <w:pPr>
              <w:rPr>
                <w:szCs w:val="21"/>
              </w:rPr>
            </w:pPr>
          </w:p>
        </w:tc>
        <w:tc>
          <w:tcPr>
            <w:tcW w:w="893" w:type="pct"/>
          </w:tcPr>
          <w:p>
            <w:pPr>
              <w:rPr>
                <w:szCs w:val="21"/>
              </w:rPr>
            </w:pPr>
          </w:p>
        </w:tc>
        <w:tc>
          <w:tcPr>
            <w:tcW w:w="558" w:type="pct"/>
          </w:tcPr>
          <w:p>
            <w:pPr>
              <w:rPr>
                <w:szCs w:val="21"/>
              </w:rPr>
            </w:pPr>
          </w:p>
        </w:tc>
        <w:tc>
          <w:tcPr>
            <w:tcW w:w="591" w:type="pct"/>
          </w:tcPr>
          <w:p>
            <w:pPr>
              <w:rPr>
                <w:szCs w:val="21"/>
              </w:rPr>
            </w:pPr>
          </w:p>
        </w:tc>
        <w:tc>
          <w:tcPr>
            <w:tcW w:w="651" w:type="pct"/>
          </w:tcPr>
          <w:p>
            <w:pPr>
              <w:rPr>
                <w:szCs w:val="21"/>
              </w:rPr>
            </w:pPr>
          </w:p>
        </w:tc>
        <w:tc>
          <w:tcPr>
            <w:tcW w:w="533" w:type="pct"/>
            <w:gridSpan w:val="2"/>
          </w:tcPr>
          <w:p>
            <w:pPr>
              <w:rPr>
                <w:szCs w:val="21"/>
              </w:rPr>
            </w:pPr>
          </w:p>
        </w:tc>
      </w:tr>
    </w:tbl>
    <w:p>
      <w:pPr>
        <w:pStyle w:val="60"/>
        <w:pageBreakBefore/>
        <w:spacing w:before="0" w:beforeAutospacing="0" w:after="0" w:afterAutospacing="0" w:line="360" w:lineRule="auto"/>
        <w:rPr>
          <w:rFonts w:ascii="宋体" w:hAnsi="宋体" w:cs="宋体"/>
          <w:color w:val="000000" w:themeColor="text1"/>
          <w:sz w:val="28"/>
          <w14:textFill>
            <w14:solidFill>
              <w14:schemeClr w14:val="tx1"/>
            </w14:solidFill>
          </w14:textFill>
        </w:rPr>
      </w:pPr>
      <w:bookmarkStart w:id="809" w:name="_Toc282853984"/>
      <w:r>
        <w:rPr>
          <w:rFonts w:hint="eastAsia" w:ascii="宋体" w:hAnsi="宋体" w:cs="宋体"/>
          <w:color w:val="000000" w:themeColor="text1"/>
          <w:sz w:val="28"/>
          <w14:textFill>
            <w14:solidFill>
              <w14:schemeClr w14:val="tx1"/>
            </w14:solidFill>
          </w14:textFill>
        </w:rPr>
        <w:t>（二）主要人员简历表</w:t>
      </w:r>
      <w:bookmarkEnd w:id="809"/>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311"/>
        <w:gridCol w:w="1455"/>
        <w:gridCol w:w="1004"/>
        <w:gridCol w:w="809"/>
        <w:gridCol w:w="487"/>
        <w:gridCol w:w="1139"/>
        <w:gridCol w:w="65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3" w:type="pct"/>
            <w:gridSpan w:val="2"/>
            <w:vAlign w:val="center"/>
          </w:tcPr>
          <w:p>
            <w:pPr>
              <w:spacing w:line="360" w:lineRule="auto"/>
              <w:jc w:val="center"/>
              <w:rPr>
                <w:szCs w:val="21"/>
              </w:rPr>
            </w:pPr>
            <w:r>
              <w:rPr>
                <w:rFonts w:hint="eastAsia"/>
                <w:szCs w:val="21"/>
              </w:rPr>
              <w:t>姓名</w:t>
            </w:r>
          </w:p>
        </w:tc>
        <w:tc>
          <w:tcPr>
            <w:tcW w:w="843" w:type="pct"/>
          </w:tcPr>
          <w:p>
            <w:pPr>
              <w:spacing w:line="360" w:lineRule="auto"/>
              <w:rPr>
                <w:szCs w:val="21"/>
              </w:rPr>
            </w:pPr>
          </w:p>
        </w:tc>
        <w:tc>
          <w:tcPr>
            <w:tcW w:w="582" w:type="pct"/>
            <w:vAlign w:val="center"/>
          </w:tcPr>
          <w:p>
            <w:pPr>
              <w:spacing w:line="360" w:lineRule="auto"/>
              <w:jc w:val="center"/>
              <w:rPr>
                <w:szCs w:val="21"/>
              </w:rPr>
            </w:pPr>
            <w:r>
              <w:rPr>
                <w:rFonts w:hint="eastAsia"/>
                <w:szCs w:val="21"/>
              </w:rPr>
              <w:t>年龄</w:t>
            </w:r>
          </w:p>
        </w:tc>
        <w:tc>
          <w:tcPr>
            <w:tcW w:w="751" w:type="pct"/>
            <w:gridSpan w:val="2"/>
          </w:tcPr>
          <w:p>
            <w:pPr>
              <w:spacing w:line="360" w:lineRule="auto"/>
              <w:rPr>
                <w:szCs w:val="21"/>
              </w:rPr>
            </w:pPr>
          </w:p>
        </w:tc>
        <w:tc>
          <w:tcPr>
            <w:tcW w:w="1041" w:type="pct"/>
            <w:gridSpan w:val="2"/>
            <w:vAlign w:val="center"/>
          </w:tcPr>
          <w:p>
            <w:pPr>
              <w:spacing w:line="360" w:lineRule="auto"/>
              <w:jc w:val="center"/>
              <w:rPr>
                <w:szCs w:val="21"/>
              </w:rPr>
            </w:pPr>
            <w:r>
              <w:rPr>
                <w:rFonts w:hint="eastAsia"/>
                <w:szCs w:val="21"/>
              </w:rPr>
              <w:t>学历</w:t>
            </w:r>
          </w:p>
        </w:tc>
        <w:tc>
          <w:tcPr>
            <w:tcW w:w="927"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3" w:type="pct"/>
            <w:gridSpan w:val="2"/>
            <w:vAlign w:val="center"/>
          </w:tcPr>
          <w:p>
            <w:pPr>
              <w:spacing w:line="360" w:lineRule="auto"/>
              <w:jc w:val="center"/>
              <w:rPr>
                <w:szCs w:val="21"/>
              </w:rPr>
            </w:pPr>
            <w:r>
              <w:rPr>
                <w:rFonts w:hint="eastAsia"/>
                <w:szCs w:val="21"/>
              </w:rPr>
              <w:t>职称</w:t>
            </w:r>
          </w:p>
        </w:tc>
        <w:tc>
          <w:tcPr>
            <w:tcW w:w="843" w:type="pct"/>
          </w:tcPr>
          <w:p>
            <w:pPr>
              <w:spacing w:line="360" w:lineRule="auto"/>
              <w:rPr>
                <w:szCs w:val="21"/>
              </w:rPr>
            </w:pPr>
          </w:p>
        </w:tc>
        <w:tc>
          <w:tcPr>
            <w:tcW w:w="582" w:type="pct"/>
            <w:vAlign w:val="center"/>
          </w:tcPr>
          <w:p>
            <w:pPr>
              <w:spacing w:line="360" w:lineRule="auto"/>
              <w:jc w:val="center"/>
              <w:rPr>
                <w:szCs w:val="21"/>
              </w:rPr>
            </w:pPr>
            <w:r>
              <w:rPr>
                <w:rFonts w:hint="eastAsia"/>
                <w:szCs w:val="21"/>
              </w:rPr>
              <w:t>职务</w:t>
            </w:r>
          </w:p>
        </w:tc>
        <w:tc>
          <w:tcPr>
            <w:tcW w:w="751" w:type="pct"/>
            <w:gridSpan w:val="2"/>
          </w:tcPr>
          <w:p>
            <w:pPr>
              <w:spacing w:line="360" w:lineRule="auto"/>
              <w:rPr>
                <w:szCs w:val="21"/>
              </w:rPr>
            </w:pPr>
          </w:p>
        </w:tc>
        <w:tc>
          <w:tcPr>
            <w:tcW w:w="1041" w:type="pct"/>
            <w:gridSpan w:val="2"/>
            <w:vAlign w:val="center"/>
          </w:tcPr>
          <w:p>
            <w:pPr>
              <w:spacing w:line="360" w:lineRule="auto"/>
              <w:jc w:val="center"/>
              <w:rPr>
                <w:szCs w:val="21"/>
              </w:rPr>
            </w:pPr>
            <w:r>
              <w:rPr>
                <w:rFonts w:hint="eastAsia"/>
                <w:szCs w:val="21"/>
              </w:rPr>
              <w:t>拟在本合同任职</w:t>
            </w:r>
          </w:p>
        </w:tc>
        <w:tc>
          <w:tcPr>
            <w:tcW w:w="927"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3" w:type="pct"/>
            <w:gridSpan w:val="2"/>
            <w:vAlign w:val="center"/>
          </w:tcPr>
          <w:p>
            <w:pPr>
              <w:spacing w:line="360" w:lineRule="auto"/>
              <w:jc w:val="center"/>
              <w:rPr>
                <w:szCs w:val="21"/>
              </w:rPr>
            </w:pPr>
            <w:r>
              <w:rPr>
                <w:rFonts w:hint="eastAsia"/>
                <w:szCs w:val="21"/>
              </w:rPr>
              <w:t>毕业学校</w:t>
            </w:r>
          </w:p>
        </w:tc>
        <w:tc>
          <w:tcPr>
            <w:tcW w:w="4146" w:type="pct"/>
            <w:gridSpan w:val="7"/>
          </w:tcPr>
          <w:p>
            <w:pPr>
              <w:spacing w:line="360" w:lineRule="auto"/>
              <w:ind w:firstLine="525" w:firstLineChars="250"/>
              <w:rPr>
                <w:szCs w:val="21"/>
              </w:rPr>
            </w:pPr>
            <w:r>
              <w:rPr>
                <w:rFonts w:hint="eastAsia"/>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9"/>
          </w:tcPr>
          <w:p>
            <w:pPr>
              <w:spacing w:line="360" w:lineRule="auto"/>
              <w:rPr>
                <w:szCs w:val="21"/>
              </w:rPr>
            </w:pPr>
            <w:r>
              <w:rPr>
                <w:rFonts w:hint="eastAsia"/>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vAlign w:val="center"/>
          </w:tcPr>
          <w:p>
            <w:pPr>
              <w:spacing w:line="360" w:lineRule="auto"/>
              <w:jc w:val="center"/>
              <w:rPr>
                <w:szCs w:val="21"/>
              </w:rPr>
            </w:pPr>
            <w:r>
              <w:rPr>
                <w:rFonts w:hint="eastAsia"/>
                <w:szCs w:val="21"/>
              </w:rPr>
              <w:t>时间</w:t>
            </w:r>
          </w:p>
        </w:tc>
        <w:tc>
          <w:tcPr>
            <w:tcW w:w="2074" w:type="pct"/>
            <w:gridSpan w:val="4"/>
            <w:vAlign w:val="center"/>
          </w:tcPr>
          <w:p>
            <w:pPr>
              <w:spacing w:line="360" w:lineRule="auto"/>
              <w:jc w:val="center"/>
              <w:rPr>
                <w:szCs w:val="21"/>
              </w:rPr>
            </w:pPr>
            <w:r>
              <w:rPr>
                <w:rFonts w:hint="eastAsia"/>
                <w:szCs w:val="21"/>
              </w:rPr>
              <w:t>参加过的类似项目</w:t>
            </w:r>
          </w:p>
        </w:tc>
        <w:tc>
          <w:tcPr>
            <w:tcW w:w="942" w:type="pct"/>
            <w:gridSpan w:val="2"/>
            <w:vAlign w:val="center"/>
          </w:tcPr>
          <w:p>
            <w:pPr>
              <w:spacing w:line="360" w:lineRule="auto"/>
              <w:jc w:val="center"/>
              <w:rPr>
                <w:szCs w:val="21"/>
              </w:rPr>
            </w:pPr>
            <w:r>
              <w:rPr>
                <w:rFonts w:hint="eastAsia"/>
                <w:szCs w:val="21"/>
              </w:rPr>
              <w:t>担任职务</w:t>
            </w:r>
          </w:p>
        </w:tc>
        <w:tc>
          <w:tcPr>
            <w:tcW w:w="1309" w:type="pct"/>
            <w:gridSpan w:val="2"/>
            <w:vAlign w:val="center"/>
          </w:tcPr>
          <w:p>
            <w:pPr>
              <w:spacing w:line="360" w:lineRule="auto"/>
              <w:jc w:val="center"/>
              <w:rPr>
                <w:szCs w:val="21"/>
              </w:rPr>
            </w:pPr>
            <w:r>
              <w:rPr>
                <w:rFonts w:hint="eastAsia"/>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3" w:type="pct"/>
          </w:tcPr>
          <w:p>
            <w:pPr>
              <w:spacing w:line="360" w:lineRule="auto"/>
              <w:rPr>
                <w:szCs w:val="21"/>
              </w:rPr>
            </w:pPr>
          </w:p>
        </w:tc>
        <w:tc>
          <w:tcPr>
            <w:tcW w:w="2074" w:type="pct"/>
            <w:gridSpan w:val="4"/>
          </w:tcPr>
          <w:p>
            <w:pPr>
              <w:spacing w:line="360" w:lineRule="auto"/>
              <w:rPr>
                <w:szCs w:val="21"/>
              </w:rPr>
            </w:pPr>
          </w:p>
        </w:tc>
        <w:tc>
          <w:tcPr>
            <w:tcW w:w="942" w:type="pct"/>
            <w:gridSpan w:val="2"/>
          </w:tcPr>
          <w:p>
            <w:pPr>
              <w:spacing w:line="360" w:lineRule="auto"/>
              <w:rPr>
                <w:szCs w:val="21"/>
              </w:rPr>
            </w:pPr>
          </w:p>
        </w:tc>
        <w:tc>
          <w:tcPr>
            <w:tcW w:w="1309" w:type="pct"/>
            <w:gridSpan w:val="2"/>
          </w:tcPr>
          <w:p>
            <w:pPr>
              <w:spacing w:line="360" w:lineRule="auto"/>
              <w:rPr>
                <w:szCs w:val="21"/>
              </w:rPr>
            </w:pPr>
          </w:p>
        </w:tc>
      </w:tr>
    </w:tbl>
    <w:p>
      <w:pPr>
        <w:spacing w:line="380" w:lineRule="exact"/>
        <w:ind w:firstLine="630" w:firstLineChars="300"/>
        <w:rPr>
          <w:szCs w:val="21"/>
        </w:rPr>
      </w:pPr>
      <w:r>
        <w:rPr>
          <w:rFonts w:hint="eastAsia"/>
          <w:szCs w:val="21"/>
        </w:rPr>
        <w:t>（注：表后应附相应人员的注册证书或岗位证书及身份证复印件等相关证件。）</w:t>
      </w:r>
    </w:p>
    <w:p>
      <w:pPr>
        <w:rPr>
          <w:rFonts w:ascii="宋体" w:hAnsi="宋体" w:cs="宋体"/>
          <w:szCs w:val="24"/>
        </w:rPr>
      </w:pPr>
    </w:p>
    <w:p>
      <w:pPr>
        <w:pStyle w:val="64"/>
        <w:pageBreakBefore/>
        <w:jc w:val="center"/>
        <w:rPr>
          <w:rFonts w:ascii="宋体" w:cs="宋体"/>
          <w:color w:val="000000" w:themeColor="text1"/>
          <w:sz w:val="32"/>
          <w14:textFill>
            <w14:solidFill>
              <w14:schemeClr w14:val="tx1"/>
            </w14:solidFill>
          </w14:textFill>
        </w:rPr>
      </w:pPr>
      <w:bookmarkStart w:id="810" w:name="_Toc18161"/>
      <w:bookmarkStart w:id="811" w:name="_Toc22149"/>
      <w:bookmarkStart w:id="812" w:name="_Toc16945"/>
      <w:r>
        <w:rPr>
          <w:rFonts w:hint="eastAsia" w:ascii="宋体" w:cs="宋体"/>
          <w:color w:val="000000" w:themeColor="text1"/>
          <w:sz w:val="32"/>
          <w14:textFill>
            <w14:solidFill>
              <w14:schemeClr w14:val="tx1"/>
            </w14:solidFill>
          </w14:textFill>
        </w:rPr>
        <w:t>七、资格审查资料</w:t>
      </w:r>
      <w:bookmarkEnd w:id="810"/>
      <w:bookmarkEnd w:id="811"/>
      <w:bookmarkEnd w:id="812"/>
    </w:p>
    <w:p>
      <w:pPr>
        <w:pStyle w:val="6"/>
        <w:kinsoku w:val="0"/>
        <w:overflowPunct w:val="0"/>
        <w:spacing w:before="14"/>
        <w:ind w:left="377"/>
        <w:jc w:val="center"/>
        <w:rPr>
          <w:rFonts w:hint="default" w:hAnsi="宋体" w:cs="宋体"/>
          <w:color w:val="000000" w:themeColor="text1"/>
          <w14:textFill>
            <w14:solidFill>
              <w14:schemeClr w14:val="tx1"/>
            </w14:solidFill>
          </w14:textFill>
        </w:rPr>
      </w:pPr>
      <w:bookmarkStart w:id="813" w:name="bookmark185"/>
      <w:bookmarkEnd w:id="813"/>
      <w:r>
        <w:rPr>
          <w:rFonts w:hAnsi="宋体" w:cs="宋体"/>
          <w:color w:val="000000" w:themeColor="text1"/>
          <w14:textFill>
            <w14:solidFill>
              <w14:schemeClr w14:val="tx1"/>
            </w14:solidFill>
          </w14:textFill>
        </w:rPr>
        <w:t>（一）基本情况表</w:t>
      </w:r>
    </w:p>
    <w:tbl>
      <w:tblPr>
        <w:tblStyle w:val="26"/>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07"/>
        <w:gridCol w:w="1330"/>
        <w:gridCol w:w="1331"/>
        <w:gridCol w:w="1106"/>
        <w:gridCol w:w="225"/>
        <w:gridCol w:w="1331"/>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投标人名称</w:t>
            </w:r>
          </w:p>
        </w:tc>
        <w:tc>
          <w:tcPr>
            <w:tcW w:w="7761" w:type="dxa"/>
            <w:gridSpan w:val="7"/>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注册地址</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1331"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邮政编码</w:t>
            </w:r>
          </w:p>
        </w:tc>
        <w:tc>
          <w:tcPr>
            <w:tcW w:w="2662" w:type="dxa"/>
            <w:gridSpan w:val="2"/>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552" w:type="dxa"/>
            <w:vMerge w:val="restart"/>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1107"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联系人</w:t>
            </w:r>
          </w:p>
        </w:tc>
        <w:tc>
          <w:tcPr>
            <w:tcW w:w="2661" w:type="dxa"/>
            <w:gridSpan w:val="2"/>
            <w:vAlign w:val="center"/>
          </w:tcPr>
          <w:p>
            <w:pPr>
              <w:pStyle w:val="65"/>
              <w:jc w:val="center"/>
              <w:rPr>
                <w:rFonts w:ascii="Times New Roman"/>
                <w:color w:val="000000" w:themeColor="text1"/>
                <w:sz w:val="20"/>
                <w14:textFill>
                  <w14:solidFill>
                    <w14:schemeClr w14:val="tx1"/>
                  </w14:solidFill>
                </w14:textFill>
              </w:rPr>
            </w:pPr>
          </w:p>
        </w:tc>
        <w:tc>
          <w:tcPr>
            <w:tcW w:w="1331"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电 话</w:t>
            </w:r>
          </w:p>
        </w:tc>
        <w:tc>
          <w:tcPr>
            <w:tcW w:w="2662" w:type="dxa"/>
            <w:gridSpan w:val="2"/>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52" w:type="dxa"/>
            <w:vMerge w:val="continue"/>
            <w:tcBorders>
              <w:top w:val="nil"/>
            </w:tcBorders>
            <w:vAlign w:val="center"/>
          </w:tcPr>
          <w:p>
            <w:pPr>
              <w:jc w:val="center"/>
              <w:rPr>
                <w:color w:val="000000" w:themeColor="text1"/>
                <w:sz w:val="2"/>
                <w:szCs w:val="2"/>
                <w14:textFill>
                  <w14:solidFill>
                    <w14:schemeClr w14:val="tx1"/>
                  </w14:solidFill>
                </w14:textFill>
              </w:rPr>
            </w:pPr>
          </w:p>
        </w:tc>
        <w:tc>
          <w:tcPr>
            <w:tcW w:w="1107" w:type="dxa"/>
            <w:vAlign w:val="center"/>
          </w:tcPr>
          <w:p>
            <w:pPr>
              <w:pStyle w:val="65"/>
              <w:tabs>
                <w:tab w:val="left" w:pos="427"/>
              </w:tabs>
              <w:jc w:val="center"/>
              <w:rPr>
                <w:color w:val="000000" w:themeColor="text1"/>
                <w14:textFill>
                  <w14:solidFill>
                    <w14:schemeClr w14:val="tx1"/>
                  </w14:solidFill>
                </w14:textFill>
              </w:rPr>
            </w:pPr>
            <w:r>
              <w:rPr>
                <w:color w:val="000000" w:themeColor="text1"/>
                <w14:textFill>
                  <w14:solidFill>
                    <w14:schemeClr w14:val="tx1"/>
                  </w14:solidFill>
                </w14:textFill>
              </w:rPr>
              <w:t>传</w:t>
            </w:r>
            <w:r>
              <w:rPr>
                <w:color w:val="000000" w:themeColor="text1"/>
                <w14:textFill>
                  <w14:solidFill>
                    <w14:schemeClr w14:val="tx1"/>
                  </w14:solidFill>
                </w14:textFill>
              </w:rPr>
              <w:tab/>
            </w:r>
            <w:r>
              <w:rPr>
                <w:color w:val="000000" w:themeColor="text1"/>
                <w14:textFill>
                  <w14:solidFill>
                    <w14:schemeClr w14:val="tx1"/>
                  </w14:solidFill>
                </w14:textFill>
              </w:rPr>
              <w:t>真</w:t>
            </w:r>
          </w:p>
        </w:tc>
        <w:tc>
          <w:tcPr>
            <w:tcW w:w="2661" w:type="dxa"/>
            <w:gridSpan w:val="2"/>
            <w:vAlign w:val="center"/>
          </w:tcPr>
          <w:p>
            <w:pPr>
              <w:pStyle w:val="65"/>
              <w:jc w:val="center"/>
              <w:rPr>
                <w:rFonts w:ascii="Times New Roman"/>
                <w:color w:val="000000" w:themeColor="text1"/>
                <w:sz w:val="20"/>
                <w14:textFill>
                  <w14:solidFill>
                    <w14:schemeClr w14:val="tx1"/>
                  </w14:solidFill>
                </w14:textFill>
              </w:rPr>
            </w:pPr>
          </w:p>
        </w:tc>
        <w:tc>
          <w:tcPr>
            <w:tcW w:w="1331"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网 址</w:t>
            </w:r>
          </w:p>
        </w:tc>
        <w:tc>
          <w:tcPr>
            <w:tcW w:w="2662" w:type="dxa"/>
            <w:gridSpan w:val="2"/>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组织结构</w:t>
            </w:r>
          </w:p>
        </w:tc>
        <w:tc>
          <w:tcPr>
            <w:tcW w:w="7761" w:type="dxa"/>
            <w:gridSpan w:val="7"/>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法定代表人</w:t>
            </w:r>
          </w:p>
        </w:tc>
        <w:tc>
          <w:tcPr>
            <w:tcW w:w="1107"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330" w:type="dxa"/>
            <w:vAlign w:val="center"/>
          </w:tcPr>
          <w:p>
            <w:pPr>
              <w:pStyle w:val="65"/>
              <w:jc w:val="center"/>
              <w:rPr>
                <w:rFonts w:ascii="Times New Roman"/>
                <w:color w:val="000000" w:themeColor="text1"/>
                <w:sz w:val="20"/>
                <w14:textFill>
                  <w14:solidFill>
                    <w14:schemeClr w14:val="tx1"/>
                  </w14:solidFill>
                </w14:textFill>
              </w:rPr>
            </w:pPr>
          </w:p>
        </w:tc>
        <w:tc>
          <w:tcPr>
            <w:tcW w:w="1331"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331" w:type="dxa"/>
            <w:gridSpan w:val="2"/>
            <w:vAlign w:val="center"/>
          </w:tcPr>
          <w:p>
            <w:pPr>
              <w:pStyle w:val="65"/>
              <w:jc w:val="center"/>
              <w:rPr>
                <w:rFonts w:ascii="Times New Roman"/>
                <w:color w:val="000000" w:themeColor="text1"/>
                <w:sz w:val="20"/>
                <w14:textFill>
                  <w14:solidFill>
                    <w14:schemeClr w14:val="tx1"/>
                  </w14:solidFill>
                </w14:textFill>
              </w:rPr>
            </w:pPr>
          </w:p>
        </w:tc>
        <w:tc>
          <w:tcPr>
            <w:tcW w:w="1331"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技术负责人</w:t>
            </w:r>
          </w:p>
        </w:tc>
        <w:tc>
          <w:tcPr>
            <w:tcW w:w="1107"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1330" w:type="dxa"/>
            <w:vAlign w:val="center"/>
          </w:tcPr>
          <w:p>
            <w:pPr>
              <w:pStyle w:val="65"/>
              <w:jc w:val="center"/>
              <w:rPr>
                <w:rFonts w:ascii="Times New Roman"/>
                <w:color w:val="000000" w:themeColor="text1"/>
                <w:sz w:val="20"/>
                <w14:textFill>
                  <w14:solidFill>
                    <w14:schemeClr w14:val="tx1"/>
                  </w14:solidFill>
                </w14:textFill>
              </w:rPr>
            </w:pPr>
          </w:p>
        </w:tc>
        <w:tc>
          <w:tcPr>
            <w:tcW w:w="1331"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技术职称</w:t>
            </w:r>
          </w:p>
        </w:tc>
        <w:tc>
          <w:tcPr>
            <w:tcW w:w="1331" w:type="dxa"/>
            <w:gridSpan w:val="2"/>
            <w:vAlign w:val="center"/>
          </w:tcPr>
          <w:p>
            <w:pPr>
              <w:pStyle w:val="65"/>
              <w:jc w:val="center"/>
              <w:rPr>
                <w:rFonts w:ascii="Times New Roman"/>
                <w:color w:val="000000" w:themeColor="text1"/>
                <w:sz w:val="20"/>
                <w14:textFill>
                  <w14:solidFill>
                    <w14:schemeClr w14:val="tx1"/>
                  </w14:solidFill>
                </w14:textFill>
              </w:rPr>
            </w:pPr>
          </w:p>
        </w:tc>
        <w:tc>
          <w:tcPr>
            <w:tcW w:w="1331"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成立时间</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3993" w:type="dxa"/>
            <w:gridSpan w:val="4"/>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企业资质等级</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1106" w:type="dxa"/>
            <w:vMerge w:val="restart"/>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其中</w:t>
            </w:r>
          </w:p>
        </w:tc>
        <w:tc>
          <w:tcPr>
            <w:tcW w:w="1556"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项目总监理工程师</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营业执照号</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1106" w:type="dxa"/>
            <w:vMerge w:val="continue"/>
            <w:tcBorders>
              <w:top w:val="nil"/>
            </w:tcBorders>
            <w:vAlign w:val="center"/>
          </w:tcPr>
          <w:p>
            <w:pPr>
              <w:jc w:val="center"/>
              <w:rPr>
                <w:color w:val="000000" w:themeColor="text1"/>
                <w:sz w:val="2"/>
                <w:szCs w:val="2"/>
                <w14:textFill>
                  <w14:solidFill>
                    <w14:schemeClr w14:val="tx1"/>
                  </w14:solidFill>
                </w14:textFill>
              </w:rPr>
            </w:pPr>
          </w:p>
        </w:tc>
        <w:tc>
          <w:tcPr>
            <w:tcW w:w="1556"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高级职称人员</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注册资金</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1106" w:type="dxa"/>
            <w:vMerge w:val="continue"/>
            <w:tcBorders>
              <w:top w:val="nil"/>
            </w:tcBorders>
            <w:vAlign w:val="center"/>
          </w:tcPr>
          <w:p>
            <w:pPr>
              <w:jc w:val="center"/>
              <w:rPr>
                <w:color w:val="000000" w:themeColor="text1"/>
                <w:sz w:val="2"/>
                <w:szCs w:val="2"/>
                <w14:textFill>
                  <w14:solidFill>
                    <w14:schemeClr w14:val="tx1"/>
                  </w14:solidFill>
                </w14:textFill>
              </w:rPr>
            </w:pPr>
          </w:p>
        </w:tc>
        <w:tc>
          <w:tcPr>
            <w:tcW w:w="1556"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中级职称人员</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开户银行</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1106" w:type="dxa"/>
            <w:vMerge w:val="continue"/>
            <w:tcBorders>
              <w:top w:val="nil"/>
            </w:tcBorders>
            <w:vAlign w:val="center"/>
          </w:tcPr>
          <w:p>
            <w:pPr>
              <w:jc w:val="center"/>
              <w:rPr>
                <w:color w:val="000000" w:themeColor="text1"/>
                <w:sz w:val="2"/>
                <w:szCs w:val="2"/>
                <w14:textFill>
                  <w14:solidFill>
                    <w14:schemeClr w14:val="tx1"/>
                  </w14:solidFill>
                </w14:textFill>
              </w:rPr>
            </w:pPr>
          </w:p>
        </w:tc>
        <w:tc>
          <w:tcPr>
            <w:tcW w:w="1556"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初级职称人员</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账号</w:t>
            </w:r>
          </w:p>
        </w:tc>
        <w:tc>
          <w:tcPr>
            <w:tcW w:w="3768" w:type="dxa"/>
            <w:gridSpan w:val="3"/>
            <w:vAlign w:val="center"/>
          </w:tcPr>
          <w:p>
            <w:pPr>
              <w:pStyle w:val="65"/>
              <w:jc w:val="center"/>
              <w:rPr>
                <w:rFonts w:ascii="Times New Roman"/>
                <w:color w:val="000000" w:themeColor="text1"/>
                <w:sz w:val="20"/>
                <w14:textFill>
                  <w14:solidFill>
                    <w14:schemeClr w14:val="tx1"/>
                  </w14:solidFill>
                </w14:textFill>
              </w:rPr>
            </w:pPr>
          </w:p>
        </w:tc>
        <w:tc>
          <w:tcPr>
            <w:tcW w:w="1106" w:type="dxa"/>
            <w:vMerge w:val="continue"/>
            <w:tcBorders>
              <w:top w:val="nil"/>
            </w:tcBorders>
            <w:vAlign w:val="center"/>
          </w:tcPr>
          <w:p>
            <w:pPr>
              <w:jc w:val="center"/>
              <w:rPr>
                <w:color w:val="000000" w:themeColor="text1"/>
                <w:sz w:val="2"/>
                <w:szCs w:val="2"/>
                <w14:textFill>
                  <w14:solidFill>
                    <w14:schemeClr w14:val="tx1"/>
                  </w14:solidFill>
                </w14:textFill>
              </w:rPr>
            </w:pPr>
          </w:p>
        </w:tc>
        <w:tc>
          <w:tcPr>
            <w:tcW w:w="1556" w:type="dxa"/>
            <w:gridSpan w:val="2"/>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技 工</w:t>
            </w:r>
          </w:p>
        </w:tc>
        <w:tc>
          <w:tcPr>
            <w:tcW w:w="1331" w:type="dxa"/>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jc w:val="center"/>
        </w:trPr>
        <w:tc>
          <w:tcPr>
            <w:tcW w:w="1552" w:type="dxa"/>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经营范围</w:t>
            </w:r>
          </w:p>
        </w:tc>
        <w:tc>
          <w:tcPr>
            <w:tcW w:w="7761" w:type="dxa"/>
            <w:gridSpan w:val="7"/>
            <w:vAlign w:val="center"/>
          </w:tcPr>
          <w:p>
            <w:pPr>
              <w:pStyle w:val="65"/>
              <w:jc w:val="center"/>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552" w:type="dxa"/>
            <w:vAlign w:val="center"/>
          </w:tcPr>
          <w:p>
            <w:pPr>
              <w:pStyle w:val="65"/>
              <w:jc w:val="center"/>
            </w:pPr>
            <w:r>
              <w:t>备注</w:t>
            </w:r>
          </w:p>
        </w:tc>
        <w:tc>
          <w:tcPr>
            <w:tcW w:w="7761" w:type="dxa"/>
            <w:gridSpan w:val="7"/>
            <w:vAlign w:val="center"/>
          </w:tcPr>
          <w:p>
            <w:pPr>
              <w:pStyle w:val="65"/>
              <w:jc w:val="center"/>
              <w:rPr>
                <w:rFonts w:ascii="Times New Roman"/>
                <w:sz w:val="20"/>
              </w:rPr>
            </w:pPr>
          </w:p>
        </w:tc>
      </w:tr>
    </w:tbl>
    <w:p>
      <w:pPr>
        <w:pStyle w:val="10"/>
        <w:kinsoku w:val="0"/>
        <w:overflowPunct w:val="0"/>
        <w:rPr>
          <w:rFonts w:ascii="宋体" w:hAnsi="宋体" w:eastAsia="宋体" w:cs="宋体"/>
          <w:sz w:val="23"/>
          <w:szCs w:val="24"/>
        </w:rPr>
      </w:pPr>
    </w:p>
    <w:p>
      <w:pPr>
        <w:pStyle w:val="6"/>
        <w:kinsoku w:val="0"/>
        <w:overflowPunct w:val="0"/>
        <w:spacing w:line="363" w:lineRule="exact"/>
        <w:ind w:left="217" w:right="175"/>
        <w:rPr>
          <w:rFonts w:hint="default" w:hAnsi="宋体" w:cs="宋体"/>
          <w:spacing w:val="-3"/>
          <w:sz w:val="21"/>
        </w:rPr>
      </w:pPr>
      <w:r>
        <w:rPr>
          <w:rFonts w:hAnsi="宋体" w:cs="宋体"/>
          <w:spacing w:val="-5"/>
          <w:sz w:val="21"/>
        </w:rPr>
        <w:t>注：后附营业执照（副本）、资质证书（副本）等扫描件</w:t>
      </w:r>
    </w:p>
    <w:p>
      <w:pPr>
        <w:pStyle w:val="6"/>
        <w:kinsoku w:val="0"/>
        <w:overflowPunct w:val="0"/>
        <w:spacing w:line="363" w:lineRule="exact"/>
        <w:ind w:left="217" w:right="175"/>
        <w:jc w:val="center"/>
        <w:rPr>
          <w:rFonts w:hint="default" w:hAnsi="宋体" w:cs="宋体"/>
          <w:spacing w:val="-3"/>
          <w:sz w:val="21"/>
        </w:rPr>
      </w:pPr>
    </w:p>
    <w:p>
      <w:pPr>
        <w:pStyle w:val="6"/>
        <w:pageBreakBefore/>
        <w:kinsoku w:val="0"/>
        <w:overflowPunct w:val="0"/>
        <w:spacing w:line="363" w:lineRule="exact"/>
        <w:ind w:left="215" w:right="176"/>
        <w:jc w:val="center"/>
        <w:rPr>
          <w:rFonts w:hint="default" w:hAnsi="宋体" w:cs="宋体"/>
        </w:rPr>
      </w:pPr>
      <w:r>
        <w:rPr>
          <w:rFonts w:hAnsi="宋体" w:cs="宋体"/>
        </w:rPr>
        <w:t>（二）近年财务状况表</w:t>
      </w:r>
    </w:p>
    <w:p>
      <w:pPr>
        <w:pStyle w:val="10"/>
        <w:kinsoku w:val="0"/>
        <w:overflowPunct w:val="0"/>
        <w:rPr>
          <w:rFonts w:ascii="宋体" w:hAnsi="宋体" w:eastAsia="宋体" w:cs="宋体"/>
          <w:sz w:val="28"/>
          <w:szCs w:val="24"/>
        </w:rPr>
      </w:pPr>
    </w:p>
    <w:p>
      <w:pPr>
        <w:pStyle w:val="10"/>
        <w:kinsoku w:val="0"/>
        <w:overflowPunct w:val="0"/>
        <w:ind w:left="500" w:right="175"/>
        <w:jc w:val="center"/>
        <w:rPr>
          <w:rFonts w:ascii="宋体" w:hAnsi="宋体" w:eastAsia="宋体" w:cs="宋体"/>
          <w:color w:val="000000" w:themeColor="text1"/>
          <w:sz w:val="21"/>
          <w:szCs w:val="24"/>
          <w14:textFill>
            <w14:solidFill>
              <w14:schemeClr w14:val="tx1"/>
            </w14:solidFill>
          </w14:textFill>
        </w:rPr>
      </w:pPr>
      <w:r>
        <w:rPr>
          <w:rFonts w:ascii="宋体" w:hAnsi="宋体" w:eastAsia="宋体" w:cs="宋体"/>
          <w:color w:val="000000" w:themeColor="text1"/>
          <w:sz w:val="21"/>
          <w:szCs w:val="24"/>
          <w14:textFill>
            <w14:solidFill>
              <w14:schemeClr w14:val="tx1"/>
            </w14:solidFill>
          </w14:textFill>
        </w:rPr>
        <w:t>（附经</w:t>
      </w:r>
      <w:r>
        <w:rPr>
          <w:rFonts w:hint="eastAsia" w:ascii="宋体" w:hAnsi="宋体" w:eastAsia="宋体" w:cs="宋体"/>
          <w:color w:val="000000" w:themeColor="text1"/>
          <w:sz w:val="21"/>
          <w:szCs w:val="24"/>
          <w14:textFill>
            <w14:solidFill>
              <w14:schemeClr w14:val="tx1"/>
            </w14:solidFill>
          </w14:textFill>
        </w:rPr>
        <w:t>审计</w:t>
      </w:r>
      <w:r>
        <w:rPr>
          <w:rFonts w:ascii="宋体" w:hAnsi="宋体" w:eastAsia="宋体" w:cs="宋体"/>
          <w:color w:val="000000" w:themeColor="text1"/>
          <w:sz w:val="21"/>
          <w:szCs w:val="24"/>
          <w14:textFill>
            <w14:solidFill>
              <w14:schemeClr w14:val="tx1"/>
            </w14:solidFill>
          </w14:textFill>
        </w:rPr>
        <w:t>的财务报告）</w:t>
      </w:r>
    </w:p>
    <w:p>
      <w:pPr>
        <w:pStyle w:val="10"/>
        <w:kinsoku w:val="0"/>
        <w:overflowPunct w:val="0"/>
        <w:ind w:left="500" w:right="175"/>
        <w:jc w:val="center"/>
        <w:rPr>
          <w:rFonts w:ascii="宋体" w:hAnsi="宋体" w:eastAsia="宋体" w:cs="宋体"/>
          <w:color w:val="000000" w:themeColor="text1"/>
          <w:sz w:val="21"/>
          <w:szCs w:val="24"/>
          <w14:textFill>
            <w14:solidFill>
              <w14:schemeClr w14:val="tx1"/>
            </w14:solidFill>
          </w14:textFill>
        </w:rPr>
      </w:pPr>
    </w:p>
    <w:p>
      <w:pPr>
        <w:pStyle w:val="10"/>
        <w:kinsoku w:val="0"/>
        <w:overflowPunct w:val="0"/>
        <w:ind w:left="500" w:right="175"/>
        <w:jc w:val="center"/>
        <w:rPr>
          <w:rFonts w:ascii="宋体" w:hAnsi="宋体" w:eastAsia="宋体" w:cs="宋体"/>
          <w:color w:val="000000" w:themeColor="text1"/>
          <w:sz w:val="21"/>
          <w:szCs w:val="24"/>
          <w14:textFill>
            <w14:solidFill>
              <w14:schemeClr w14:val="tx1"/>
            </w14:solidFill>
          </w14:textFill>
        </w:rPr>
      </w:pPr>
    </w:p>
    <w:p>
      <w:pPr>
        <w:pStyle w:val="6"/>
        <w:pageBreakBefore/>
        <w:kinsoku w:val="0"/>
        <w:overflowPunct w:val="0"/>
        <w:spacing w:line="363" w:lineRule="exact"/>
        <w:ind w:left="215" w:right="176"/>
        <w:jc w:val="center"/>
        <w:rPr>
          <w:rFonts w:hint="default" w:hAnsi="宋体" w:cs="宋体"/>
        </w:rPr>
      </w:pPr>
      <w:bookmarkStart w:id="814" w:name="bookmark187"/>
      <w:bookmarkEnd w:id="814"/>
      <w:r>
        <w:rPr>
          <w:rFonts w:hAnsi="宋体" w:cs="宋体"/>
        </w:rPr>
        <w:t>（三）近年完成的类似项目情况表</w:t>
      </w:r>
    </w:p>
    <w:tbl>
      <w:tblPr>
        <w:tblStyle w:val="26"/>
        <w:tblW w:w="0" w:type="auto"/>
        <w:tblInd w:w="156" w:type="dxa"/>
        <w:tblLayout w:type="fixed"/>
        <w:tblCellMar>
          <w:top w:w="0" w:type="dxa"/>
          <w:left w:w="0" w:type="dxa"/>
          <w:bottom w:w="0" w:type="dxa"/>
          <w:right w:w="0" w:type="dxa"/>
        </w:tblCellMar>
      </w:tblPr>
      <w:tblGrid>
        <w:gridCol w:w="2268"/>
        <w:gridCol w:w="5645"/>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项目名称</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项目所在地</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委托人名称</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委托人地址</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委托人电话</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合同价格</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监理服务期限</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监理内容</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总监理工程师</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项目描述</w:t>
            </w:r>
          </w:p>
        </w:tc>
        <w:tc>
          <w:tcPr>
            <w:tcW w:w="564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tcPr>
          <w:p>
            <w:pPr>
              <w:pStyle w:val="65"/>
              <w:kinsoku w:val="0"/>
              <w:overflowPunct w:val="0"/>
              <w:jc w:val="center"/>
              <w:rPr>
                <w:sz w:val="24"/>
                <w:szCs w:val="24"/>
              </w:rPr>
            </w:pPr>
            <w:r>
              <w:rPr>
                <w:rFonts w:hint="eastAsia"/>
                <w:szCs w:val="24"/>
              </w:rPr>
              <w:t>备注</w:t>
            </w:r>
          </w:p>
        </w:tc>
        <w:tc>
          <w:tcPr>
            <w:tcW w:w="5645"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cs="宋体"/>
                <w:sz w:val="24"/>
                <w:szCs w:val="24"/>
              </w:rPr>
            </w:pPr>
          </w:p>
        </w:tc>
      </w:tr>
    </w:tbl>
    <w:p>
      <w:pPr>
        <w:pStyle w:val="10"/>
        <w:kinsoku w:val="0"/>
        <w:overflowPunct w:val="0"/>
        <w:spacing w:before="6"/>
        <w:rPr>
          <w:rFonts w:ascii="宋体" w:hAnsi="宋体" w:eastAsia="宋体" w:cs="宋体"/>
          <w:sz w:val="5"/>
          <w:szCs w:val="24"/>
        </w:rPr>
      </w:pPr>
    </w:p>
    <w:p>
      <w:pPr>
        <w:pStyle w:val="6"/>
        <w:kinsoku w:val="0"/>
        <w:overflowPunct w:val="0"/>
        <w:spacing w:line="363" w:lineRule="exact"/>
        <w:rPr>
          <w:rFonts w:hint="default" w:hAnsi="宋体" w:cs="宋体"/>
          <w:sz w:val="21"/>
        </w:rPr>
      </w:pPr>
      <w:r>
        <w:rPr>
          <w:rFonts w:hAnsi="宋体" w:cs="宋体"/>
          <w:sz w:val="21"/>
        </w:rPr>
        <w:t>注：</w:t>
      </w:r>
      <w:bookmarkStart w:id="815" w:name="bookmark188"/>
      <w:bookmarkEnd w:id="815"/>
      <w:r>
        <w:rPr>
          <w:rFonts w:hAnsi="宋体" w:cs="宋体"/>
          <w:sz w:val="21"/>
        </w:rPr>
        <w:t>应附合同协议书具体时间要求见投标人须知前附表，每张表格只填写一个项目，并标明序号。</w:t>
      </w:r>
    </w:p>
    <w:p>
      <w:pPr>
        <w:pStyle w:val="6"/>
        <w:kinsoku w:val="0"/>
        <w:overflowPunct w:val="0"/>
        <w:spacing w:line="363" w:lineRule="exact"/>
        <w:rPr>
          <w:rFonts w:hint="default" w:hAnsi="宋体" w:cs="宋体"/>
          <w:sz w:val="21"/>
        </w:rPr>
      </w:pPr>
    </w:p>
    <w:p>
      <w:pPr>
        <w:pStyle w:val="6"/>
        <w:pageBreakBefore/>
        <w:kinsoku w:val="0"/>
        <w:overflowPunct w:val="0"/>
        <w:spacing w:line="363" w:lineRule="exact"/>
        <w:ind w:left="215" w:right="176"/>
        <w:jc w:val="center"/>
        <w:rPr>
          <w:rFonts w:hint="default" w:hAnsi="宋体" w:cs="宋体"/>
        </w:rPr>
      </w:pPr>
      <w:r>
        <w:rPr>
          <w:rFonts w:hAnsi="宋体" w:cs="宋体"/>
        </w:rPr>
        <w:t>（四）正在监理和新承接的项目情况表</w:t>
      </w:r>
    </w:p>
    <w:tbl>
      <w:tblPr>
        <w:tblStyle w:val="26"/>
        <w:tblW w:w="0" w:type="auto"/>
        <w:tblInd w:w="156" w:type="dxa"/>
        <w:tblLayout w:type="fixed"/>
        <w:tblCellMar>
          <w:top w:w="0" w:type="dxa"/>
          <w:left w:w="0" w:type="dxa"/>
          <w:bottom w:w="0" w:type="dxa"/>
          <w:right w:w="0" w:type="dxa"/>
        </w:tblCellMar>
      </w:tblPr>
      <w:tblGrid>
        <w:gridCol w:w="2268"/>
        <w:gridCol w:w="5630"/>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项目名称</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项目所在地</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委托人名称</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委托人地址</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委托人电话</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签约合同价</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监理服务期限</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监理内容</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总监理工程师</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 w:val="24"/>
                <w:szCs w:val="24"/>
              </w:rPr>
            </w:pPr>
            <w:r>
              <w:rPr>
                <w:rFonts w:hint="eastAsia"/>
                <w:szCs w:val="24"/>
              </w:rPr>
              <w:t>项目描述</w:t>
            </w:r>
          </w:p>
        </w:tc>
        <w:tc>
          <w:tcPr>
            <w:tcW w:w="563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tcPr>
          <w:p>
            <w:pPr>
              <w:pStyle w:val="65"/>
              <w:kinsoku w:val="0"/>
              <w:overflowPunct w:val="0"/>
              <w:jc w:val="center"/>
              <w:rPr>
                <w:sz w:val="17"/>
                <w:szCs w:val="24"/>
              </w:rPr>
            </w:pPr>
          </w:p>
          <w:p>
            <w:pPr>
              <w:pStyle w:val="65"/>
              <w:kinsoku w:val="0"/>
              <w:overflowPunct w:val="0"/>
              <w:jc w:val="center"/>
              <w:rPr>
                <w:sz w:val="24"/>
                <w:szCs w:val="24"/>
              </w:rPr>
            </w:pPr>
            <w:r>
              <w:rPr>
                <w:rFonts w:hint="eastAsia"/>
                <w:szCs w:val="24"/>
              </w:rPr>
              <w:t>备注</w:t>
            </w:r>
          </w:p>
        </w:tc>
        <w:tc>
          <w:tcPr>
            <w:tcW w:w="5630" w:type="dxa"/>
            <w:tcBorders>
              <w:top w:val="single" w:color="000000" w:sz="4" w:space="0"/>
              <w:left w:val="single" w:color="000000" w:sz="4" w:space="0"/>
              <w:bottom w:val="single" w:color="000000" w:sz="4" w:space="0"/>
              <w:right w:val="single" w:color="000000" w:sz="4" w:space="0"/>
              <w:tl2br w:val="nil"/>
              <w:tr2bl w:val="nil"/>
            </w:tcBorders>
          </w:tcPr>
          <w:p>
            <w:pPr>
              <w:jc w:val="center"/>
              <w:rPr>
                <w:rFonts w:ascii="宋体" w:hAnsi="宋体" w:cs="宋体"/>
                <w:sz w:val="24"/>
                <w:szCs w:val="24"/>
              </w:rPr>
            </w:pPr>
          </w:p>
        </w:tc>
      </w:tr>
    </w:tbl>
    <w:p>
      <w:pPr>
        <w:pStyle w:val="10"/>
        <w:kinsoku w:val="0"/>
        <w:overflowPunct w:val="0"/>
        <w:spacing w:before="6"/>
        <w:rPr>
          <w:rFonts w:ascii="宋体" w:hAnsi="宋体" w:eastAsia="宋体" w:cs="宋体"/>
          <w:sz w:val="5"/>
          <w:szCs w:val="24"/>
        </w:rPr>
      </w:pPr>
    </w:p>
    <w:p>
      <w:pPr>
        <w:pStyle w:val="10"/>
        <w:kinsoku w:val="0"/>
        <w:overflowPunct w:val="0"/>
        <w:spacing w:before="36"/>
        <w:ind w:left="100"/>
        <w:rPr>
          <w:rFonts w:ascii="宋体" w:hAnsi="宋体" w:eastAsia="宋体" w:cs="宋体"/>
          <w:sz w:val="21"/>
          <w:szCs w:val="24"/>
        </w:rPr>
      </w:pPr>
      <w:r>
        <w:rPr>
          <w:rFonts w:hint="eastAsia" w:ascii="宋体" w:hAnsi="宋体" w:eastAsia="宋体" w:cs="宋体"/>
          <w:sz w:val="21"/>
          <w:szCs w:val="24"/>
        </w:rPr>
        <w:t>注：“正在监理和新承接的项目情况表”应附合同协议书扫描件。每张表格只填写一个项目，并标明序号。</w:t>
      </w:r>
    </w:p>
    <w:p>
      <w:pPr>
        <w:pStyle w:val="10"/>
        <w:kinsoku w:val="0"/>
        <w:overflowPunct w:val="0"/>
        <w:spacing w:before="36"/>
        <w:ind w:left="100"/>
        <w:rPr>
          <w:rFonts w:ascii="宋体" w:hAnsi="宋体" w:eastAsia="宋体" w:cs="宋体"/>
          <w:sz w:val="21"/>
          <w:szCs w:val="24"/>
        </w:rPr>
      </w:pPr>
    </w:p>
    <w:p>
      <w:pPr>
        <w:pStyle w:val="6"/>
        <w:pageBreakBefore/>
        <w:kinsoku w:val="0"/>
        <w:overflowPunct w:val="0"/>
        <w:spacing w:line="363" w:lineRule="exact"/>
        <w:ind w:left="215" w:right="176"/>
        <w:jc w:val="center"/>
        <w:rPr>
          <w:rFonts w:hint="default" w:hAnsi="宋体" w:cs="宋体"/>
        </w:rPr>
      </w:pPr>
      <w:bookmarkStart w:id="816" w:name="bookmark189"/>
      <w:bookmarkEnd w:id="816"/>
      <w:bookmarkStart w:id="817" w:name="bookmark190"/>
      <w:bookmarkEnd w:id="817"/>
      <w:r>
        <w:rPr>
          <w:rFonts w:hAnsi="宋体" w:cs="宋体"/>
        </w:rPr>
        <w:t>（六）拟投入本项目的主要试验检测仪器设备表</w:t>
      </w:r>
    </w:p>
    <w:tbl>
      <w:tblPr>
        <w:tblStyle w:val="26"/>
        <w:tblW w:w="0" w:type="auto"/>
        <w:tblInd w:w="340" w:type="dxa"/>
        <w:tblLayout w:type="fixed"/>
        <w:tblCellMar>
          <w:top w:w="0" w:type="dxa"/>
          <w:left w:w="0" w:type="dxa"/>
          <w:bottom w:w="0" w:type="dxa"/>
          <w:right w:w="0" w:type="dxa"/>
        </w:tblCellMar>
      </w:tblPr>
      <w:tblGrid>
        <w:gridCol w:w="729"/>
        <w:gridCol w:w="1275"/>
        <w:gridCol w:w="936"/>
        <w:gridCol w:w="882"/>
        <w:gridCol w:w="714"/>
        <w:gridCol w:w="994"/>
        <w:gridCol w:w="1419"/>
        <w:gridCol w:w="1162"/>
      </w:tblGrid>
      <w:tr>
        <w:tblPrEx>
          <w:tblCellMar>
            <w:top w:w="0" w:type="dxa"/>
            <w:left w:w="0" w:type="dxa"/>
            <w:bottom w:w="0" w:type="dxa"/>
            <w:right w:w="0" w:type="dxa"/>
          </w:tblCellMar>
        </w:tblPrEx>
        <w:trPr>
          <w:trHeight w:val="941"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序号</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仪器设备名称</w:t>
            </w: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型号</w:t>
            </w:r>
            <w:r>
              <w:rPr>
                <w:rFonts w:hint="eastAsia"/>
                <w:spacing w:val="-103"/>
                <w:szCs w:val="21"/>
              </w:rPr>
              <w:t xml:space="preserve"> </w:t>
            </w:r>
            <w:r>
              <w:rPr>
                <w:rFonts w:hint="eastAsia"/>
                <w:szCs w:val="21"/>
              </w:rPr>
              <w:t>规格</w:t>
            </w: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数量</w:t>
            </w: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国别</w:t>
            </w:r>
            <w:r>
              <w:rPr>
                <w:rFonts w:hint="eastAsia"/>
                <w:spacing w:val="-103"/>
                <w:szCs w:val="21"/>
              </w:rPr>
              <w:t xml:space="preserve"> </w:t>
            </w:r>
            <w:r>
              <w:rPr>
                <w:rFonts w:hint="eastAsia"/>
                <w:szCs w:val="21"/>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制造</w:t>
            </w:r>
            <w:r>
              <w:rPr>
                <w:rFonts w:hint="eastAsia"/>
                <w:spacing w:val="-103"/>
                <w:szCs w:val="21"/>
              </w:rPr>
              <w:t xml:space="preserve"> </w:t>
            </w:r>
            <w:r>
              <w:rPr>
                <w:rFonts w:hint="eastAsia"/>
                <w:szCs w:val="21"/>
              </w:rPr>
              <w:t>年份</w:t>
            </w: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用途</w:t>
            </w: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5"/>
              <w:kinsoku w:val="0"/>
              <w:overflowPunct w:val="0"/>
              <w:jc w:val="center"/>
              <w:rPr>
                <w:szCs w:val="21"/>
              </w:rPr>
            </w:pPr>
            <w:r>
              <w:rPr>
                <w:rFonts w:hint="eastAsia"/>
                <w:szCs w:val="21"/>
              </w:rPr>
              <w:t>备注</w:t>
            </w: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58"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6"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5"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3"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r>
        <w:tblPrEx>
          <w:tblCellMar>
            <w:top w:w="0" w:type="dxa"/>
            <w:left w:w="0" w:type="dxa"/>
            <w:bottom w:w="0" w:type="dxa"/>
            <w:right w:w="0" w:type="dxa"/>
          </w:tblCellMar>
        </w:tblPrEx>
        <w:trPr>
          <w:trHeight w:val="478" w:hRule="exact"/>
        </w:trPr>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88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71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4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c>
          <w:tcPr>
            <w:tcW w:w="116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szCs w:val="21"/>
              </w:rPr>
            </w:pPr>
          </w:p>
        </w:tc>
      </w:tr>
    </w:tbl>
    <w:p>
      <w:pPr>
        <w:rPr>
          <w:rFonts w:ascii="宋体" w:hAnsi="宋体" w:cs="宋体"/>
          <w:sz w:val="24"/>
          <w:szCs w:val="24"/>
        </w:rPr>
      </w:pPr>
    </w:p>
    <w:p>
      <w:pPr>
        <w:rPr>
          <w:rFonts w:ascii="宋体" w:hAnsi="宋体" w:cs="宋体"/>
          <w:sz w:val="24"/>
          <w:szCs w:val="24"/>
        </w:rPr>
      </w:pPr>
    </w:p>
    <w:p>
      <w:pPr>
        <w:pStyle w:val="64"/>
        <w:pageBreakBefore/>
        <w:jc w:val="center"/>
        <w:rPr>
          <w:rFonts w:ascii="宋体" w:cs="宋体"/>
          <w:color w:val="000000" w:themeColor="text1"/>
          <w:sz w:val="32"/>
          <w14:textFill>
            <w14:solidFill>
              <w14:schemeClr w14:val="tx1"/>
            </w14:solidFill>
          </w14:textFill>
        </w:rPr>
      </w:pPr>
      <w:bookmarkStart w:id="818" w:name="bookmark194"/>
      <w:bookmarkEnd w:id="818"/>
      <w:bookmarkStart w:id="819" w:name="bookmark193"/>
      <w:bookmarkEnd w:id="819"/>
      <w:bookmarkStart w:id="820" w:name="_Toc25425"/>
      <w:bookmarkStart w:id="821" w:name="_Toc20563"/>
      <w:bookmarkStart w:id="822" w:name="_Toc6720"/>
      <w:r>
        <w:rPr>
          <w:rFonts w:hint="eastAsia" w:ascii="宋体" w:cs="宋体"/>
          <w:color w:val="000000" w:themeColor="text1"/>
          <w:sz w:val="32"/>
          <w14:textFill>
            <w14:solidFill>
              <w14:schemeClr w14:val="tx1"/>
            </w14:solidFill>
          </w14:textFill>
        </w:rPr>
        <w:t>八、其他资料</w:t>
      </w:r>
      <w:bookmarkEnd w:id="820"/>
      <w:bookmarkEnd w:id="821"/>
      <w:bookmarkEnd w:id="822"/>
    </w:p>
    <w:p>
      <w:pPr>
        <w:spacing w:line="360" w:lineRule="auto"/>
        <w:rPr>
          <w:rFonts w:ascii="宋体" w:hAnsi="宋体" w:cs="宋体"/>
          <w:sz w:val="30"/>
        </w:rPr>
      </w:pPr>
      <w:r>
        <w:rPr>
          <w:rFonts w:hint="eastAsia" w:ascii="宋体" w:hAnsi="宋体" w:cs="宋体"/>
          <w:sz w:val="30"/>
        </w:rPr>
        <w:t>（一）反商业贿赂承诺书</w:t>
      </w:r>
    </w:p>
    <w:p>
      <w:pPr>
        <w:spacing w:line="360" w:lineRule="auto"/>
        <w:jc w:val="center"/>
        <w:rPr>
          <w:rFonts w:ascii="宋体" w:hAnsi="宋体" w:cs="宋体"/>
          <w:b/>
          <w:sz w:val="32"/>
        </w:rPr>
      </w:pPr>
      <w:r>
        <w:rPr>
          <w:rFonts w:hint="eastAsia" w:ascii="宋体" w:hAnsi="宋体" w:cs="宋体"/>
          <w:b/>
          <w:sz w:val="32"/>
        </w:rPr>
        <w:t>反商业贿赂承诺书</w:t>
      </w:r>
    </w:p>
    <w:p>
      <w:pPr>
        <w:spacing w:line="360" w:lineRule="auto"/>
        <w:rPr>
          <w:rFonts w:ascii="宋体" w:hAnsi="宋体" w:cs="宋体"/>
          <w:b/>
        </w:rPr>
      </w:pPr>
      <w:r>
        <w:rPr>
          <w:rFonts w:hint="eastAsia" w:ascii="宋体" w:hAnsi="宋体" w:cs="宋体"/>
          <w:b/>
        </w:rPr>
        <w:t>我公司承诺：</w:t>
      </w:r>
    </w:p>
    <w:p>
      <w:pPr>
        <w:spacing w:line="360" w:lineRule="auto"/>
        <w:ind w:firstLine="315" w:firstLineChars="150"/>
        <w:rPr>
          <w:rFonts w:ascii="宋体" w:hAnsi="宋体" w:cs="宋体"/>
        </w:rPr>
      </w:pPr>
      <w:r>
        <w:rPr>
          <w:rFonts w:hint="eastAsia" w:ascii="宋体" w:hAnsi="宋体" w:cs="宋体"/>
        </w:rPr>
        <w:t>在</w:t>
      </w:r>
      <w:r>
        <w:rPr>
          <w:rFonts w:hint="eastAsia" w:ascii="宋体" w:hAnsi="宋体" w:cs="宋体"/>
          <w:u w:val="single"/>
        </w:rPr>
        <w:t xml:space="preserve">                      （项目名称） </w:t>
      </w:r>
      <w:r>
        <w:rPr>
          <w:rFonts w:hint="eastAsia" w:ascii="宋体" w:hAnsi="宋体" w:cs="宋体"/>
        </w:rPr>
        <w:t>招标活动中，我公司保证做到：</w:t>
      </w:r>
    </w:p>
    <w:p>
      <w:pPr>
        <w:spacing w:line="360" w:lineRule="auto"/>
        <w:ind w:firstLine="315" w:firstLineChars="150"/>
        <w:rPr>
          <w:rFonts w:ascii="宋体" w:hAnsi="宋体" w:cs="宋体"/>
        </w:rPr>
      </w:pPr>
      <w:r>
        <w:rPr>
          <w:rFonts w:hint="eastAsia" w:ascii="宋体" w:hAnsi="宋体" w:cs="宋体"/>
        </w:rPr>
        <w:t>一、公平竞争参加本次招标活动。</w:t>
      </w:r>
    </w:p>
    <w:p>
      <w:pPr>
        <w:spacing w:line="360" w:lineRule="auto"/>
        <w:ind w:firstLine="315" w:firstLineChars="150"/>
        <w:rPr>
          <w:rFonts w:ascii="宋体" w:hAnsi="宋体" w:cs="宋体"/>
        </w:rPr>
      </w:pPr>
      <w:r>
        <w:rPr>
          <w:rFonts w:hint="eastAsia" w:ascii="宋体" w:hAnsi="宋体" w:cs="宋体"/>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spacing w:line="360" w:lineRule="auto"/>
        <w:ind w:firstLine="315" w:firstLineChars="150"/>
        <w:rPr>
          <w:rFonts w:ascii="宋体" w:hAnsi="宋体" w:cs="宋体"/>
        </w:rPr>
      </w:pPr>
      <w:r>
        <w:rPr>
          <w:rFonts w:hint="eastAsia" w:ascii="宋体" w:hAnsi="宋体" w:cs="宋体"/>
        </w:rPr>
        <w:t>三、若出现上述行为，我公司及参与投标的工作人员愿意接受按照国家法律法规等有关规定给予的处罚。</w:t>
      </w:r>
    </w:p>
    <w:p>
      <w:pPr>
        <w:spacing w:line="360" w:lineRule="auto"/>
        <w:ind w:firstLine="5565" w:firstLineChars="2650"/>
        <w:rPr>
          <w:rFonts w:ascii="宋体" w:hAnsi="宋体" w:cs="宋体"/>
          <w:u w:val="single"/>
        </w:rPr>
      </w:pPr>
      <w:r>
        <w:rPr>
          <w:rFonts w:hint="eastAsia" w:ascii="宋体" w:hAnsi="宋体" w:cs="宋体"/>
        </w:rPr>
        <w:t>投标单位:(盖章)</w:t>
      </w:r>
      <w:r>
        <w:rPr>
          <w:rFonts w:hint="eastAsia" w:ascii="宋体" w:hAnsi="宋体" w:cs="宋体"/>
          <w:u w:val="single"/>
        </w:rPr>
        <w:t xml:space="preserve">               </w:t>
      </w:r>
    </w:p>
    <w:p>
      <w:pPr>
        <w:spacing w:line="360" w:lineRule="auto"/>
        <w:ind w:firstLine="5565" w:firstLineChars="2650"/>
        <w:rPr>
          <w:rFonts w:ascii="宋体" w:hAnsi="宋体" w:cs="宋体"/>
        </w:rPr>
      </w:pPr>
      <w:r>
        <w:rPr>
          <w:rFonts w:hint="eastAsia" w:ascii="宋体" w:hAnsi="宋体" w:cs="宋体"/>
        </w:rPr>
        <w:t xml:space="preserve">公司法人代表（签字）：         </w:t>
      </w:r>
    </w:p>
    <w:p>
      <w:pPr>
        <w:spacing w:line="360" w:lineRule="auto"/>
        <w:ind w:firstLine="5565" w:firstLineChars="2650"/>
        <w:rPr>
          <w:rFonts w:ascii="宋体" w:hAnsi="宋体" w:cs="宋体"/>
        </w:rPr>
      </w:pPr>
      <w:r>
        <w:rPr>
          <w:rFonts w:hint="eastAsia" w:ascii="宋体" w:hAnsi="宋体" w:cs="宋体"/>
        </w:rPr>
        <w:t>法人授权代表（签字）：</w:t>
      </w:r>
    </w:p>
    <w:p>
      <w:pPr>
        <w:spacing w:line="360" w:lineRule="auto"/>
        <w:ind w:firstLine="5460" w:firstLineChars="2600"/>
        <w:rPr>
          <w:rFonts w:ascii="宋体" w:hAnsi="宋体" w:cs="宋体"/>
        </w:rPr>
      </w:pPr>
    </w:p>
    <w:p>
      <w:pPr>
        <w:spacing w:line="360" w:lineRule="auto"/>
        <w:ind w:firstLine="6300" w:firstLineChars="3000"/>
        <w:rPr>
          <w:rFonts w:ascii="宋体" w:hAnsi="宋体" w:cs="宋体"/>
        </w:rPr>
      </w:pPr>
      <w:r>
        <w:rPr>
          <w:rFonts w:hint="eastAsia" w:ascii="宋体" w:hAnsi="宋体" w:cs="宋体"/>
        </w:rPr>
        <w:t>年   月   日</w:t>
      </w:r>
    </w:p>
    <w:p>
      <w:pPr>
        <w:spacing w:line="360" w:lineRule="auto"/>
        <w:rPr>
          <w:rFonts w:ascii="宋体" w:hAnsi="宋体" w:cs="宋体"/>
          <w:sz w:val="30"/>
        </w:rPr>
      </w:pPr>
    </w:p>
    <w:p>
      <w:pPr>
        <w:spacing w:line="360" w:lineRule="auto"/>
        <w:rPr>
          <w:rFonts w:ascii="宋体" w:hAnsi="宋体" w:cs="宋体"/>
          <w:sz w:val="30"/>
        </w:rPr>
      </w:pPr>
    </w:p>
    <w:p>
      <w:pPr>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cs="宋体"/>
          <w:sz w:val="30"/>
        </w:rPr>
      </w:pPr>
      <w:r>
        <w:rPr>
          <w:rFonts w:hint="eastAsia" w:ascii="宋体" w:hAnsi="宋体" w:cs="宋体"/>
          <w:sz w:val="30"/>
        </w:rPr>
        <w:t>（二）全省房屋建筑和市政基础设施工程项目招标投标活动承诺书</w:t>
      </w:r>
    </w:p>
    <w:p>
      <w:pPr>
        <w:spacing w:line="360" w:lineRule="auto"/>
        <w:jc w:val="center"/>
        <w:rPr>
          <w:rStyle w:val="29"/>
          <w:rFonts w:hint="eastAsia" w:ascii="宋体" w:hAnsi="宋体" w:cs="宋体"/>
          <w:color w:val="auto"/>
          <w:sz w:val="24"/>
          <w:szCs w:val="44"/>
          <w:highlight w:val="none"/>
          <w:lang w:eastAsia="zh-CN"/>
        </w:rPr>
      </w:pPr>
      <w:r>
        <w:rPr>
          <w:rStyle w:val="29"/>
          <w:rFonts w:hint="eastAsia" w:ascii="宋体" w:hAnsi="宋体" w:cs="宋体"/>
          <w:color w:val="auto"/>
          <w:sz w:val="24"/>
          <w:szCs w:val="44"/>
          <w:highlight w:val="none"/>
          <w:lang w:eastAsia="zh-CN"/>
        </w:rPr>
        <w:t>全省房屋建筑和市政基础设施工程项目</w:t>
      </w:r>
    </w:p>
    <w:p>
      <w:pPr>
        <w:spacing w:line="360" w:lineRule="auto"/>
        <w:jc w:val="center"/>
        <w:rPr>
          <w:rStyle w:val="29"/>
          <w:rFonts w:hint="eastAsia" w:ascii="宋体" w:hAnsi="宋体" w:cs="宋体"/>
          <w:color w:val="auto"/>
          <w:sz w:val="24"/>
          <w:szCs w:val="44"/>
          <w:highlight w:val="none"/>
          <w:lang w:eastAsia="zh-CN"/>
        </w:rPr>
      </w:pPr>
      <w:r>
        <w:rPr>
          <w:rStyle w:val="29"/>
          <w:rFonts w:hint="eastAsia" w:ascii="宋体" w:hAnsi="宋体" w:cs="宋体"/>
          <w:color w:val="auto"/>
          <w:sz w:val="24"/>
          <w:szCs w:val="44"/>
          <w:highlight w:val="none"/>
          <w:lang w:eastAsia="zh-CN"/>
        </w:rPr>
        <w:t>招标投标活动承诺书</w:t>
      </w:r>
    </w:p>
    <w:p>
      <w:pPr>
        <w:jc w:val="center"/>
        <w:rPr>
          <w:rFonts w:eastAsia="方正小标宋简体"/>
          <w:color w:val="auto"/>
          <w:sz w:val="44"/>
          <w:szCs w:val="44"/>
          <w:highlight w:val="none"/>
        </w:rPr>
      </w:pPr>
    </w:p>
    <w:p>
      <w:pPr>
        <w:spacing w:line="580" w:lineRule="exact"/>
        <w:ind w:firstLine="621" w:firstLineChars="296"/>
        <w:rPr>
          <w:rFonts w:hint="eastAsia" w:ascii="宋体" w:hAnsi="宋体" w:cs="宋体"/>
          <w:color w:val="auto"/>
          <w:szCs w:val="21"/>
          <w:highlight w:val="none"/>
        </w:rPr>
      </w:pPr>
      <w:r>
        <w:rPr>
          <w:rFonts w:hint="eastAsia" w:ascii="宋体" w:hAnsi="宋体" w:cs="宋体"/>
          <w:color w:val="auto"/>
          <w:szCs w:val="21"/>
          <w:highlight w:val="none"/>
        </w:rPr>
        <w:t>我承诺，在</w:t>
      </w:r>
      <w:r>
        <w:rPr>
          <w:rFonts w:hint="eastAsia" w:ascii="宋体" w:hAnsi="宋体" w:cs="宋体"/>
          <w:color w:val="auto"/>
          <w:szCs w:val="21"/>
          <w:highlight w:val="none"/>
          <w:u w:val="single"/>
        </w:rPr>
        <w:t>焦作市解放区汽车智慧科技产业园项目监理</w:t>
      </w:r>
      <w:r>
        <w:rPr>
          <w:rFonts w:hint="eastAsia" w:ascii="宋体" w:hAnsi="宋体" w:cs="宋体"/>
          <w:color w:val="auto"/>
          <w:szCs w:val="21"/>
          <w:highlight w:val="none"/>
        </w:rPr>
        <w:t>招投标活动中，自觉遵守《中华人民共和国招标投标法》、《中华人民共和国招标投标法实施条例》、河南省实施《中华人民共和国招标投标法》办法等招标投标相关法律、法规和制度规定，如有违反，愿承担相关法律责任。</w:t>
      </w:r>
    </w:p>
    <w:p>
      <w:pPr>
        <w:rPr>
          <w:rFonts w:hint="eastAsia" w:ascii="宋体" w:hAnsi="宋体" w:cs="宋体"/>
          <w:color w:val="auto"/>
          <w:szCs w:val="21"/>
          <w:highlight w:val="none"/>
        </w:rPr>
      </w:pPr>
    </w:p>
    <w:p>
      <w:pPr>
        <w:ind w:firstLine="3150" w:firstLineChars="1500"/>
        <w:rPr>
          <w:rFonts w:hint="eastAsia" w:ascii="宋体" w:hAnsi="宋体" w:cs="宋体"/>
          <w:color w:val="auto"/>
          <w:szCs w:val="21"/>
          <w:highlight w:val="none"/>
        </w:rPr>
      </w:pPr>
    </w:p>
    <w:p>
      <w:pPr>
        <w:ind w:firstLine="3150" w:firstLineChars="1500"/>
        <w:rPr>
          <w:rFonts w:hint="eastAsia" w:ascii="宋体" w:hAnsi="宋体" w:cs="宋体"/>
          <w:color w:val="auto"/>
          <w:szCs w:val="21"/>
          <w:highlight w:val="none"/>
        </w:rPr>
      </w:pPr>
    </w:p>
    <w:p>
      <w:pPr>
        <w:ind w:firstLine="3150" w:firstLineChars="1500"/>
        <w:rPr>
          <w:rFonts w:hint="eastAsia" w:ascii="宋体" w:hAnsi="宋体" w:cs="宋体"/>
          <w:color w:val="auto"/>
          <w:szCs w:val="21"/>
          <w:highlight w:val="none"/>
          <w:u w:val="single"/>
        </w:rPr>
      </w:pPr>
      <w:r>
        <w:rPr>
          <w:rFonts w:hint="eastAsia" w:ascii="宋体" w:hAnsi="宋体" w:cs="宋体"/>
          <w:color w:val="auto"/>
          <w:szCs w:val="21"/>
          <w:highlight w:val="none"/>
        </w:rPr>
        <w:t>承诺人（</w:t>
      </w:r>
      <w:r>
        <w:rPr>
          <w:rFonts w:hint="eastAsia" w:ascii="宋体" w:hAnsi="宋体"/>
          <w:color w:val="auto"/>
          <w:szCs w:val="21"/>
          <w:highlight w:val="none"/>
        </w:rPr>
        <w:t>法定代表人</w:t>
      </w:r>
      <w:r>
        <w:rPr>
          <w:rFonts w:hint="eastAsia" w:ascii="宋体" w:hAnsi="宋体" w:cs="宋体"/>
          <w:color w:val="auto"/>
          <w:szCs w:val="21"/>
          <w:highlight w:val="none"/>
        </w:rPr>
        <w:t>或委托代理人）（签字）：</w:t>
      </w:r>
      <w:r>
        <w:rPr>
          <w:rFonts w:hint="eastAsia" w:ascii="宋体" w:hAnsi="宋体" w:cs="宋体"/>
          <w:color w:val="auto"/>
          <w:szCs w:val="21"/>
          <w:highlight w:val="none"/>
          <w:u w:val="single"/>
        </w:rPr>
        <w:t xml:space="preserve">              </w:t>
      </w:r>
    </w:p>
    <w:p>
      <w:pPr>
        <w:ind w:firstLine="2100" w:firstLineChars="1000"/>
        <w:rPr>
          <w:rFonts w:hint="eastAsia" w:ascii="宋体" w:hAnsi="宋体" w:cs="宋体"/>
          <w:color w:val="auto"/>
          <w:szCs w:val="21"/>
          <w:highlight w:val="none"/>
        </w:rPr>
      </w:pPr>
    </w:p>
    <w:p>
      <w:pPr>
        <w:ind w:firstLine="5670" w:firstLineChars="2700"/>
        <w:rPr>
          <w:rFonts w:hint="eastAsia" w:ascii="宋体" w:hAnsi="宋体" w:cs="宋体"/>
          <w:color w:val="auto"/>
          <w:szCs w:val="21"/>
          <w:highlight w:val="none"/>
          <w:u w:val="single"/>
        </w:rPr>
      </w:pPr>
      <w:r>
        <w:rPr>
          <w:rFonts w:hint="eastAsia" w:ascii="宋体" w:hAnsi="宋体" w:cs="宋体"/>
          <w:color w:val="auto"/>
          <w:szCs w:val="21"/>
          <w:highlight w:val="none"/>
        </w:rPr>
        <w:t>联   系   电   话 ：</w:t>
      </w:r>
      <w:r>
        <w:rPr>
          <w:rFonts w:hint="eastAsia" w:ascii="宋体" w:hAnsi="宋体" w:cs="宋体"/>
          <w:color w:val="auto"/>
          <w:szCs w:val="21"/>
          <w:highlight w:val="none"/>
          <w:u w:val="single"/>
        </w:rPr>
        <w:t xml:space="preserve">              </w:t>
      </w:r>
    </w:p>
    <w:p>
      <w:pPr>
        <w:spacing w:line="240" w:lineRule="exact"/>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p>
    <w:p>
      <w:pPr>
        <w:ind w:firstLine="4725" w:firstLineChars="2250"/>
        <w:rPr>
          <w:rFonts w:hint="eastAsia" w:ascii="宋体" w:hAnsi="宋体" w:cs="宋体"/>
          <w:color w:val="auto"/>
          <w:szCs w:val="21"/>
          <w:highlight w:val="none"/>
        </w:rPr>
      </w:pPr>
      <w:r>
        <w:rPr>
          <w:rFonts w:hint="eastAsia" w:ascii="宋体" w:hAnsi="宋体" w:cs="宋体"/>
          <w:color w:val="auto"/>
          <w:szCs w:val="21"/>
          <w:highlight w:val="none"/>
        </w:rPr>
        <w:t xml:space="preserve"> 承诺人（盖章）</w:t>
      </w:r>
    </w:p>
    <w:p>
      <w:pP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ind w:firstLine="4830" w:firstLineChars="2300"/>
        <w:rPr>
          <w:rFonts w:hint="eastAsia"/>
          <w:color w:val="auto"/>
          <w:highlight w:val="none"/>
        </w:rPr>
      </w:pPr>
      <w:r>
        <w:rPr>
          <w:rFonts w:hint="eastAsia" w:ascii="宋体" w:hAnsi="宋体" w:cs="宋体"/>
          <w:color w:val="auto"/>
          <w:szCs w:val="21"/>
          <w:highlight w:val="none"/>
        </w:rPr>
        <w:t xml:space="preserve">年   月   日     </w:t>
      </w: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pStyle w:val="24"/>
        <w:ind w:firstLine="300"/>
        <w:rPr>
          <w:rFonts w:ascii="宋体" w:hAnsi="宋体" w:eastAsia="宋体" w:cs="宋体"/>
          <w:sz w:val="30"/>
        </w:rPr>
      </w:pPr>
    </w:p>
    <w:p>
      <w:pPr>
        <w:pStyle w:val="25"/>
        <w:rPr>
          <w:rFonts w:ascii="宋体" w:hAnsi="宋体" w:cs="宋体"/>
        </w:rPr>
      </w:pPr>
    </w:p>
    <w:p>
      <w:pPr>
        <w:spacing w:line="360" w:lineRule="auto"/>
        <w:rPr>
          <w:rFonts w:ascii="宋体" w:hAnsi="宋体" w:cs="宋体"/>
          <w:sz w:val="30"/>
        </w:rPr>
      </w:pPr>
    </w:p>
    <w:p>
      <w:pPr>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cs="宋体"/>
          <w:sz w:val="30"/>
        </w:rPr>
      </w:pPr>
      <w:r>
        <w:rPr>
          <w:rFonts w:hint="eastAsia" w:ascii="宋体" w:hAnsi="宋体" w:cs="宋体"/>
          <w:sz w:val="30"/>
        </w:rPr>
        <w:t>（</w:t>
      </w:r>
      <w:r>
        <w:rPr>
          <w:rFonts w:hint="eastAsia" w:ascii="宋体" w:hAnsi="宋体" w:cs="宋体"/>
          <w:sz w:val="30"/>
          <w:lang w:eastAsia="zh-CN"/>
        </w:rPr>
        <w:t>三</w:t>
      </w:r>
      <w:r>
        <w:rPr>
          <w:rFonts w:hint="eastAsia" w:ascii="宋体" w:hAnsi="宋体" w:cs="宋体"/>
          <w:sz w:val="30"/>
        </w:rPr>
        <w:t>）近年发生的诉讼及仲裁情况表</w:t>
      </w: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30"/>
        </w:rPr>
      </w:pPr>
      <w:r>
        <w:rPr>
          <w:rFonts w:hint="eastAsia" w:ascii="宋体" w:hAnsi="宋体" w:cs="宋体"/>
          <w:sz w:val="30"/>
        </w:rPr>
        <w:t>（</w:t>
      </w:r>
      <w:r>
        <w:rPr>
          <w:rFonts w:hint="eastAsia" w:ascii="宋体" w:hAnsi="宋体" w:cs="宋体"/>
          <w:sz w:val="30"/>
          <w:lang w:eastAsia="zh-CN"/>
        </w:rPr>
        <w:t>四</w:t>
      </w:r>
      <w:r>
        <w:rPr>
          <w:rFonts w:hint="eastAsia" w:ascii="宋体" w:hAnsi="宋体" w:cs="宋体"/>
          <w:sz w:val="30"/>
        </w:rPr>
        <w:t>）投标人认为应附的其它材料</w:t>
      </w:r>
    </w:p>
    <w:p>
      <w:pPr>
        <w:rPr>
          <w:rFonts w:ascii="宋体" w:hAnsi="宋体" w:cs="宋体"/>
        </w:rPr>
      </w:pPr>
    </w:p>
    <w:p>
      <w:pPr>
        <w:rPr>
          <w:rFonts w:ascii="宋体" w:hAnsi="宋体" w:cs="宋体"/>
        </w:rPr>
      </w:pPr>
    </w:p>
    <w:p>
      <w:pPr>
        <w:rPr>
          <w:rFonts w:ascii="宋体" w:hAnsi="宋体" w:cs="宋体"/>
        </w:rPr>
      </w:pPr>
    </w:p>
    <w:sectPr>
      <w:headerReference r:id="rId4" w:type="first"/>
      <w:footerReference r:id="rId7" w:type="first"/>
      <w:headerReference r:id="rId3" w:type="default"/>
      <w:footerReference r:id="rId5" w:type="default"/>
      <w:footerReference r:id="rId6" w:type="even"/>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820"/>
        <w:tab w:val="clear"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Align="top"/>
    </w:pPr>
    <w:r>
      <w:fldChar w:fldCharType="begin"/>
    </w:r>
    <w:r>
      <w:instrText xml:space="preserve"> PAGE  </w:instrText>
    </w:r>
    <w:r>
      <w:fldChar w:fldCharType="end"/>
    </w:r>
  </w:p>
  <w:p>
    <w:pPr>
      <w:pStyle w:val="17"/>
      <w:tabs>
        <w:tab w:val="right" w:pos="9040"/>
        <w:tab w:val="clear" w:pos="4153"/>
        <w:tab w:val="clear" w:pos="8306"/>
      </w:tabs>
      <w:ind w:right="360"/>
    </w:pPr>
    <w:r>
      <w:rPr>
        <w:rFonts w:hint="eastAsia"/>
      </w:rPr>
      <w:t>中兴豫建设管理有限公司</w:t>
    </w:r>
    <w:r>
      <w:t xml:space="preserve">                                                                             95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rPr>
    </w:pPr>
  </w:p>
  <w:p>
    <w:pPr>
      <w:pStyle w:val="18"/>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hAnsi="宋体"/>
        <w:kern w:val="0"/>
      </w:rPr>
      <w:t>郑州市贾鲁河截污工程</w:t>
    </w:r>
    <w:r>
      <w:rPr>
        <w:rFonts w:ascii="宋体"/>
        <w:kern w:val="0"/>
      </w:rPr>
      <w:t>-</w:t>
    </w:r>
    <w:r>
      <w:rPr>
        <w:rFonts w:hint="eastAsia" w:ascii="宋体" w:hAnsi="宋体"/>
        <w:kern w:val="0"/>
      </w:rPr>
      <w:t>穿越铁路部分</w:t>
    </w:r>
    <w:r>
      <w:rPr>
        <w:rFonts w:ascii="宋体" w:hAnsi="宋体"/>
        <w:kern w:val="0"/>
      </w:rPr>
      <w:t>EPC</w:t>
    </w:r>
    <w:r>
      <w:rPr>
        <w:rFonts w:hint="eastAsia" w:ascii="宋体" w:hAnsi="宋体"/>
        <w:kern w:val="0"/>
      </w:rPr>
      <w:t>（勘察、设计、施工）总承包项目</w:t>
    </w:r>
    <w:r>
      <w:rPr>
        <w:rFonts w:ascii="宋体" w:hAnsi="宋体"/>
        <w:kern w:val="0"/>
      </w:rPr>
      <w:t xml:space="preserve">                           </w:t>
    </w:r>
    <w:r>
      <w:rPr>
        <w:rFonts w:hint="eastAsia" w:ascii="宋体" w:hAnsi="宋体"/>
        <w:kern w:val="0"/>
      </w:rPr>
      <w:t>招标文件</w:t>
    </w:r>
    <w:r>
      <w:rPr>
        <w:rFonts w:ascii="宋体" w:hAnsi="宋体"/>
        <w:kern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8"/>
      <w:numFmt w:val="decimal"/>
      <w:suff w:val="space"/>
      <w:lvlText w:val="%1."/>
      <w:lvlJc w:val="left"/>
      <w:rPr>
        <w:rFonts w:cs="Times New Roman"/>
      </w:rPr>
    </w:lvl>
  </w:abstractNum>
  <w:abstractNum w:abstractNumId="1">
    <w:nsid w:val="59B15948"/>
    <w:multiLevelType w:val="singleLevel"/>
    <w:tmpl w:val="59B159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5ZDJiMmNlZWJiZWYxNzg1NzNmYmQyYzU0ZTU0MjcifQ=="/>
  </w:docVars>
  <w:rsids>
    <w:rsidRoot w:val="00FB2530"/>
    <w:rsid w:val="00024BEA"/>
    <w:rsid w:val="0003409E"/>
    <w:rsid w:val="00051A7E"/>
    <w:rsid w:val="0006669B"/>
    <w:rsid w:val="00074FB5"/>
    <w:rsid w:val="000B20BA"/>
    <w:rsid w:val="000C68C9"/>
    <w:rsid w:val="000D7BDA"/>
    <w:rsid w:val="00117EF3"/>
    <w:rsid w:val="00123DA3"/>
    <w:rsid w:val="001741C7"/>
    <w:rsid w:val="00180988"/>
    <w:rsid w:val="001815FE"/>
    <w:rsid w:val="002018D7"/>
    <w:rsid w:val="00237020"/>
    <w:rsid w:val="00274AB6"/>
    <w:rsid w:val="00275EC0"/>
    <w:rsid w:val="00286920"/>
    <w:rsid w:val="0029217C"/>
    <w:rsid w:val="002B2C16"/>
    <w:rsid w:val="002C7869"/>
    <w:rsid w:val="002D2A47"/>
    <w:rsid w:val="002D2CC4"/>
    <w:rsid w:val="0031690D"/>
    <w:rsid w:val="003250FD"/>
    <w:rsid w:val="003503C7"/>
    <w:rsid w:val="0037609A"/>
    <w:rsid w:val="00386449"/>
    <w:rsid w:val="003A3F9B"/>
    <w:rsid w:val="003B0AF3"/>
    <w:rsid w:val="003E1BD9"/>
    <w:rsid w:val="003F42F7"/>
    <w:rsid w:val="004044AF"/>
    <w:rsid w:val="00425523"/>
    <w:rsid w:val="00466989"/>
    <w:rsid w:val="00476068"/>
    <w:rsid w:val="004A75D8"/>
    <w:rsid w:val="004A7B00"/>
    <w:rsid w:val="004C0422"/>
    <w:rsid w:val="004C333F"/>
    <w:rsid w:val="004D7808"/>
    <w:rsid w:val="004E4A3D"/>
    <w:rsid w:val="004F7E36"/>
    <w:rsid w:val="0050706F"/>
    <w:rsid w:val="0052518E"/>
    <w:rsid w:val="00576B11"/>
    <w:rsid w:val="00590D96"/>
    <w:rsid w:val="005B4EE2"/>
    <w:rsid w:val="00603B58"/>
    <w:rsid w:val="0060678E"/>
    <w:rsid w:val="0061087F"/>
    <w:rsid w:val="0061252A"/>
    <w:rsid w:val="00622019"/>
    <w:rsid w:val="00697CA1"/>
    <w:rsid w:val="006B0B93"/>
    <w:rsid w:val="006B1184"/>
    <w:rsid w:val="006C0A37"/>
    <w:rsid w:val="006E4739"/>
    <w:rsid w:val="00701315"/>
    <w:rsid w:val="00762567"/>
    <w:rsid w:val="0076589C"/>
    <w:rsid w:val="00796250"/>
    <w:rsid w:val="007A7C76"/>
    <w:rsid w:val="007B4159"/>
    <w:rsid w:val="007D3310"/>
    <w:rsid w:val="007E4E24"/>
    <w:rsid w:val="008126F1"/>
    <w:rsid w:val="00822250"/>
    <w:rsid w:val="008447E6"/>
    <w:rsid w:val="00844EBA"/>
    <w:rsid w:val="008B0EBE"/>
    <w:rsid w:val="008C367D"/>
    <w:rsid w:val="008D4EF1"/>
    <w:rsid w:val="00904D0F"/>
    <w:rsid w:val="00911A40"/>
    <w:rsid w:val="0091343C"/>
    <w:rsid w:val="00947D06"/>
    <w:rsid w:val="009556D7"/>
    <w:rsid w:val="009B5837"/>
    <w:rsid w:val="009D016F"/>
    <w:rsid w:val="009F43BE"/>
    <w:rsid w:val="00A0430B"/>
    <w:rsid w:val="00A11F8A"/>
    <w:rsid w:val="00A42641"/>
    <w:rsid w:val="00A70AD7"/>
    <w:rsid w:val="00A95AB0"/>
    <w:rsid w:val="00AA2E8C"/>
    <w:rsid w:val="00AC0E4E"/>
    <w:rsid w:val="00AD2DC2"/>
    <w:rsid w:val="00AF2B4C"/>
    <w:rsid w:val="00B01222"/>
    <w:rsid w:val="00B073EB"/>
    <w:rsid w:val="00B36FB5"/>
    <w:rsid w:val="00B416B5"/>
    <w:rsid w:val="00B45202"/>
    <w:rsid w:val="00B51AF3"/>
    <w:rsid w:val="00B55985"/>
    <w:rsid w:val="00B57BB9"/>
    <w:rsid w:val="00B856BE"/>
    <w:rsid w:val="00BA31A2"/>
    <w:rsid w:val="00BC5EC6"/>
    <w:rsid w:val="00BD36E6"/>
    <w:rsid w:val="00BD491B"/>
    <w:rsid w:val="00BD7DD9"/>
    <w:rsid w:val="00C03930"/>
    <w:rsid w:val="00C1490A"/>
    <w:rsid w:val="00C24A22"/>
    <w:rsid w:val="00C41976"/>
    <w:rsid w:val="00C75718"/>
    <w:rsid w:val="00C86929"/>
    <w:rsid w:val="00C928F0"/>
    <w:rsid w:val="00CA0928"/>
    <w:rsid w:val="00CC1144"/>
    <w:rsid w:val="00D04BF0"/>
    <w:rsid w:val="00D074ED"/>
    <w:rsid w:val="00D37EE2"/>
    <w:rsid w:val="00D56B5D"/>
    <w:rsid w:val="00D66E3A"/>
    <w:rsid w:val="00D83BAB"/>
    <w:rsid w:val="00D9022B"/>
    <w:rsid w:val="00D96EB1"/>
    <w:rsid w:val="00DA0AF4"/>
    <w:rsid w:val="00DA4592"/>
    <w:rsid w:val="00DC1818"/>
    <w:rsid w:val="00DD155A"/>
    <w:rsid w:val="00DD1CE4"/>
    <w:rsid w:val="00DD282E"/>
    <w:rsid w:val="00DE31DD"/>
    <w:rsid w:val="00E34495"/>
    <w:rsid w:val="00E66106"/>
    <w:rsid w:val="00E70AB1"/>
    <w:rsid w:val="00E9065D"/>
    <w:rsid w:val="00E93989"/>
    <w:rsid w:val="00EA488F"/>
    <w:rsid w:val="00EC6A2E"/>
    <w:rsid w:val="00ED5292"/>
    <w:rsid w:val="00EF5A6B"/>
    <w:rsid w:val="00F02DDF"/>
    <w:rsid w:val="00F076A1"/>
    <w:rsid w:val="00F50639"/>
    <w:rsid w:val="00F82F88"/>
    <w:rsid w:val="00F83A68"/>
    <w:rsid w:val="00F85BF0"/>
    <w:rsid w:val="00F95280"/>
    <w:rsid w:val="00FB2530"/>
    <w:rsid w:val="00FD04F6"/>
    <w:rsid w:val="00FE179A"/>
    <w:rsid w:val="00FF0184"/>
    <w:rsid w:val="0148791C"/>
    <w:rsid w:val="014B5DEF"/>
    <w:rsid w:val="01590EB2"/>
    <w:rsid w:val="015B4AA4"/>
    <w:rsid w:val="01814321"/>
    <w:rsid w:val="01EB1BFC"/>
    <w:rsid w:val="023F2212"/>
    <w:rsid w:val="02656C44"/>
    <w:rsid w:val="02C86600"/>
    <w:rsid w:val="02CC30D8"/>
    <w:rsid w:val="02E35293"/>
    <w:rsid w:val="02E61D6D"/>
    <w:rsid w:val="030A6185"/>
    <w:rsid w:val="03114781"/>
    <w:rsid w:val="03F16993"/>
    <w:rsid w:val="04C904B8"/>
    <w:rsid w:val="04E0668E"/>
    <w:rsid w:val="05137986"/>
    <w:rsid w:val="0560706F"/>
    <w:rsid w:val="05767FA1"/>
    <w:rsid w:val="063C0598"/>
    <w:rsid w:val="064771C1"/>
    <w:rsid w:val="0651509F"/>
    <w:rsid w:val="06557528"/>
    <w:rsid w:val="06D33870"/>
    <w:rsid w:val="06E32738"/>
    <w:rsid w:val="06E76045"/>
    <w:rsid w:val="070167C6"/>
    <w:rsid w:val="071404E6"/>
    <w:rsid w:val="071A4FFB"/>
    <w:rsid w:val="071B4C6E"/>
    <w:rsid w:val="073E6F3C"/>
    <w:rsid w:val="074C0AFA"/>
    <w:rsid w:val="07984C64"/>
    <w:rsid w:val="07AF7E3A"/>
    <w:rsid w:val="080B392B"/>
    <w:rsid w:val="080D1526"/>
    <w:rsid w:val="081F0C0A"/>
    <w:rsid w:val="0876507A"/>
    <w:rsid w:val="08CE0B51"/>
    <w:rsid w:val="08F42573"/>
    <w:rsid w:val="091837BC"/>
    <w:rsid w:val="093326AF"/>
    <w:rsid w:val="09FC6E29"/>
    <w:rsid w:val="0A261948"/>
    <w:rsid w:val="0A69548B"/>
    <w:rsid w:val="0A886720"/>
    <w:rsid w:val="0AB956C2"/>
    <w:rsid w:val="0B4936FA"/>
    <w:rsid w:val="0B7418E3"/>
    <w:rsid w:val="0B766AA4"/>
    <w:rsid w:val="0B8B5FA5"/>
    <w:rsid w:val="0BBE064B"/>
    <w:rsid w:val="0C870868"/>
    <w:rsid w:val="0C956B5B"/>
    <w:rsid w:val="0CA5332B"/>
    <w:rsid w:val="0CE13E4D"/>
    <w:rsid w:val="0D4C1A56"/>
    <w:rsid w:val="0D4C7ED9"/>
    <w:rsid w:val="0D7F2363"/>
    <w:rsid w:val="0DB37936"/>
    <w:rsid w:val="0DB8556E"/>
    <w:rsid w:val="0DBA4CB5"/>
    <w:rsid w:val="0DBC04D7"/>
    <w:rsid w:val="0DF965E9"/>
    <w:rsid w:val="0E116922"/>
    <w:rsid w:val="0E622E48"/>
    <w:rsid w:val="0E7E4BA0"/>
    <w:rsid w:val="0E8552E3"/>
    <w:rsid w:val="0E910299"/>
    <w:rsid w:val="0EA16002"/>
    <w:rsid w:val="0EBC212A"/>
    <w:rsid w:val="0ECF57CF"/>
    <w:rsid w:val="0ED64F9D"/>
    <w:rsid w:val="0F0A3929"/>
    <w:rsid w:val="0F531306"/>
    <w:rsid w:val="0F596AD9"/>
    <w:rsid w:val="0F866E67"/>
    <w:rsid w:val="0F8D6B6B"/>
    <w:rsid w:val="100D1BA1"/>
    <w:rsid w:val="102F7D69"/>
    <w:rsid w:val="104E3B20"/>
    <w:rsid w:val="108F46C1"/>
    <w:rsid w:val="10A51F9A"/>
    <w:rsid w:val="10E33C30"/>
    <w:rsid w:val="114A251F"/>
    <w:rsid w:val="118606DB"/>
    <w:rsid w:val="11A007F3"/>
    <w:rsid w:val="11BA77E3"/>
    <w:rsid w:val="12137C87"/>
    <w:rsid w:val="12192A7F"/>
    <w:rsid w:val="121E5525"/>
    <w:rsid w:val="127754F6"/>
    <w:rsid w:val="12C22387"/>
    <w:rsid w:val="135400EC"/>
    <w:rsid w:val="135B79E5"/>
    <w:rsid w:val="137D5290"/>
    <w:rsid w:val="139A108B"/>
    <w:rsid w:val="13A26AA4"/>
    <w:rsid w:val="13A81E89"/>
    <w:rsid w:val="13BE1D3F"/>
    <w:rsid w:val="13EE1CEA"/>
    <w:rsid w:val="142E08ED"/>
    <w:rsid w:val="14847F31"/>
    <w:rsid w:val="149716EC"/>
    <w:rsid w:val="14A5715B"/>
    <w:rsid w:val="14D1401E"/>
    <w:rsid w:val="14D230A6"/>
    <w:rsid w:val="14F73471"/>
    <w:rsid w:val="14FC3F92"/>
    <w:rsid w:val="15AA37C4"/>
    <w:rsid w:val="15D679C2"/>
    <w:rsid w:val="15DC0703"/>
    <w:rsid w:val="15EB18E4"/>
    <w:rsid w:val="15F555B1"/>
    <w:rsid w:val="161726A4"/>
    <w:rsid w:val="163034CC"/>
    <w:rsid w:val="16A3640F"/>
    <w:rsid w:val="16FF6446"/>
    <w:rsid w:val="174F168A"/>
    <w:rsid w:val="1757126A"/>
    <w:rsid w:val="175F605E"/>
    <w:rsid w:val="177C142C"/>
    <w:rsid w:val="17AC7AAE"/>
    <w:rsid w:val="17B55743"/>
    <w:rsid w:val="17D6012E"/>
    <w:rsid w:val="182A2E7C"/>
    <w:rsid w:val="183600A2"/>
    <w:rsid w:val="183723F4"/>
    <w:rsid w:val="18567C9F"/>
    <w:rsid w:val="186F4FE5"/>
    <w:rsid w:val="187C5B16"/>
    <w:rsid w:val="189D5A8C"/>
    <w:rsid w:val="18F740CF"/>
    <w:rsid w:val="199325AC"/>
    <w:rsid w:val="199A4EC0"/>
    <w:rsid w:val="19C14702"/>
    <w:rsid w:val="19D45612"/>
    <w:rsid w:val="19FA54BC"/>
    <w:rsid w:val="1A0D03C5"/>
    <w:rsid w:val="1AD127B7"/>
    <w:rsid w:val="1ADB4A5D"/>
    <w:rsid w:val="1B0A6513"/>
    <w:rsid w:val="1B1D3C75"/>
    <w:rsid w:val="1B2239DD"/>
    <w:rsid w:val="1B504B1E"/>
    <w:rsid w:val="1B6922A5"/>
    <w:rsid w:val="1B7307F8"/>
    <w:rsid w:val="1B962ABC"/>
    <w:rsid w:val="1BD115FB"/>
    <w:rsid w:val="1BE614F8"/>
    <w:rsid w:val="1BE67B1E"/>
    <w:rsid w:val="1BE95CB7"/>
    <w:rsid w:val="1CCB25A2"/>
    <w:rsid w:val="1CF1607E"/>
    <w:rsid w:val="1D4024FA"/>
    <w:rsid w:val="1D4B39C7"/>
    <w:rsid w:val="1D712AFF"/>
    <w:rsid w:val="1DB37FF9"/>
    <w:rsid w:val="1DCF66E8"/>
    <w:rsid w:val="1DD90E66"/>
    <w:rsid w:val="1DF83E91"/>
    <w:rsid w:val="1E091925"/>
    <w:rsid w:val="1E1F7290"/>
    <w:rsid w:val="1E63223D"/>
    <w:rsid w:val="1E6D3147"/>
    <w:rsid w:val="1E7279F2"/>
    <w:rsid w:val="1E8C6387"/>
    <w:rsid w:val="1F0846AA"/>
    <w:rsid w:val="1F0B19A2"/>
    <w:rsid w:val="1F61340A"/>
    <w:rsid w:val="1F93767B"/>
    <w:rsid w:val="1FBE1367"/>
    <w:rsid w:val="1FCD5433"/>
    <w:rsid w:val="1FD83E03"/>
    <w:rsid w:val="20016FF3"/>
    <w:rsid w:val="200C59D1"/>
    <w:rsid w:val="20254CE5"/>
    <w:rsid w:val="203D4237"/>
    <w:rsid w:val="209A2AFD"/>
    <w:rsid w:val="2120195D"/>
    <w:rsid w:val="21820602"/>
    <w:rsid w:val="21AB33D9"/>
    <w:rsid w:val="21F37F51"/>
    <w:rsid w:val="227531E3"/>
    <w:rsid w:val="228F7F3F"/>
    <w:rsid w:val="22A06DBD"/>
    <w:rsid w:val="22BE2F28"/>
    <w:rsid w:val="22D179FE"/>
    <w:rsid w:val="22DE2530"/>
    <w:rsid w:val="22F46A22"/>
    <w:rsid w:val="230809F0"/>
    <w:rsid w:val="2308746C"/>
    <w:rsid w:val="2309372A"/>
    <w:rsid w:val="23220E5B"/>
    <w:rsid w:val="235F60CF"/>
    <w:rsid w:val="23D034D3"/>
    <w:rsid w:val="23D24ABD"/>
    <w:rsid w:val="244B6B9B"/>
    <w:rsid w:val="246833F2"/>
    <w:rsid w:val="24A64E3C"/>
    <w:rsid w:val="24EF42CC"/>
    <w:rsid w:val="25E8210C"/>
    <w:rsid w:val="25F97ABB"/>
    <w:rsid w:val="25FD5DBC"/>
    <w:rsid w:val="264E6E20"/>
    <w:rsid w:val="267409A0"/>
    <w:rsid w:val="27BB2D65"/>
    <w:rsid w:val="27EF10B6"/>
    <w:rsid w:val="27FA3DF0"/>
    <w:rsid w:val="28275D84"/>
    <w:rsid w:val="283C1BEA"/>
    <w:rsid w:val="28763103"/>
    <w:rsid w:val="28C553F7"/>
    <w:rsid w:val="28CE4DDA"/>
    <w:rsid w:val="28F04B60"/>
    <w:rsid w:val="298545D5"/>
    <w:rsid w:val="298D4F32"/>
    <w:rsid w:val="2A0E1578"/>
    <w:rsid w:val="2A4C7DD1"/>
    <w:rsid w:val="2A584F83"/>
    <w:rsid w:val="2A877271"/>
    <w:rsid w:val="2AAB0F6D"/>
    <w:rsid w:val="2AC63F5F"/>
    <w:rsid w:val="2ADE67A9"/>
    <w:rsid w:val="2ADF6D89"/>
    <w:rsid w:val="2B570336"/>
    <w:rsid w:val="2B5F57FA"/>
    <w:rsid w:val="2BA220C0"/>
    <w:rsid w:val="2BB65430"/>
    <w:rsid w:val="2BC605C2"/>
    <w:rsid w:val="2C20458C"/>
    <w:rsid w:val="2C355707"/>
    <w:rsid w:val="2C465891"/>
    <w:rsid w:val="2C4C35F9"/>
    <w:rsid w:val="2C6F2510"/>
    <w:rsid w:val="2CA97C90"/>
    <w:rsid w:val="2CAE09EE"/>
    <w:rsid w:val="2CBF0FE1"/>
    <w:rsid w:val="2D287E9F"/>
    <w:rsid w:val="2D5B163F"/>
    <w:rsid w:val="2D8B55F9"/>
    <w:rsid w:val="2DA17031"/>
    <w:rsid w:val="2DB92EDF"/>
    <w:rsid w:val="2DEF06E0"/>
    <w:rsid w:val="2E1046C2"/>
    <w:rsid w:val="2E516161"/>
    <w:rsid w:val="2E73568A"/>
    <w:rsid w:val="2E76495E"/>
    <w:rsid w:val="2E95522E"/>
    <w:rsid w:val="2EAB3861"/>
    <w:rsid w:val="2EAB5287"/>
    <w:rsid w:val="2F0604EC"/>
    <w:rsid w:val="2F1E7C4A"/>
    <w:rsid w:val="2F25260C"/>
    <w:rsid w:val="2F2A3D5D"/>
    <w:rsid w:val="2F6F1C51"/>
    <w:rsid w:val="2F882B55"/>
    <w:rsid w:val="2F940650"/>
    <w:rsid w:val="2F990904"/>
    <w:rsid w:val="2FF62DF9"/>
    <w:rsid w:val="300F0BC6"/>
    <w:rsid w:val="30216E7B"/>
    <w:rsid w:val="30230DCD"/>
    <w:rsid w:val="30C01A0A"/>
    <w:rsid w:val="30E339AA"/>
    <w:rsid w:val="31580B98"/>
    <w:rsid w:val="316E7B6E"/>
    <w:rsid w:val="31B85DC4"/>
    <w:rsid w:val="31DB16A7"/>
    <w:rsid w:val="31FB58A6"/>
    <w:rsid w:val="32625925"/>
    <w:rsid w:val="327C1E25"/>
    <w:rsid w:val="32E76849"/>
    <w:rsid w:val="33175D15"/>
    <w:rsid w:val="33226E62"/>
    <w:rsid w:val="337463DF"/>
    <w:rsid w:val="33881127"/>
    <w:rsid w:val="33A930DF"/>
    <w:rsid w:val="33F5554A"/>
    <w:rsid w:val="33FC67AA"/>
    <w:rsid w:val="340908BC"/>
    <w:rsid w:val="34A573E2"/>
    <w:rsid w:val="3523606C"/>
    <w:rsid w:val="356447EA"/>
    <w:rsid w:val="358E647B"/>
    <w:rsid w:val="35C47330"/>
    <w:rsid w:val="35E46651"/>
    <w:rsid w:val="363C0705"/>
    <w:rsid w:val="36474247"/>
    <w:rsid w:val="366819F5"/>
    <w:rsid w:val="3680484F"/>
    <w:rsid w:val="368C4D1E"/>
    <w:rsid w:val="369C23EC"/>
    <w:rsid w:val="36A47F89"/>
    <w:rsid w:val="36A77DAA"/>
    <w:rsid w:val="372E6B97"/>
    <w:rsid w:val="37550700"/>
    <w:rsid w:val="37734130"/>
    <w:rsid w:val="379A790F"/>
    <w:rsid w:val="37EF51A7"/>
    <w:rsid w:val="383876E5"/>
    <w:rsid w:val="384A6714"/>
    <w:rsid w:val="387E0FDF"/>
    <w:rsid w:val="38A879D8"/>
    <w:rsid w:val="38AA0C64"/>
    <w:rsid w:val="38F01B24"/>
    <w:rsid w:val="392A5822"/>
    <w:rsid w:val="3958480F"/>
    <w:rsid w:val="398921E1"/>
    <w:rsid w:val="39BF4708"/>
    <w:rsid w:val="39D07B76"/>
    <w:rsid w:val="39EE5D6B"/>
    <w:rsid w:val="39FE13D4"/>
    <w:rsid w:val="3A5241FC"/>
    <w:rsid w:val="3A8A620C"/>
    <w:rsid w:val="3A8F458A"/>
    <w:rsid w:val="3AB70D5D"/>
    <w:rsid w:val="3B2B6F61"/>
    <w:rsid w:val="3B477448"/>
    <w:rsid w:val="3BC2134B"/>
    <w:rsid w:val="3BED49E1"/>
    <w:rsid w:val="3C99499C"/>
    <w:rsid w:val="3CE12CD7"/>
    <w:rsid w:val="3D2263DC"/>
    <w:rsid w:val="3D2E67EE"/>
    <w:rsid w:val="3D505106"/>
    <w:rsid w:val="3D6E0095"/>
    <w:rsid w:val="3D88597B"/>
    <w:rsid w:val="3D8A5D30"/>
    <w:rsid w:val="3D8F55A1"/>
    <w:rsid w:val="3DDB7D24"/>
    <w:rsid w:val="3DFE1E68"/>
    <w:rsid w:val="3E41149A"/>
    <w:rsid w:val="3E6E181F"/>
    <w:rsid w:val="3EC86B10"/>
    <w:rsid w:val="3EF679EF"/>
    <w:rsid w:val="3EFD6405"/>
    <w:rsid w:val="3F34377A"/>
    <w:rsid w:val="3F3858AD"/>
    <w:rsid w:val="3F824BBE"/>
    <w:rsid w:val="400973E0"/>
    <w:rsid w:val="40521D5E"/>
    <w:rsid w:val="40602724"/>
    <w:rsid w:val="40B01F51"/>
    <w:rsid w:val="40D70303"/>
    <w:rsid w:val="412F3775"/>
    <w:rsid w:val="41752343"/>
    <w:rsid w:val="41914D25"/>
    <w:rsid w:val="41A55881"/>
    <w:rsid w:val="41D91212"/>
    <w:rsid w:val="426B31E3"/>
    <w:rsid w:val="428124B7"/>
    <w:rsid w:val="42985594"/>
    <w:rsid w:val="42C41660"/>
    <w:rsid w:val="433911B6"/>
    <w:rsid w:val="433922B6"/>
    <w:rsid w:val="434343AC"/>
    <w:rsid w:val="435943FD"/>
    <w:rsid w:val="4385725D"/>
    <w:rsid w:val="43F30B07"/>
    <w:rsid w:val="446C1438"/>
    <w:rsid w:val="44745B63"/>
    <w:rsid w:val="44A26055"/>
    <w:rsid w:val="44AB426E"/>
    <w:rsid w:val="44F12CF1"/>
    <w:rsid w:val="453308FD"/>
    <w:rsid w:val="453E2A4D"/>
    <w:rsid w:val="45543C81"/>
    <w:rsid w:val="456B4E44"/>
    <w:rsid w:val="458547BE"/>
    <w:rsid w:val="45872FF2"/>
    <w:rsid w:val="458B6AE9"/>
    <w:rsid w:val="4590762F"/>
    <w:rsid w:val="45BF318E"/>
    <w:rsid w:val="45C6092A"/>
    <w:rsid w:val="45DB48FA"/>
    <w:rsid w:val="45FD1795"/>
    <w:rsid w:val="4642234C"/>
    <w:rsid w:val="46571B63"/>
    <w:rsid w:val="46866FB0"/>
    <w:rsid w:val="470B16FE"/>
    <w:rsid w:val="471619E7"/>
    <w:rsid w:val="478172CE"/>
    <w:rsid w:val="478B0AFB"/>
    <w:rsid w:val="478B79A2"/>
    <w:rsid w:val="47A5051F"/>
    <w:rsid w:val="47AF1C45"/>
    <w:rsid w:val="47C72318"/>
    <w:rsid w:val="47E226C7"/>
    <w:rsid w:val="47F77BA7"/>
    <w:rsid w:val="480138D1"/>
    <w:rsid w:val="482716E0"/>
    <w:rsid w:val="4872358A"/>
    <w:rsid w:val="48A26E35"/>
    <w:rsid w:val="48BD4BA4"/>
    <w:rsid w:val="48CE5466"/>
    <w:rsid w:val="491C2F0E"/>
    <w:rsid w:val="4A266DE0"/>
    <w:rsid w:val="4A3B2D46"/>
    <w:rsid w:val="4A68531E"/>
    <w:rsid w:val="4AD54A8E"/>
    <w:rsid w:val="4ADA7553"/>
    <w:rsid w:val="4B1935FF"/>
    <w:rsid w:val="4B6A4691"/>
    <w:rsid w:val="4B77759C"/>
    <w:rsid w:val="4C227B84"/>
    <w:rsid w:val="4C2F4672"/>
    <w:rsid w:val="4C99450B"/>
    <w:rsid w:val="4D07739D"/>
    <w:rsid w:val="4D2E2B7B"/>
    <w:rsid w:val="4D6855DF"/>
    <w:rsid w:val="4DA72544"/>
    <w:rsid w:val="4DC13902"/>
    <w:rsid w:val="4DC31D41"/>
    <w:rsid w:val="4DDE1EAC"/>
    <w:rsid w:val="4DE4121E"/>
    <w:rsid w:val="4DF571F5"/>
    <w:rsid w:val="4E051089"/>
    <w:rsid w:val="4E056C19"/>
    <w:rsid w:val="4E282B16"/>
    <w:rsid w:val="4E2F6BAB"/>
    <w:rsid w:val="4E357D41"/>
    <w:rsid w:val="4E531A4D"/>
    <w:rsid w:val="4E5A0E12"/>
    <w:rsid w:val="4E5C7274"/>
    <w:rsid w:val="4E9541A7"/>
    <w:rsid w:val="4E9A4142"/>
    <w:rsid w:val="4EA12ED9"/>
    <w:rsid w:val="4F22401A"/>
    <w:rsid w:val="4F2514C1"/>
    <w:rsid w:val="4F676698"/>
    <w:rsid w:val="4FA113E3"/>
    <w:rsid w:val="4FAC64F5"/>
    <w:rsid w:val="501B55E1"/>
    <w:rsid w:val="5047788C"/>
    <w:rsid w:val="50E66C84"/>
    <w:rsid w:val="50F7024B"/>
    <w:rsid w:val="51113D3F"/>
    <w:rsid w:val="511B4B78"/>
    <w:rsid w:val="512D70AA"/>
    <w:rsid w:val="515663BA"/>
    <w:rsid w:val="516E5D2A"/>
    <w:rsid w:val="519979A1"/>
    <w:rsid w:val="51B81CB4"/>
    <w:rsid w:val="51FC0A11"/>
    <w:rsid w:val="523C5EA4"/>
    <w:rsid w:val="523F3073"/>
    <w:rsid w:val="52517102"/>
    <w:rsid w:val="529F2055"/>
    <w:rsid w:val="52BB6C5F"/>
    <w:rsid w:val="52EE1715"/>
    <w:rsid w:val="531F0D5A"/>
    <w:rsid w:val="532F31A9"/>
    <w:rsid w:val="53684117"/>
    <w:rsid w:val="53935379"/>
    <w:rsid w:val="539E16D4"/>
    <w:rsid w:val="53C370CB"/>
    <w:rsid w:val="53E3560F"/>
    <w:rsid w:val="542F0AA8"/>
    <w:rsid w:val="54444A33"/>
    <w:rsid w:val="544F3B03"/>
    <w:rsid w:val="54A61249"/>
    <w:rsid w:val="54A77D07"/>
    <w:rsid w:val="54BE2A37"/>
    <w:rsid w:val="55150F1E"/>
    <w:rsid w:val="554742D9"/>
    <w:rsid w:val="55667C00"/>
    <w:rsid w:val="557B317A"/>
    <w:rsid w:val="557D7B97"/>
    <w:rsid w:val="55AD1B58"/>
    <w:rsid w:val="55B5674A"/>
    <w:rsid w:val="561C08DF"/>
    <w:rsid w:val="5627217E"/>
    <w:rsid w:val="56EE0C86"/>
    <w:rsid w:val="57376AD1"/>
    <w:rsid w:val="576F0C45"/>
    <w:rsid w:val="579F1B33"/>
    <w:rsid w:val="57AA7397"/>
    <w:rsid w:val="57DD762C"/>
    <w:rsid w:val="58296419"/>
    <w:rsid w:val="58330580"/>
    <w:rsid w:val="58426A50"/>
    <w:rsid w:val="58CA1924"/>
    <w:rsid w:val="58EF353A"/>
    <w:rsid w:val="58F81F6E"/>
    <w:rsid w:val="591F669D"/>
    <w:rsid w:val="5933012A"/>
    <w:rsid w:val="5933769B"/>
    <w:rsid w:val="59584FF3"/>
    <w:rsid w:val="596679E1"/>
    <w:rsid w:val="59814CBE"/>
    <w:rsid w:val="59875AED"/>
    <w:rsid w:val="59976235"/>
    <w:rsid w:val="59983688"/>
    <w:rsid w:val="5A0A735E"/>
    <w:rsid w:val="5A7122F9"/>
    <w:rsid w:val="5AC94D6C"/>
    <w:rsid w:val="5ADB5896"/>
    <w:rsid w:val="5AF2601B"/>
    <w:rsid w:val="5B646F55"/>
    <w:rsid w:val="5B77749C"/>
    <w:rsid w:val="5B934E43"/>
    <w:rsid w:val="5BA67D81"/>
    <w:rsid w:val="5BAB395B"/>
    <w:rsid w:val="5C19779C"/>
    <w:rsid w:val="5CD32DF8"/>
    <w:rsid w:val="5CE111BC"/>
    <w:rsid w:val="5D190DA1"/>
    <w:rsid w:val="5D4A1633"/>
    <w:rsid w:val="5D692AEA"/>
    <w:rsid w:val="5D740137"/>
    <w:rsid w:val="5DED7EE9"/>
    <w:rsid w:val="5DF71CE0"/>
    <w:rsid w:val="5E021CC5"/>
    <w:rsid w:val="5E2A6ADD"/>
    <w:rsid w:val="5E652E56"/>
    <w:rsid w:val="5E79730D"/>
    <w:rsid w:val="5F120738"/>
    <w:rsid w:val="5F271FEA"/>
    <w:rsid w:val="5F4D75A7"/>
    <w:rsid w:val="5F6F3DEC"/>
    <w:rsid w:val="5F7D6417"/>
    <w:rsid w:val="600339F4"/>
    <w:rsid w:val="606B3CD8"/>
    <w:rsid w:val="60FB6E17"/>
    <w:rsid w:val="61272AC8"/>
    <w:rsid w:val="61916734"/>
    <w:rsid w:val="619A1C61"/>
    <w:rsid w:val="61B47728"/>
    <w:rsid w:val="61D90736"/>
    <w:rsid w:val="621F4BD0"/>
    <w:rsid w:val="62481E88"/>
    <w:rsid w:val="6270294D"/>
    <w:rsid w:val="62792BC7"/>
    <w:rsid w:val="62AD1323"/>
    <w:rsid w:val="62D47B8A"/>
    <w:rsid w:val="62EE1A02"/>
    <w:rsid w:val="63164321"/>
    <w:rsid w:val="64042EFE"/>
    <w:rsid w:val="640D5438"/>
    <w:rsid w:val="64213565"/>
    <w:rsid w:val="643D042F"/>
    <w:rsid w:val="644256A7"/>
    <w:rsid w:val="64447584"/>
    <w:rsid w:val="64591E34"/>
    <w:rsid w:val="64BB61F2"/>
    <w:rsid w:val="64F658D5"/>
    <w:rsid w:val="651E4844"/>
    <w:rsid w:val="6524467E"/>
    <w:rsid w:val="652A6099"/>
    <w:rsid w:val="65A672FB"/>
    <w:rsid w:val="65CE3CB6"/>
    <w:rsid w:val="66C8177B"/>
    <w:rsid w:val="671A5B7D"/>
    <w:rsid w:val="67546406"/>
    <w:rsid w:val="67631172"/>
    <w:rsid w:val="67DE3F4F"/>
    <w:rsid w:val="67E70FCB"/>
    <w:rsid w:val="67EE7408"/>
    <w:rsid w:val="681317B4"/>
    <w:rsid w:val="681C2915"/>
    <w:rsid w:val="6844758F"/>
    <w:rsid w:val="68571A30"/>
    <w:rsid w:val="686F7E78"/>
    <w:rsid w:val="687E4DB2"/>
    <w:rsid w:val="68C44831"/>
    <w:rsid w:val="68CA77A4"/>
    <w:rsid w:val="68EB37CD"/>
    <w:rsid w:val="698415F7"/>
    <w:rsid w:val="69CA267F"/>
    <w:rsid w:val="69CF4947"/>
    <w:rsid w:val="69F44B7B"/>
    <w:rsid w:val="69FC4045"/>
    <w:rsid w:val="69FE19CC"/>
    <w:rsid w:val="6A235A40"/>
    <w:rsid w:val="6A3051BE"/>
    <w:rsid w:val="6A583CA2"/>
    <w:rsid w:val="6A6E6CFE"/>
    <w:rsid w:val="6B4D04D5"/>
    <w:rsid w:val="6B6623BD"/>
    <w:rsid w:val="6B6C0DA2"/>
    <w:rsid w:val="6BCB2B14"/>
    <w:rsid w:val="6C2C5E42"/>
    <w:rsid w:val="6C5710E6"/>
    <w:rsid w:val="6D2A0DAC"/>
    <w:rsid w:val="6D6E7A17"/>
    <w:rsid w:val="6D8268A1"/>
    <w:rsid w:val="6DA3362D"/>
    <w:rsid w:val="6DB66549"/>
    <w:rsid w:val="6E092E08"/>
    <w:rsid w:val="6E476147"/>
    <w:rsid w:val="6E83719F"/>
    <w:rsid w:val="6ED64757"/>
    <w:rsid w:val="6EDB13EF"/>
    <w:rsid w:val="6F0619E6"/>
    <w:rsid w:val="6F166B2E"/>
    <w:rsid w:val="6F8B7FB3"/>
    <w:rsid w:val="6FEE2589"/>
    <w:rsid w:val="6FFC052E"/>
    <w:rsid w:val="703C3F1C"/>
    <w:rsid w:val="704959A6"/>
    <w:rsid w:val="70614B37"/>
    <w:rsid w:val="70827CE9"/>
    <w:rsid w:val="7099175E"/>
    <w:rsid w:val="70C24374"/>
    <w:rsid w:val="70CF4200"/>
    <w:rsid w:val="70EE6C27"/>
    <w:rsid w:val="70FD7FEB"/>
    <w:rsid w:val="711249AA"/>
    <w:rsid w:val="711B15BF"/>
    <w:rsid w:val="713A4BD1"/>
    <w:rsid w:val="71485CEC"/>
    <w:rsid w:val="715278CE"/>
    <w:rsid w:val="71834994"/>
    <w:rsid w:val="71880F0F"/>
    <w:rsid w:val="71C72A20"/>
    <w:rsid w:val="71E24EBC"/>
    <w:rsid w:val="727D3192"/>
    <w:rsid w:val="72833651"/>
    <w:rsid w:val="7287285A"/>
    <w:rsid w:val="72BE679E"/>
    <w:rsid w:val="72C8445F"/>
    <w:rsid w:val="73137F9A"/>
    <w:rsid w:val="73240701"/>
    <w:rsid w:val="735545C1"/>
    <w:rsid w:val="73C137AD"/>
    <w:rsid w:val="73E66E29"/>
    <w:rsid w:val="73EC59F8"/>
    <w:rsid w:val="742650CC"/>
    <w:rsid w:val="742D4AAC"/>
    <w:rsid w:val="743447EB"/>
    <w:rsid w:val="74A06189"/>
    <w:rsid w:val="74B27A2A"/>
    <w:rsid w:val="75273889"/>
    <w:rsid w:val="75294A8A"/>
    <w:rsid w:val="75731D81"/>
    <w:rsid w:val="75DA4E62"/>
    <w:rsid w:val="75E4177A"/>
    <w:rsid w:val="760B0C66"/>
    <w:rsid w:val="765E0CBF"/>
    <w:rsid w:val="768E7D49"/>
    <w:rsid w:val="770C71DA"/>
    <w:rsid w:val="77907953"/>
    <w:rsid w:val="77C45690"/>
    <w:rsid w:val="77E2725C"/>
    <w:rsid w:val="78067755"/>
    <w:rsid w:val="78263C16"/>
    <w:rsid w:val="783928BE"/>
    <w:rsid w:val="78880AE2"/>
    <w:rsid w:val="792066EC"/>
    <w:rsid w:val="794C6494"/>
    <w:rsid w:val="796442E4"/>
    <w:rsid w:val="799534B7"/>
    <w:rsid w:val="79BD47BC"/>
    <w:rsid w:val="79D474A3"/>
    <w:rsid w:val="79E71584"/>
    <w:rsid w:val="7A0A6957"/>
    <w:rsid w:val="7A607061"/>
    <w:rsid w:val="7A6D7A0B"/>
    <w:rsid w:val="7AF67DA8"/>
    <w:rsid w:val="7AF74BBD"/>
    <w:rsid w:val="7AFB4872"/>
    <w:rsid w:val="7B427F3E"/>
    <w:rsid w:val="7B660372"/>
    <w:rsid w:val="7B6B5ECA"/>
    <w:rsid w:val="7BA326F7"/>
    <w:rsid w:val="7BA3585F"/>
    <w:rsid w:val="7BEB7000"/>
    <w:rsid w:val="7BF637EE"/>
    <w:rsid w:val="7C7E19B9"/>
    <w:rsid w:val="7D902913"/>
    <w:rsid w:val="7DA74D45"/>
    <w:rsid w:val="7E362441"/>
    <w:rsid w:val="7E6D4918"/>
    <w:rsid w:val="7EF706F3"/>
    <w:rsid w:val="7F4A4F2C"/>
    <w:rsid w:val="7F8D69DE"/>
    <w:rsid w:val="7F922ED8"/>
    <w:rsid w:val="7FA816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ocked="1"/>
    <w:lsdException w:qFormat="1" w:unhideWhenUsed="0" w:uiPriority="0"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nhideWhenUsed="0" w:uiPriority="0"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autoRedefine/>
    <w:qFormat/>
    <w:uiPriority w:val="0"/>
    <w:pPr>
      <w:keepNext/>
      <w:keepLines/>
      <w:spacing w:line="360" w:lineRule="auto"/>
      <w:outlineLvl w:val="0"/>
    </w:pPr>
    <w:rPr>
      <w:b/>
      <w:kern w:val="44"/>
      <w:sz w:val="32"/>
    </w:rPr>
  </w:style>
  <w:style w:type="paragraph" w:styleId="3">
    <w:name w:val="heading 2"/>
    <w:basedOn w:val="1"/>
    <w:next w:val="1"/>
    <w:link w:val="46"/>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line="360" w:lineRule="auto"/>
      <w:outlineLvl w:val="2"/>
    </w:pPr>
    <w:rPr>
      <w:b/>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unhideWhenUsed/>
    <w:qFormat/>
    <w:uiPriority w:val="1"/>
    <w:pPr>
      <w:ind w:left="237"/>
      <w:outlineLvl w:val="4"/>
    </w:pPr>
    <w:rPr>
      <w:rFonts w:hint="eastAsia" w:ascii="宋体"/>
      <w:sz w:val="28"/>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ind w:firstLine="420" w:firstLineChars="200"/>
    </w:pPr>
  </w:style>
  <w:style w:type="paragraph" w:styleId="8">
    <w:name w:val="annotation text"/>
    <w:basedOn w:val="1"/>
    <w:link w:val="48"/>
    <w:autoRedefine/>
    <w:qFormat/>
    <w:uiPriority w:val="99"/>
    <w:pPr>
      <w:jc w:val="left"/>
    </w:pPr>
  </w:style>
  <w:style w:type="paragraph" w:styleId="9">
    <w:name w:val="Body Text 3"/>
    <w:basedOn w:val="1"/>
    <w:link w:val="49"/>
    <w:autoRedefine/>
    <w:qFormat/>
    <w:uiPriority w:val="0"/>
    <w:rPr>
      <w:rFonts w:ascii="宋体"/>
      <w:sz w:val="24"/>
    </w:rPr>
  </w:style>
  <w:style w:type="paragraph" w:styleId="10">
    <w:name w:val="Body Text"/>
    <w:basedOn w:val="1"/>
    <w:next w:val="11"/>
    <w:link w:val="50"/>
    <w:autoRedefine/>
    <w:qFormat/>
    <w:uiPriority w:val="99"/>
    <w:rPr>
      <w:rFonts w:eastAsia="楷体_GB2312"/>
      <w:sz w:val="32"/>
    </w:rPr>
  </w:style>
  <w:style w:type="paragraph" w:styleId="11">
    <w:name w:val="Body Text 2"/>
    <w:basedOn w:val="1"/>
    <w:next w:val="1"/>
    <w:autoRedefine/>
    <w:qFormat/>
    <w:locked/>
    <w:uiPriority w:val="0"/>
    <w:rPr>
      <w:rFonts w:ascii="宋体" w:hAnsi="宋体"/>
      <w:b/>
      <w:sz w:val="30"/>
      <w:szCs w:val="20"/>
    </w:rPr>
  </w:style>
  <w:style w:type="paragraph" w:styleId="12">
    <w:name w:val="Body Text Indent"/>
    <w:basedOn w:val="1"/>
    <w:next w:val="13"/>
    <w:link w:val="51"/>
    <w:autoRedefine/>
    <w:qFormat/>
    <w:uiPriority w:val="99"/>
    <w:pPr>
      <w:spacing w:after="120"/>
      <w:ind w:left="420" w:leftChars="200"/>
    </w:pPr>
  </w:style>
  <w:style w:type="paragraph" w:styleId="13">
    <w:name w:val="envelope return"/>
    <w:basedOn w:val="1"/>
    <w:autoRedefine/>
    <w:qFormat/>
    <w:locked/>
    <w:uiPriority w:val="0"/>
    <w:pPr>
      <w:snapToGrid w:val="0"/>
    </w:pPr>
    <w:rPr>
      <w:rFonts w:ascii="Arial" w:hAnsi="Arial"/>
    </w:rPr>
  </w:style>
  <w:style w:type="paragraph" w:styleId="14">
    <w:name w:val="toc 3"/>
    <w:basedOn w:val="1"/>
    <w:next w:val="1"/>
    <w:autoRedefine/>
    <w:qFormat/>
    <w:uiPriority w:val="99"/>
    <w:pPr>
      <w:ind w:left="840" w:leftChars="400"/>
    </w:pPr>
  </w:style>
  <w:style w:type="paragraph" w:styleId="15">
    <w:name w:val="Plain Text"/>
    <w:basedOn w:val="1"/>
    <w:autoRedefine/>
    <w:unhideWhenUsed/>
    <w:qFormat/>
    <w:locked/>
    <w:uiPriority w:val="99"/>
    <w:rPr>
      <w:rFonts w:hint="eastAsia" w:ascii="宋体" w:hAnsi="Courier New"/>
      <w:szCs w:val="24"/>
    </w:rPr>
  </w:style>
  <w:style w:type="paragraph" w:styleId="16">
    <w:name w:val="Balloon Text"/>
    <w:basedOn w:val="1"/>
    <w:link w:val="52"/>
    <w:autoRedefine/>
    <w:qFormat/>
    <w:uiPriority w:val="99"/>
    <w:rPr>
      <w:sz w:val="18"/>
      <w:szCs w:val="18"/>
    </w:rPr>
  </w:style>
  <w:style w:type="paragraph" w:styleId="17">
    <w:name w:val="footer"/>
    <w:basedOn w:val="1"/>
    <w:link w:val="53"/>
    <w:autoRedefine/>
    <w:qFormat/>
    <w:uiPriority w:val="99"/>
    <w:pPr>
      <w:tabs>
        <w:tab w:val="center" w:pos="4153"/>
        <w:tab w:val="right" w:pos="8306"/>
      </w:tabs>
      <w:snapToGrid w:val="0"/>
      <w:jc w:val="left"/>
    </w:pPr>
    <w:rPr>
      <w:sz w:val="18"/>
      <w:szCs w:val="18"/>
    </w:rPr>
  </w:style>
  <w:style w:type="paragraph" w:styleId="18">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style>
  <w:style w:type="paragraph" w:styleId="20">
    <w:name w:val="Body Text Indent 3"/>
    <w:basedOn w:val="1"/>
    <w:link w:val="55"/>
    <w:autoRedefine/>
    <w:qFormat/>
    <w:uiPriority w:val="99"/>
    <w:pPr>
      <w:spacing w:after="120"/>
      <w:ind w:left="420" w:leftChars="200"/>
    </w:pPr>
    <w:rPr>
      <w:sz w:val="16"/>
    </w:rPr>
  </w:style>
  <w:style w:type="paragraph" w:styleId="21">
    <w:name w:val="toc 2"/>
    <w:basedOn w:val="1"/>
    <w:next w:val="1"/>
    <w:autoRedefine/>
    <w:qFormat/>
    <w:uiPriority w:val="99"/>
    <w:pPr>
      <w:ind w:left="420" w:leftChars="200"/>
    </w:pPr>
  </w:style>
  <w:style w:type="paragraph" w:styleId="22">
    <w:name w:val="Message Header"/>
    <w:basedOn w:val="1"/>
    <w:autoRedefine/>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10"/>
    <w:next w:val="25"/>
    <w:link w:val="56"/>
    <w:autoRedefine/>
    <w:qFormat/>
    <w:uiPriority w:val="99"/>
    <w:pPr>
      <w:ind w:firstLine="420" w:firstLineChars="100"/>
    </w:pPr>
  </w:style>
  <w:style w:type="paragraph" w:styleId="25">
    <w:name w:val="Body Text First Indent 2"/>
    <w:basedOn w:val="12"/>
    <w:next w:val="1"/>
    <w:link w:val="57"/>
    <w:autoRedefine/>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autoRedefine/>
    <w:qFormat/>
    <w:uiPriority w:val="99"/>
    <w:rPr>
      <w:rFonts w:cs="Times New Roman"/>
    </w:rPr>
  </w:style>
  <w:style w:type="character" w:styleId="31">
    <w:name w:val="FollowedHyperlink"/>
    <w:basedOn w:val="28"/>
    <w:autoRedefine/>
    <w:semiHidden/>
    <w:unhideWhenUsed/>
    <w:qFormat/>
    <w:locked/>
    <w:uiPriority w:val="99"/>
    <w:rPr>
      <w:color w:val="800080"/>
      <w:u w:val="none"/>
    </w:rPr>
  </w:style>
  <w:style w:type="character" w:styleId="32">
    <w:name w:val="Emphasis"/>
    <w:basedOn w:val="28"/>
    <w:autoRedefine/>
    <w:qFormat/>
    <w:uiPriority w:val="0"/>
    <w:rPr>
      <w:b/>
      <w:bCs/>
    </w:rPr>
  </w:style>
  <w:style w:type="character" w:styleId="33">
    <w:name w:val="HTML Definition"/>
    <w:basedOn w:val="28"/>
    <w:autoRedefine/>
    <w:semiHidden/>
    <w:unhideWhenUsed/>
    <w:qFormat/>
    <w:locked/>
    <w:uiPriority w:val="99"/>
  </w:style>
  <w:style w:type="character" w:styleId="34">
    <w:name w:val="HTML Typewriter"/>
    <w:basedOn w:val="28"/>
    <w:autoRedefine/>
    <w:semiHidden/>
    <w:unhideWhenUsed/>
    <w:qFormat/>
    <w:locked/>
    <w:uiPriority w:val="99"/>
    <w:rPr>
      <w:rFonts w:ascii="monospace" w:hAnsi="monospace" w:eastAsia="monospace" w:cs="monospace"/>
      <w:sz w:val="20"/>
    </w:rPr>
  </w:style>
  <w:style w:type="character" w:styleId="35">
    <w:name w:val="HTML Acronym"/>
    <w:basedOn w:val="28"/>
    <w:autoRedefine/>
    <w:semiHidden/>
    <w:unhideWhenUsed/>
    <w:qFormat/>
    <w:locked/>
    <w:uiPriority w:val="99"/>
    <w:rPr>
      <w:color w:val="5C5C5C"/>
      <w:u w:val="none"/>
      <w:bdr w:val="single" w:color="7CBCF3" w:sz="2" w:space="0"/>
      <w:shd w:val="clear" w:fill="FFFFFF"/>
    </w:rPr>
  </w:style>
  <w:style w:type="character" w:styleId="36">
    <w:name w:val="HTML Variable"/>
    <w:basedOn w:val="28"/>
    <w:autoRedefine/>
    <w:semiHidden/>
    <w:unhideWhenUsed/>
    <w:qFormat/>
    <w:locked/>
    <w:uiPriority w:val="99"/>
  </w:style>
  <w:style w:type="character" w:styleId="37">
    <w:name w:val="Hyperlink"/>
    <w:autoRedefine/>
    <w:qFormat/>
    <w:uiPriority w:val="99"/>
    <w:rPr>
      <w:rFonts w:cs="Times New Roman"/>
      <w:color w:val="0000FF"/>
      <w:u w:val="single"/>
    </w:rPr>
  </w:style>
  <w:style w:type="character" w:styleId="38">
    <w:name w:val="HTML Code"/>
    <w:basedOn w:val="28"/>
    <w:autoRedefine/>
    <w:semiHidden/>
    <w:unhideWhenUsed/>
    <w:qFormat/>
    <w:locked/>
    <w:uiPriority w:val="99"/>
    <w:rPr>
      <w:rFonts w:hint="default" w:ascii="monospace" w:hAnsi="monospace" w:eastAsia="monospace" w:cs="monospace"/>
      <w:sz w:val="20"/>
    </w:rPr>
  </w:style>
  <w:style w:type="character" w:styleId="39">
    <w:name w:val="annotation reference"/>
    <w:autoRedefine/>
    <w:qFormat/>
    <w:uiPriority w:val="99"/>
    <w:rPr>
      <w:rFonts w:cs="Times New Roman"/>
      <w:sz w:val="21"/>
    </w:rPr>
  </w:style>
  <w:style w:type="character" w:styleId="40">
    <w:name w:val="HTML Cite"/>
    <w:basedOn w:val="28"/>
    <w:autoRedefine/>
    <w:semiHidden/>
    <w:unhideWhenUsed/>
    <w:qFormat/>
    <w:locked/>
    <w:uiPriority w:val="99"/>
  </w:style>
  <w:style w:type="character" w:styleId="41">
    <w:name w:val="HTML Keyboard"/>
    <w:basedOn w:val="28"/>
    <w:autoRedefine/>
    <w:semiHidden/>
    <w:unhideWhenUsed/>
    <w:qFormat/>
    <w:locked/>
    <w:uiPriority w:val="99"/>
    <w:rPr>
      <w:rFonts w:hint="default" w:ascii="monospace" w:hAnsi="monospace" w:eastAsia="monospace" w:cs="monospace"/>
      <w:sz w:val="20"/>
    </w:rPr>
  </w:style>
  <w:style w:type="character" w:styleId="42">
    <w:name w:val="HTML Sample"/>
    <w:basedOn w:val="28"/>
    <w:autoRedefine/>
    <w:semiHidden/>
    <w:unhideWhenUsed/>
    <w:qFormat/>
    <w:locked/>
    <w:uiPriority w:val="99"/>
    <w:rPr>
      <w:rFonts w:hint="default" w:ascii="monospace" w:hAnsi="monospace" w:eastAsia="monospace" w:cs="monospace"/>
    </w:rPr>
  </w:style>
  <w:style w:type="paragraph" w:customStyle="1" w:styleId="43">
    <w:name w:val="样式 正文001 + 首行缩进:  2 字符1"/>
    <w:basedOn w:val="1"/>
    <w:autoRedefine/>
    <w:qFormat/>
    <w:uiPriority w:val="0"/>
    <w:pPr>
      <w:spacing w:before="60" w:line="460" w:lineRule="exact"/>
      <w:ind w:firstLine="480" w:firstLineChars="200"/>
    </w:pPr>
    <w:rPr>
      <w:sz w:val="24"/>
    </w:rPr>
  </w:style>
  <w:style w:type="paragraph" w:customStyle="1" w:styleId="4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5">
    <w:name w:val="标题 1 字符"/>
    <w:link w:val="2"/>
    <w:autoRedefine/>
    <w:qFormat/>
    <w:locked/>
    <w:uiPriority w:val="0"/>
    <w:rPr>
      <w:rFonts w:ascii="Times New Roman" w:hAnsi="Times New Roman" w:eastAsia="宋体" w:cs="Times New Roman"/>
      <w:b/>
      <w:kern w:val="44"/>
      <w:sz w:val="20"/>
      <w:szCs w:val="20"/>
    </w:rPr>
  </w:style>
  <w:style w:type="character" w:customStyle="1" w:styleId="46">
    <w:name w:val="标题 2 字符"/>
    <w:link w:val="3"/>
    <w:autoRedefine/>
    <w:qFormat/>
    <w:locked/>
    <w:uiPriority w:val="0"/>
    <w:rPr>
      <w:rFonts w:ascii="Arial" w:hAnsi="Arial" w:eastAsia="黑体" w:cs="Times New Roman"/>
      <w:b/>
      <w:sz w:val="20"/>
      <w:szCs w:val="20"/>
    </w:rPr>
  </w:style>
  <w:style w:type="character" w:customStyle="1" w:styleId="47">
    <w:name w:val="标题 3 字符"/>
    <w:autoRedefine/>
    <w:qFormat/>
    <w:locked/>
    <w:uiPriority w:val="0"/>
    <w:rPr>
      <w:rFonts w:ascii="Times New Roman" w:hAnsi="Times New Roman" w:eastAsia="宋体" w:cs="Times New Roman"/>
      <w:b/>
      <w:sz w:val="20"/>
      <w:szCs w:val="20"/>
    </w:rPr>
  </w:style>
  <w:style w:type="character" w:customStyle="1" w:styleId="48">
    <w:name w:val="批注文字 字符"/>
    <w:link w:val="8"/>
    <w:autoRedefine/>
    <w:qFormat/>
    <w:locked/>
    <w:uiPriority w:val="99"/>
    <w:rPr>
      <w:rFonts w:ascii="Times New Roman" w:hAnsi="Times New Roman" w:eastAsia="宋体" w:cs="Times New Roman"/>
      <w:sz w:val="20"/>
      <w:szCs w:val="20"/>
    </w:rPr>
  </w:style>
  <w:style w:type="character" w:customStyle="1" w:styleId="49">
    <w:name w:val="正文文本 3 字符"/>
    <w:link w:val="9"/>
    <w:autoRedefine/>
    <w:qFormat/>
    <w:locked/>
    <w:uiPriority w:val="0"/>
    <w:rPr>
      <w:rFonts w:ascii="宋体" w:hAnsi="Times New Roman" w:eastAsia="宋体" w:cs="Times New Roman"/>
      <w:sz w:val="20"/>
      <w:szCs w:val="20"/>
    </w:rPr>
  </w:style>
  <w:style w:type="character" w:customStyle="1" w:styleId="50">
    <w:name w:val="正文文本 字符"/>
    <w:link w:val="10"/>
    <w:autoRedefine/>
    <w:qFormat/>
    <w:locked/>
    <w:uiPriority w:val="99"/>
    <w:rPr>
      <w:rFonts w:ascii="Times New Roman" w:hAnsi="Times New Roman" w:eastAsia="楷体_GB2312" w:cs="Times New Roman"/>
      <w:sz w:val="20"/>
      <w:szCs w:val="20"/>
    </w:rPr>
  </w:style>
  <w:style w:type="character" w:customStyle="1" w:styleId="51">
    <w:name w:val="正文文本缩进 字符"/>
    <w:link w:val="12"/>
    <w:autoRedefine/>
    <w:qFormat/>
    <w:locked/>
    <w:uiPriority w:val="99"/>
    <w:rPr>
      <w:rFonts w:ascii="Times New Roman" w:hAnsi="Times New Roman" w:eastAsia="宋体" w:cs="Times New Roman"/>
      <w:sz w:val="20"/>
      <w:szCs w:val="20"/>
    </w:rPr>
  </w:style>
  <w:style w:type="character" w:customStyle="1" w:styleId="52">
    <w:name w:val="批注框文本 字符"/>
    <w:link w:val="16"/>
    <w:autoRedefine/>
    <w:qFormat/>
    <w:locked/>
    <w:uiPriority w:val="99"/>
    <w:rPr>
      <w:rFonts w:ascii="Times New Roman" w:hAnsi="Times New Roman" w:eastAsia="宋体" w:cs="Times New Roman"/>
      <w:sz w:val="18"/>
      <w:szCs w:val="18"/>
    </w:rPr>
  </w:style>
  <w:style w:type="character" w:customStyle="1" w:styleId="53">
    <w:name w:val="页脚 字符"/>
    <w:link w:val="17"/>
    <w:autoRedefine/>
    <w:qFormat/>
    <w:locked/>
    <w:uiPriority w:val="99"/>
    <w:rPr>
      <w:rFonts w:cs="Times New Roman"/>
      <w:sz w:val="18"/>
      <w:szCs w:val="18"/>
    </w:rPr>
  </w:style>
  <w:style w:type="character" w:customStyle="1" w:styleId="54">
    <w:name w:val="页眉 字符"/>
    <w:link w:val="18"/>
    <w:autoRedefine/>
    <w:qFormat/>
    <w:locked/>
    <w:uiPriority w:val="99"/>
    <w:rPr>
      <w:rFonts w:cs="Times New Roman"/>
      <w:sz w:val="18"/>
      <w:szCs w:val="18"/>
    </w:rPr>
  </w:style>
  <w:style w:type="character" w:customStyle="1" w:styleId="55">
    <w:name w:val="正文文本缩进 3 字符"/>
    <w:link w:val="20"/>
    <w:autoRedefine/>
    <w:qFormat/>
    <w:locked/>
    <w:uiPriority w:val="99"/>
    <w:rPr>
      <w:rFonts w:ascii="Times New Roman" w:hAnsi="Times New Roman" w:eastAsia="宋体" w:cs="Times New Roman"/>
      <w:sz w:val="20"/>
      <w:szCs w:val="20"/>
    </w:rPr>
  </w:style>
  <w:style w:type="character" w:customStyle="1" w:styleId="56">
    <w:name w:val="正文文本首行缩进 字符"/>
    <w:link w:val="24"/>
    <w:autoRedefine/>
    <w:semiHidden/>
    <w:qFormat/>
    <w:locked/>
    <w:uiPriority w:val="99"/>
    <w:rPr>
      <w:rFonts w:ascii="Times New Roman" w:hAnsi="Times New Roman" w:eastAsia="楷体_GB2312" w:cs="Times New Roman"/>
      <w:sz w:val="20"/>
      <w:szCs w:val="20"/>
    </w:rPr>
  </w:style>
  <w:style w:type="character" w:customStyle="1" w:styleId="57">
    <w:name w:val="正文文本首行缩进 2 字符"/>
    <w:link w:val="25"/>
    <w:autoRedefine/>
    <w:qFormat/>
    <w:locked/>
    <w:uiPriority w:val="0"/>
    <w:rPr>
      <w:rFonts w:ascii="Times New Roman" w:hAnsi="Times New Roman" w:eastAsia="宋体" w:cs="Times New Roman"/>
      <w:sz w:val="20"/>
      <w:szCs w:val="20"/>
    </w:rPr>
  </w:style>
  <w:style w:type="character" w:customStyle="1" w:styleId="58">
    <w:name w:val="wg正文 仿宋_GB2312 四号"/>
    <w:autoRedefine/>
    <w:qFormat/>
    <w:uiPriority w:val="99"/>
    <w:rPr>
      <w:rFonts w:ascii="仿宋_GB2312" w:hAnsi="仿宋_GB2312" w:eastAsia="仿宋_GB2312"/>
      <w:sz w:val="28"/>
    </w:rPr>
  </w:style>
  <w:style w:type="paragraph" w:customStyle="1" w:styleId="5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b w:val="0"/>
      <w:sz w:val="28"/>
    </w:rPr>
  </w:style>
  <w:style w:type="paragraph" w:customStyle="1" w:styleId="60">
    <w:name w:val="样式 WG标题3居中 + 行距: 固定值 18 磅"/>
    <w:basedOn w:val="61"/>
    <w:autoRedefine/>
    <w:qFormat/>
    <w:uiPriority w:val="99"/>
    <w:pPr>
      <w:spacing w:line="360" w:lineRule="exact"/>
      <w:outlineLvl w:val="2"/>
    </w:pPr>
  </w:style>
  <w:style w:type="paragraph" w:customStyle="1" w:styleId="61">
    <w:name w:val="WG标题4居中"/>
    <w:basedOn w:val="1"/>
    <w:autoRedefine/>
    <w:qFormat/>
    <w:uiPriority w:val="99"/>
    <w:pPr>
      <w:spacing w:before="100" w:beforeAutospacing="1" w:after="100" w:afterAutospacing="1"/>
      <w:jc w:val="center"/>
      <w:outlineLvl w:val="3"/>
    </w:pPr>
    <w:rPr>
      <w:b/>
      <w:sz w:val="32"/>
    </w:rPr>
  </w:style>
  <w:style w:type="paragraph" w:styleId="62">
    <w:name w:val="List Paragraph"/>
    <w:basedOn w:val="1"/>
    <w:autoRedefine/>
    <w:qFormat/>
    <w:uiPriority w:val="99"/>
    <w:pPr>
      <w:ind w:firstLine="420" w:firstLineChars="200"/>
    </w:pPr>
    <w:rPr>
      <w:rFonts w:ascii="Calibri" w:hAnsi="Calibri"/>
    </w:rPr>
  </w:style>
  <w:style w:type="paragraph" w:customStyle="1" w:styleId="63">
    <w:name w:val="样式 WG标题3 + 行距: 固定值 18 磅"/>
    <w:basedOn w:val="1"/>
    <w:autoRedefine/>
    <w:qFormat/>
    <w:uiPriority w:val="99"/>
    <w:pPr>
      <w:autoSpaceDE w:val="0"/>
      <w:autoSpaceDN w:val="0"/>
      <w:adjustRightInd w:val="0"/>
      <w:spacing w:line="360" w:lineRule="exact"/>
      <w:textAlignment w:val="baseline"/>
      <w:outlineLvl w:val="2"/>
    </w:pPr>
    <w:rPr>
      <w:rFonts w:ascii="宋体" w:hAnsi="宋体"/>
      <w:b/>
      <w:color w:val="000000"/>
      <w:kern w:val="20"/>
    </w:rPr>
  </w:style>
  <w:style w:type="paragraph" w:customStyle="1" w:styleId="64">
    <w:name w:val="样式 WG标题2 + 行距: 固定值 18 磅1"/>
    <w:basedOn w:val="1"/>
    <w:autoRedefine/>
    <w:qFormat/>
    <w:uiPriority w:val="99"/>
    <w:pPr>
      <w:autoSpaceDE w:val="0"/>
      <w:autoSpaceDN w:val="0"/>
      <w:adjustRightInd w:val="0"/>
      <w:spacing w:line="360" w:lineRule="exact"/>
      <w:textAlignment w:val="baseline"/>
      <w:outlineLvl w:val="1"/>
    </w:pPr>
    <w:rPr>
      <w:rFonts w:ascii="仿宋_GB2312" w:hAnsi="宋体"/>
      <w:b/>
      <w:color w:val="000000"/>
      <w:kern w:val="20"/>
      <w:sz w:val="24"/>
    </w:rPr>
  </w:style>
  <w:style w:type="paragraph" w:customStyle="1" w:styleId="65">
    <w:name w:val="Table Paragraph"/>
    <w:basedOn w:val="1"/>
    <w:autoRedefine/>
    <w:qFormat/>
    <w:uiPriority w:val="99"/>
    <w:rPr>
      <w:rFonts w:ascii="宋体" w:hAnsi="宋体" w:cs="宋体"/>
      <w:lang w:val="zh-CN"/>
    </w:rPr>
  </w:style>
  <w:style w:type="table" w:customStyle="1" w:styleId="66">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7">
    <w:name w:val="无间隔1"/>
    <w:basedOn w:val="1"/>
    <w:autoRedefine/>
    <w:qFormat/>
    <w:uiPriority w:val="1"/>
    <w:pPr>
      <w:spacing w:line="400" w:lineRule="exact"/>
    </w:pPr>
    <w:rPr>
      <w:sz w:val="24"/>
    </w:rPr>
  </w:style>
  <w:style w:type="character" w:customStyle="1" w:styleId="68">
    <w:name w:val="标题 3 字符1"/>
    <w:link w:val="4"/>
    <w:autoRedefine/>
    <w:qFormat/>
    <w:uiPriority w:val="0"/>
    <w:rPr>
      <w:b/>
      <w:bCs/>
      <w:sz w:val="28"/>
      <w:szCs w:val="28"/>
    </w:rPr>
  </w:style>
  <w:style w:type="paragraph" w:customStyle="1" w:styleId="69">
    <w:name w:val="Blockquote"/>
    <w:basedOn w:val="1"/>
    <w:autoRedefine/>
    <w:unhideWhenUsed/>
    <w:qFormat/>
    <w:uiPriority w:val="0"/>
    <w:pPr>
      <w:spacing w:before="100" w:after="100"/>
      <w:ind w:left="360" w:right="360"/>
    </w:pPr>
    <w:rPr>
      <w:rFonts w:hint="eastAsia"/>
      <w:sz w:val="24"/>
      <w:szCs w:val="24"/>
    </w:rPr>
  </w:style>
  <w:style w:type="character" w:customStyle="1" w:styleId="70">
    <w:name w:val="hover"/>
    <w:basedOn w:val="28"/>
    <w:autoRedefine/>
    <w:qFormat/>
    <w:uiPriority w:val="0"/>
  </w:style>
  <w:style w:type="character" w:customStyle="1" w:styleId="71">
    <w:name w:val="hover1"/>
    <w:basedOn w:val="28"/>
    <w:autoRedefine/>
    <w:qFormat/>
    <w:uiPriority w:val="0"/>
    <w:rPr>
      <w:color w:val="2590EB"/>
    </w:rPr>
  </w:style>
  <w:style w:type="character" w:customStyle="1" w:styleId="72">
    <w:name w:val="hover2"/>
    <w:basedOn w:val="28"/>
    <w:autoRedefine/>
    <w:qFormat/>
    <w:uiPriority w:val="0"/>
    <w:rPr>
      <w:color w:val="2590EB"/>
    </w:rPr>
  </w:style>
  <w:style w:type="character" w:customStyle="1" w:styleId="73">
    <w:name w:val="hover3"/>
    <w:basedOn w:val="28"/>
    <w:autoRedefine/>
    <w:qFormat/>
    <w:uiPriority w:val="0"/>
    <w:rPr>
      <w:color w:val="2590EB"/>
      <w:shd w:val="clear" w:color="auto" w:fill="E9F4FD"/>
    </w:rPr>
  </w:style>
  <w:style w:type="paragraph" w:customStyle="1" w:styleId="74">
    <w:name w:val="列出段落1"/>
    <w:basedOn w:val="1"/>
    <w:autoRedefine/>
    <w:qFormat/>
    <w:uiPriority w:val="1"/>
    <w:pPr>
      <w:ind w:left="232" w:firstLine="418"/>
    </w:pPr>
    <w:rPr>
      <w:rFonts w:ascii="Calibri" w:hAnsi="Calibri"/>
      <w:szCs w:val="24"/>
    </w:rPr>
  </w:style>
  <w:style w:type="character" w:customStyle="1" w:styleId="75">
    <w:name w:val="CharAttribute10"/>
    <w:autoRedefine/>
    <w:qFormat/>
    <w:uiPriority w:val="0"/>
    <w:rPr>
      <w:rFonts w:ascii="¨¦?????" w:hAnsi="¨¦?????" w:eastAsia="¨¦?????"/>
      <w:sz w:val="28"/>
    </w:rPr>
  </w:style>
  <w:style w:type="paragraph" w:customStyle="1" w:styleId="76">
    <w:name w:val="Other|1"/>
    <w:basedOn w:val="1"/>
    <w:autoRedefine/>
    <w:qFormat/>
    <w:uiPriority w:val="0"/>
    <w:pPr>
      <w:spacing w:line="432" w:lineRule="auto"/>
      <w:ind w:firstLine="400"/>
    </w:pPr>
    <w:rPr>
      <w:rFonts w:ascii="宋体" w:hAnsi="宋体" w:cs="宋体"/>
      <w:sz w:val="20"/>
      <w:lang w:val="zh-TW" w:eastAsia="zh-TW" w:bidi="zh-TW"/>
    </w:rPr>
  </w:style>
  <w:style w:type="character" w:customStyle="1" w:styleId="77">
    <w:name w:val="hover4"/>
    <w:basedOn w:val="28"/>
    <w:autoRedefine/>
    <w:qFormat/>
    <w:uiPriority w:val="0"/>
    <w:rPr>
      <w:color w:val="2590EB"/>
      <w:shd w:val="clear" w:fill="E9F4FD"/>
    </w:rPr>
  </w:style>
  <w:style w:type="character" w:customStyle="1" w:styleId="78">
    <w:name w:val="edui-clickable"/>
    <w:basedOn w:val="28"/>
    <w:autoRedefine/>
    <w:qFormat/>
    <w:uiPriority w:val="0"/>
    <w:rPr>
      <w:color w:val="0000FF"/>
      <w:u w:val="single"/>
    </w:rPr>
  </w:style>
  <w:style w:type="character" w:customStyle="1" w:styleId="79">
    <w:name w:val="edui-unclickable"/>
    <w:basedOn w:val="28"/>
    <w:autoRedefine/>
    <w:qFormat/>
    <w:uiPriority w:val="0"/>
    <w:rPr>
      <w:color w:val="808080"/>
    </w:rPr>
  </w:style>
  <w:style w:type="character" w:customStyle="1" w:styleId="80">
    <w:name w:val="edui-clickable2"/>
    <w:basedOn w:val="28"/>
    <w:autoRedefine/>
    <w:qFormat/>
    <w:uiPriority w:val="0"/>
    <w:rPr>
      <w:color w:val="0000FF"/>
      <w:u w:val="single"/>
    </w:rPr>
  </w:style>
  <w:style w:type="paragraph" w:customStyle="1" w:styleId="81">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31233</Words>
  <Characters>33578</Characters>
  <Lines>275</Lines>
  <Paragraphs>77</Paragraphs>
  <TotalTime>1</TotalTime>
  <ScaleCrop>false</ScaleCrop>
  <LinksUpToDate>false</LinksUpToDate>
  <CharactersWithSpaces>36616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2023-06-19T07:16:00Z</dcterms:created>
  <dc:creator>QL</dc:creator>
  <cp:lastModifiedBy>璩蕊</cp:lastModifiedBy>
  <cp:lastPrinted>2024-01-02T01:05:00Z</cp:lastPrinted>
  <dcterms:modified xsi:type="dcterms:W3CDTF">2024-04-09T00:38:44Z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8AC30EF5B29E43E3A45AD1280BFE2A77_13</vt:lpwstr>
  </property>
</Properties>
</file>