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napToGrid w:val="0"/>
        <w:rPr>
          <w:rFonts w:ascii="Times New Roman" w:hAnsi="Times New Roman"/>
        </w:rPr>
      </w:pPr>
      <w:r>
        <w:rPr>
          <w:rFonts w:ascii="Times New Roman" w:hAnsi="Times New Roman"/>
        </w:rPr>
        <w:drawing>
          <wp:anchor distT="0" distB="0" distL="114300" distR="114300" simplePos="0" relativeHeight="251668480" behindDoc="0" locked="0" layoutInCell="1" allowOverlap="1">
            <wp:simplePos x="0" y="0"/>
            <wp:positionH relativeFrom="column">
              <wp:posOffset>27305</wp:posOffset>
            </wp:positionH>
            <wp:positionV relativeFrom="paragraph">
              <wp:posOffset>34290</wp:posOffset>
            </wp:positionV>
            <wp:extent cx="2884170" cy="699770"/>
            <wp:effectExtent l="0" t="0" r="0" b="508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84190" cy="699897"/>
                    </a:xfrm>
                    <a:prstGeom prst="rect">
                      <a:avLst/>
                    </a:prstGeom>
                  </pic:spPr>
                </pic:pic>
              </a:graphicData>
            </a:graphic>
          </wp:anchor>
        </w:drawing>
      </w:r>
    </w:p>
    <w:p>
      <w:pPr>
        <w:widowControl/>
        <w:snapToGrid w:val="0"/>
        <w:spacing w:before="120" w:after="120" w:line="240" w:lineRule="atLeast"/>
        <w:jc w:val="center"/>
        <w:textAlignment w:val="auto"/>
        <w:rPr>
          <w:b/>
          <w:sz w:val="56"/>
          <w:szCs w:val="56"/>
        </w:rPr>
      </w:pPr>
    </w:p>
    <w:p>
      <w:pPr>
        <w:widowControl/>
        <w:snapToGrid w:val="0"/>
        <w:spacing w:before="120" w:after="120" w:line="240" w:lineRule="atLeast"/>
        <w:jc w:val="center"/>
        <w:textAlignment w:val="auto"/>
        <w:rPr>
          <w:b/>
          <w:sz w:val="56"/>
          <w:szCs w:val="56"/>
        </w:rPr>
      </w:pPr>
    </w:p>
    <w:p>
      <w:pPr>
        <w:spacing w:line="240" w:lineRule="auto"/>
        <w:jc w:val="center"/>
        <w:rPr>
          <w:rFonts w:ascii="宋体"/>
          <w:b/>
          <w:bCs/>
          <w:sz w:val="44"/>
          <w:szCs w:val="44"/>
        </w:rPr>
      </w:pPr>
      <w:r>
        <w:rPr>
          <w:rFonts w:hint="eastAsia" w:ascii="宋体" w:hAnsi="宋体"/>
          <w:b/>
          <w:bCs/>
          <w:sz w:val="44"/>
          <w:szCs w:val="44"/>
        </w:rPr>
        <w:t>中华人民共和国</w:t>
      </w:r>
    </w:p>
    <w:p>
      <w:pPr>
        <w:jc w:val="center"/>
        <w:rPr>
          <w:rFonts w:ascii="宋体"/>
          <w:b/>
          <w:bCs/>
          <w:sz w:val="44"/>
          <w:szCs w:val="44"/>
        </w:rPr>
      </w:pPr>
      <w:r>
        <w:rPr>
          <w:rFonts w:hint="eastAsia" w:ascii="宋体"/>
          <w:b/>
          <w:bCs/>
          <w:sz w:val="44"/>
          <w:szCs w:val="44"/>
        </w:rPr>
        <w:t>亚洲基础设施投资银行贷款</w:t>
      </w:r>
    </w:p>
    <w:p>
      <w:pPr>
        <w:jc w:val="center"/>
        <w:rPr>
          <w:rFonts w:ascii="宋体"/>
          <w:b/>
          <w:bCs/>
          <w:sz w:val="44"/>
          <w:szCs w:val="44"/>
        </w:rPr>
      </w:pPr>
      <w:r>
        <w:rPr>
          <w:rFonts w:hint="eastAsia" w:ascii="宋体"/>
          <w:b/>
          <w:bCs/>
          <w:sz w:val="44"/>
          <w:szCs w:val="44"/>
        </w:rPr>
        <w:t>河南郑州等地特大暴雨洪涝灾害</w:t>
      </w:r>
    </w:p>
    <w:p>
      <w:pPr>
        <w:widowControl/>
        <w:snapToGrid w:val="0"/>
        <w:spacing w:before="120" w:after="120" w:line="240" w:lineRule="atLeast"/>
        <w:jc w:val="center"/>
        <w:textAlignment w:val="auto"/>
        <w:rPr>
          <w:rFonts w:eastAsia="微软雅黑" w:cs="微软雅黑"/>
          <w:bCs/>
          <w:sz w:val="40"/>
          <w:szCs w:val="40"/>
        </w:rPr>
      </w:pPr>
      <w:r>
        <w:rPr>
          <w:rFonts w:hint="eastAsia" w:ascii="宋体"/>
          <w:b/>
          <w:bCs/>
          <w:sz w:val="44"/>
          <w:szCs w:val="44"/>
        </w:rPr>
        <w:t>灾后恢复重建项目-焦作子项目</w:t>
      </w:r>
    </w:p>
    <w:p>
      <w:pPr>
        <w:widowControl/>
        <w:snapToGrid w:val="0"/>
        <w:spacing w:before="120" w:after="120" w:line="240" w:lineRule="atLeast"/>
        <w:jc w:val="center"/>
        <w:textAlignment w:val="auto"/>
      </w:pPr>
      <w:r>
        <w:rPr>
          <w:rFonts w:hint="eastAsia"/>
        </w:rPr>
        <w:t>（</w:t>
      </w:r>
      <w:r>
        <w:rPr>
          <w:rFonts w:hint="eastAsia" w:ascii="宋体" w:hAnsi="宋体"/>
          <w:sz w:val="28"/>
        </w:rPr>
        <w:t>贷款编号：L0543A）</w:t>
      </w:r>
    </w:p>
    <w:p>
      <w:pPr>
        <w:pStyle w:val="44"/>
        <w:jc w:val="center"/>
        <w:rPr>
          <w:rFonts w:ascii="宋体" w:hAnsi="宋体"/>
          <w:bCs w:val="0"/>
          <w:caps w:val="0"/>
          <w:sz w:val="36"/>
          <w:szCs w:val="36"/>
        </w:rPr>
      </w:pPr>
      <w:r>
        <w:rPr>
          <w:rFonts w:hint="eastAsia" w:ascii="宋体" w:hAnsi="宋体"/>
          <w:bCs w:val="0"/>
          <w:caps w:val="0"/>
          <w:sz w:val="36"/>
          <w:szCs w:val="36"/>
        </w:rPr>
        <w:t>田涧沟(影视路-普济河)治理工程</w:t>
      </w:r>
    </w:p>
    <w:p>
      <w:pPr>
        <w:jc w:val="center"/>
        <w:rPr>
          <w:rFonts w:ascii="宋体" w:hAnsi="宋体"/>
          <w:b/>
          <w:sz w:val="36"/>
          <w:szCs w:val="36"/>
        </w:rPr>
      </w:pPr>
      <w:r>
        <w:rPr>
          <w:rFonts w:hint="eastAsia" w:ascii="宋体" w:hAnsi="宋体"/>
          <w:b/>
          <w:sz w:val="36"/>
          <w:szCs w:val="36"/>
        </w:rPr>
        <w:t>国内竞争性招标</w:t>
      </w:r>
    </w:p>
    <w:p>
      <w:pPr>
        <w:widowControl/>
        <w:spacing w:line="240" w:lineRule="auto"/>
        <w:jc w:val="center"/>
        <w:textAlignment w:val="auto"/>
        <w:rPr>
          <w:rFonts w:ascii="宋体" w:hAnsi="宋体"/>
          <w:b/>
          <w:sz w:val="36"/>
          <w:szCs w:val="36"/>
        </w:rPr>
      </w:pPr>
      <w:r>
        <w:rPr>
          <w:rFonts w:hint="eastAsia" w:ascii="宋体" w:hAnsi="宋体"/>
          <w:b/>
          <w:sz w:val="36"/>
          <w:szCs w:val="36"/>
        </w:rPr>
        <w:t>招标编号：0701-244703160083</w:t>
      </w:r>
    </w:p>
    <w:p>
      <w:pPr>
        <w:widowControl/>
        <w:spacing w:line="240" w:lineRule="auto"/>
        <w:jc w:val="center"/>
        <w:textAlignment w:val="auto"/>
        <w:rPr>
          <w:rFonts w:hint="eastAsia" w:ascii="宋体" w:hAnsi="宋体" w:eastAsia="宋体"/>
          <w:b/>
          <w:sz w:val="36"/>
          <w:szCs w:val="36"/>
          <w:lang w:eastAsia="zh-CN"/>
        </w:rPr>
      </w:pPr>
      <w:r>
        <w:rPr>
          <w:rFonts w:hint="eastAsia" w:ascii="宋体" w:hAnsi="宋体"/>
          <w:b/>
          <w:sz w:val="36"/>
          <w:szCs w:val="36"/>
        </w:rPr>
        <w:t>合同号：</w:t>
      </w:r>
      <w:r>
        <w:rPr>
          <w:rFonts w:hint="eastAsia" w:ascii="宋体" w:hAnsi="宋体"/>
          <w:b/>
          <w:sz w:val="36"/>
          <w:szCs w:val="36"/>
          <w:lang w:eastAsia="zh-CN"/>
        </w:rPr>
        <w:t>JZTJ121A</w:t>
      </w:r>
      <w:r>
        <w:rPr>
          <w:rFonts w:hint="eastAsia" w:ascii="宋体" w:hAnsi="宋体"/>
          <w:b/>
          <w:sz w:val="36"/>
          <w:szCs w:val="36"/>
        </w:rPr>
        <w:t>、</w:t>
      </w:r>
      <w:r>
        <w:rPr>
          <w:rFonts w:hint="eastAsia" w:ascii="宋体" w:hAnsi="宋体"/>
          <w:b/>
          <w:sz w:val="36"/>
          <w:szCs w:val="36"/>
          <w:lang w:eastAsia="zh-CN"/>
        </w:rPr>
        <w:t>JZTJ121B</w:t>
      </w:r>
    </w:p>
    <w:p>
      <w:pPr>
        <w:widowControl/>
        <w:spacing w:line="240" w:lineRule="auto"/>
        <w:jc w:val="center"/>
        <w:textAlignment w:val="auto"/>
        <w:rPr>
          <w:rFonts w:hint="default" w:eastAsia="宋体"/>
          <w:lang w:val="en-US" w:eastAsia="zh-CN"/>
        </w:rPr>
      </w:pPr>
      <w:r>
        <w:rPr>
          <w:rFonts w:hint="eastAsia" w:ascii="宋体" w:hAnsi="宋体"/>
          <w:b/>
          <w:sz w:val="36"/>
          <w:szCs w:val="36"/>
        </w:rPr>
        <w:t>焦招[2024]-</w:t>
      </w:r>
      <w:r>
        <w:rPr>
          <w:rFonts w:hint="eastAsia" w:ascii="宋体" w:hAnsi="宋体"/>
          <w:b/>
          <w:sz w:val="36"/>
          <w:szCs w:val="36"/>
          <w:lang w:val="en-US" w:eastAsia="zh-CN"/>
        </w:rPr>
        <w:t>041</w:t>
      </w:r>
    </w:p>
    <w:p>
      <w:pPr>
        <w:spacing w:line="400" w:lineRule="atLeast"/>
        <w:jc w:val="center"/>
        <w:rPr>
          <w:rFonts w:ascii="宋体"/>
          <w:b/>
          <w:sz w:val="72"/>
          <w:szCs w:val="72"/>
        </w:rPr>
      </w:pPr>
      <w:r>
        <w:rPr>
          <w:rFonts w:hint="eastAsia" w:ascii="宋体" w:hAnsi="宋体"/>
          <w:b/>
          <w:sz w:val="72"/>
          <w:szCs w:val="72"/>
        </w:rPr>
        <w:t>招标文件</w:t>
      </w:r>
    </w:p>
    <w:p>
      <w:pPr>
        <w:spacing w:line="400" w:lineRule="atLeast"/>
        <w:jc w:val="center"/>
        <w:rPr>
          <w:rFonts w:ascii="宋体"/>
          <w:b/>
          <w:sz w:val="36"/>
          <w:szCs w:val="36"/>
        </w:rPr>
      </w:pPr>
      <w:r>
        <w:rPr>
          <w:rFonts w:hint="eastAsia" w:ascii="宋体" w:hAnsi="宋体" w:cs="宋体"/>
          <w:b/>
          <w:bCs/>
          <w:sz w:val="36"/>
          <w:szCs w:val="36"/>
        </w:rPr>
        <w:t>（商务部分）</w:t>
      </w:r>
    </w:p>
    <w:p>
      <w:pPr>
        <w:spacing w:line="360" w:lineRule="auto"/>
        <w:jc w:val="center"/>
        <w:rPr>
          <w:rFonts w:ascii="宋体"/>
          <w:b/>
          <w:sz w:val="36"/>
          <w:szCs w:val="36"/>
        </w:rPr>
      </w:pPr>
      <w:r>
        <w:rPr>
          <w:rFonts w:hint="eastAsia" w:ascii="宋体" w:hAnsi="宋体"/>
          <w:b/>
          <w:sz w:val="36"/>
          <w:szCs w:val="36"/>
        </w:rPr>
        <w:t>招标人：焦作市住房和城乡建设局</w:t>
      </w:r>
    </w:p>
    <w:p>
      <w:pPr>
        <w:spacing w:line="360" w:lineRule="auto"/>
        <w:jc w:val="center"/>
        <w:rPr>
          <w:rFonts w:ascii="宋体"/>
          <w:b/>
          <w:sz w:val="36"/>
          <w:szCs w:val="36"/>
        </w:rPr>
      </w:pPr>
      <w:r>
        <w:rPr>
          <w:rFonts w:hint="eastAsia" w:ascii="宋体" w:hAnsi="宋体"/>
          <w:b/>
          <w:sz w:val="36"/>
          <w:szCs w:val="36"/>
        </w:rPr>
        <w:t>招标代理：中技国际招标有限公司</w:t>
      </w:r>
    </w:p>
    <w:p>
      <w:pPr>
        <w:widowControl/>
        <w:snapToGrid w:val="0"/>
        <w:spacing w:before="120" w:after="120" w:line="0" w:lineRule="atLeast"/>
        <w:jc w:val="center"/>
        <w:textAlignment w:val="auto"/>
        <w:rPr>
          <w:b/>
          <w:sz w:val="36"/>
          <w:szCs w:val="36"/>
        </w:rPr>
      </w:pPr>
      <w:r>
        <w:rPr>
          <w:rFonts w:ascii="宋体" w:hAnsi="宋体"/>
          <w:b/>
          <w:sz w:val="36"/>
          <w:szCs w:val="36"/>
        </w:rPr>
        <w:t>20</w:t>
      </w:r>
      <w:r>
        <w:rPr>
          <w:rFonts w:hint="eastAsia" w:ascii="宋体" w:hAnsi="宋体"/>
          <w:b/>
          <w:sz w:val="36"/>
          <w:szCs w:val="36"/>
        </w:rPr>
        <w:t>24年</w:t>
      </w:r>
      <w:r>
        <w:rPr>
          <w:rFonts w:hint="eastAsia" w:ascii="宋体" w:hAnsi="宋体"/>
          <w:b/>
          <w:sz w:val="36"/>
          <w:szCs w:val="36"/>
          <w:lang w:val="en-US" w:eastAsia="zh-CN"/>
        </w:rPr>
        <w:t>7</w:t>
      </w:r>
      <w:r>
        <w:rPr>
          <w:rFonts w:hint="eastAsia" w:ascii="宋体" w:hAnsi="宋体"/>
          <w:b/>
          <w:sz w:val="36"/>
          <w:szCs w:val="36"/>
        </w:rPr>
        <w:t>月</w:t>
      </w:r>
    </w:p>
    <w:p>
      <w:pPr>
        <w:widowControl/>
        <w:snapToGrid w:val="0"/>
        <w:spacing w:before="120" w:after="120" w:line="0" w:lineRule="atLeast"/>
        <w:jc w:val="center"/>
        <w:textAlignment w:val="auto"/>
        <w:rPr>
          <w:b/>
          <w:sz w:val="44"/>
          <w:szCs w:val="44"/>
        </w:rPr>
      </w:pPr>
    </w:p>
    <w:p>
      <w:pPr>
        <w:widowControl/>
        <w:snapToGrid w:val="0"/>
        <w:spacing w:before="120" w:after="120" w:line="0" w:lineRule="atLeast"/>
        <w:jc w:val="center"/>
        <w:textAlignment w:val="auto"/>
        <w:rPr>
          <w:b/>
          <w:sz w:val="44"/>
          <w:szCs w:val="44"/>
        </w:rPr>
        <w:sectPr>
          <w:headerReference r:id="rId4"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widowControl/>
        <w:spacing w:before="120" w:after="120" w:line="300" w:lineRule="auto"/>
        <w:ind w:left="420" w:right="31" w:rightChars="15"/>
        <w:jc w:val="right"/>
        <w:textAlignment w:val="auto"/>
        <w:rPr>
          <w:i/>
          <w:iCs/>
          <w:szCs w:val="21"/>
        </w:rPr>
      </w:pPr>
    </w:p>
    <w:p>
      <w:pPr>
        <w:widowControl/>
        <w:spacing w:before="120" w:after="120" w:line="240" w:lineRule="atLeast"/>
        <w:ind w:left="420" w:right="428" w:rightChars="204"/>
        <w:jc w:val="left"/>
        <w:textAlignment w:val="auto"/>
      </w:pPr>
    </w:p>
    <w:p>
      <w:pPr>
        <w:pStyle w:val="87"/>
        <w:jc w:val="center"/>
        <w:rPr>
          <w:color w:val="auto"/>
        </w:rPr>
        <w:sectPr>
          <w:headerReference r:id="rId5" w:type="default"/>
          <w:footnotePr>
            <w:numRestart w:val="eachPage"/>
          </w:footnotePr>
          <w:endnotePr>
            <w:numFmt w:val="decimal"/>
          </w:endnotePr>
          <w:type w:val="continuous"/>
          <w:pgSz w:w="11907" w:h="16840"/>
          <w:pgMar w:top="1440" w:right="1797" w:bottom="1440" w:left="1797" w:header="851" w:footer="992" w:gutter="0"/>
          <w:pgNumType w:start="0"/>
          <w:cols w:space="425" w:num="1"/>
          <w:docGrid w:linePitch="312" w:charSpace="0"/>
        </w:sectPr>
      </w:pPr>
    </w:p>
    <w:p>
      <w:pPr>
        <w:pStyle w:val="87"/>
        <w:jc w:val="center"/>
        <w:rPr>
          <w:rFonts w:ascii="宋体" w:hAnsi="宋体" w:eastAsia="宋体"/>
          <w:color w:val="auto"/>
        </w:rPr>
      </w:pPr>
      <w:r>
        <w:rPr>
          <w:rFonts w:ascii="宋体" w:hAnsi="宋体" w:eastAsia="宋体"/>
          <w:color w:val="auto"/>
        </w:rPr>
        <w:t>目</w:t>
      </w:r>
      <w:r>
        <w:rPr>
          <w:rFonts w:hint="eastAsia" w:ascii="宋体" w:hAnsi="宋体" w:eastAsia="宋体"/>
          <w:color w:val="auto"/>
        </w:rPr>
        <w:t xml:space="preserve"> </w:t>
      </w:r>
      <w:r>
        <w:rPr>
          <w:rFonts w:ascii="宋体" w:hAnsi="宋体" w:eastAsia="宋体"/>
          <w:color w:val="auto"/>
        </w:rPr>
        <w:t>录</w:t>
      </w:r>
    </w:p>
    <w:p>
      <w:pPr>
        <w:pStyle w:val="44"/>
        <w:tabs>
          <w:tab w:val="right" w:leader="dot" w:pos="8303"/>
        </w:tabs>
        <w:rPr>
          <w:rFonts w:asciiTheme="minorHAnsi" w:hAnsiTheme="minorHAnsi" w:eastAsiaTheme="minorEastAsia" w:cstheme="minorBidi"/>
          <w:b w:val="0"/>
          <w:bCs w:val="0"/>
          <w:caps w:val="0"/>
          <w:sz w:val="22"/>
          <w:szCs w:val="22"/>
        </w:rPr>
      </w:pPr>
      <w:bookmarkStart w:id="0" w:name="_Toc324771929"/>
      <w:bookmarkStart w:id="1" w:name="_Toc128391507"/>
      <w:bookmarkStart w:id="2" w:name="_Toc128391407"/>
      <w:r>
        <w:rPr>
          <w:b w:val="0"/>
          <w:szCs w:val="21"/>
        </w:rPr>
        <w:fldChar w:fldCharType="begin"/>
      </w:r>
      <w:r>
        <w:rPr>
          <w:b w:val="0"/>
          <w:szCs w:val="21"/>
        </w:rPr>
        <w:instrText xml:space="preserve"> TOC \o "1-2" \h \z \u </w:instrText>
      </w:r>
      <w:r>
        <w:rPr>
          <w:b w:val="0"/>
          <w:szCs w:val="21"/>
        </w:rPr>
        <w:fldChar w:fldCharType="separate"/>
      </w:r>
      <w:r>
        <w:fldChar w:fldCharType="begin"/>
      </w:r>
      <w:r>
        <w:instrText xml:space="preserve"> HYPERLINK \l "_Toc110330463" </w:instrText>
      </w:r>
      <w:r>
        <w:fldChar w:fldCharType="separate"/>
      </w:r>
      <w:r>
        <w:rPr>
          <w:rStyle w:val="70"/>
          <w:rFonts w:hint="eastAsia"/>
        </w:rPr>
        <w:t>第一篇　招标程序</w:t>
      </w:r>
      <w:r>
        <w:tab/>
      </w:r>
      <w:r>
        <w:fldChar w:fldCharType="begin"/>
      </w:r>
      <w:r>
        <w:instrText xml:space="preserve"> PAGEREF _Toc110330463 \h </w:instrText>
      </w:r>
      <w:r>
        <w:fldChar w:fldCharType="separate"/>
      </w:r>
      <w:r>
        <w:t>3</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"_Toc110330464" </w:instrText>
      </w:r>
      <w:r>
        <w:fldChar w:fldCharType="separate"/>
      </w:r>
      <w:r>
        <w:rPr>
          <w:rStyle w:val="70"/>
          <w:rFonts w:hint="eastAsia"/>
        </w:rPr>
        <w:t>第一章　投标人须知</w:t>
      </w:r>
      <w:r>
        <w:tab/>
      </w:r>
      <w:r>
        <w:fldChar w:fldCharType="begin"/>
      </w:r>
      <w:r>
        <w:instrText xml:space="preserve"> PAGEREF _Toc110330464 \h </w:instrText>
      </w:r>
      <w:r>
        <w:fldChar w:fldCharType="separate"/>
      </w:r>
      <w:r>
        <w:t>4</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"_Toc110330465" </w:instrText>
      </w:r>
      <w:r>
        <w:fldChar w:fldCharType="separate"/>
      </w:r>
      <w:r>
        <w:rPr>
          <w:rStyle w:val="70"/>
          <w:rFonts w:hint="eastAsia"/>
        </w:rPr>
        <w:t>第二章　投标资料表</w:t>
      </w:r>
      <w:r>
        <w:tab/>
      </w:r>
      <w:r>
        <w:fldChar w:fldCharType="begin"/>
      </w:r>
      <w:r>
        <w:instrText xml:space="preserve"> PAGEREF _Toc110330465 \h </w:instrText>
      </w:r>
      <w:r>
        <w:fldChar w:fldCharType="separate"/>
      </w:r>
      <w:r>
        <w:t>20</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"_Toc110330466" </w:instrText>
      </w:r>
      <w:r>
        <w:fldChar w:fldCharType="separate"/>
      </w:r>
      <w:r>
        <w:rPr>
          <w:rStyle w:val="70"/>
          <w:rFonts w:hint="eastAsia"/>
        </w:rPr>
        <w:t>第三章　评标和资格标准</w:t>
      </w:r>
      <w:r>
        <w:tab/>
      </w:r>
      <w:r>
        <w:fldChar w:fldCharType="begin"/>
      </w:r>
      <w:r>
        <w:instrText xml:space="preserve"> PAGEREF _Toc110330466 \h </w:instrText>
      </w:r>
      <w:r>
        <w:fldChar w:fldCharType="separate"/>
      </w:r>
      <w:r>
        <w:t>26</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"_Toc110330467" </w:instrText>
      </w:r>
      <w:r>
        <w:fldChar w:fldCharType="separate"/>
      </w:r>
      <w:r>
        <w:rPr>
          <w:rStyle w:val="70"/>
          <w:rFonts w:hint="eastAsia"/>
        </w:rPr>
        <w:t>第四章　投标文件格式</w:t>
      </w:r>
      <w:r>
        <w:tab/>
      </w:r>
      <w:r>
        <w:fldChar w:fldCharType="begin"/>
      </w:r>
      <w:r>
        <w:instrText xml:space="preserve"> PAGEREF _Toc110330467 \h </w:instrText>
      </w:r>
      <w:r>
        <w:fldChar w:fldCharType="separate"/>
      </w:r>
      <w:r>
        <w:t>43</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"_Toc110330468" </w:instrText>
      </w:r>
      <w:r>
        <w:fldChar w:fldCharType="separate"/>
      </w:r>
      <w:r>
        <w:rPr>
          <w:rStyle w:val="70"/>
          <w:rFonts w:hint="eastAsia"/>
        </w:rPr>
        <w:t>第五章　合格国家</w:t>
      </w:r>
      <w:r>
        <w:tab/>
      </w:r>
      <w:r>
        <w:fldChar w:fldCharType="begin"/>
      </w:r>
      <w:r>
        <w:instrText xml:space="preserve"> PAGEREF _Toc110330468 \h </w:instrText>
      </w:r>
      <w:r>
        <w:fldChar w:fldCharType="separate"/>
      </w:r>
      <w:r>
        <w:t>73</w:t>
      </w:r>
      <w:r>
        <w:fldChar w:fldCharType="end"/>
      </w:r>
      <w:r>
        <w:fldChar w:fldCharType="end"/>
      </w:r>
    </w:p>
    <w:p>
      <w:pPr>
        <w:pStyle w:val="44"/>
        <w:tabs>
          <w:tab w:val="right" w:leader="dot" w:pos="8303"/>
        </w:tabs>
        <w:rPr>
          <w:rFonts w:asciiTheme="minorHAnsi" w:hAnsiTheme="minorHAnsi" w:eastAsiaTheme="minorEastAsia" w:cstheme="minorBidi"/>
          <w:b w:val="0"/>
          <w:bCs w:val="0"/>
          <w:caps w:val="0"/>
          <w:sz w:val="22"/>
          <w:szCs w:val="22"/>
        </w:rPr>
      </w:pPr>
      <w:r>
        <w:fldChar w:fldCharType="begin"/>
      </w:r>
      <w:r>
        <w:instrText xml:space="preserve"> HYPERLINK \l "_Toc110330469" </w:instrText>
      </w:r>
      <w:r>
        <w:fldChar w:fldCharType="separate"/>
      </w:r>
      <w:r>
        <w:rPr>
          <w:rStyle w:val="70"/>
          <w:rFonts w:hint="eastAsia"/>
        </w:rPr>
        <w:t>第二篇　业主要求</w:t>
      </w:r>
      <w:r>
        <w:tab/>
      </w:r>
      <w:r>
        <w:fldChar w:fldCharType="begin"/>
      </w:r>
      <w:r>
        <w:instrText xml:space="preserve"> PAGEREF _Toc110330469 \h </w:instrText>
      </w:r>
      <w:r>
        <w:fldChar w:fldCharType="separate"/>
      </w:r>
      <w:r>
        <w:t>74</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"_Toc110330470" </w:instrText>
      </w:r>
      <w:r>
        <w:fldChar w:fldCharType="separate"/>
      </w:r>
      <w:r>
        <w:rPr>
          <w:rStyle w:val="70"/>
          <w:rFonts w:hint="eastAsia"/>
        </w:rPr>
        <w:t>第六章　业主要求</w:t>
      </w:r>
      <w:r>
        <w:tab/>
      </w:r>
      <w:r>
        <w:fldChar w:fldCharType="begin"/>
      </w:r>
      <w:r>
        <w:instrText xml:space="preserve"> PAGEREF _Toc110330470 \h </w:instrText>
      </w:r>
      <w:r>
        <w:fldChar w:fldCharType="separate"/>
      </w:r>
      <w:r>
        <w:t>74</w:t>
      </w:r>
      <w:r>
        <w:fldChar w:fldCharType="end"/>
      </w:r>
      <w:r>
        <w:fldChar w:fldCharType="end"/>
      </w:r>
    </w:p>
    <w:p>
      <w:pPr>
        <w:pStyle w:val="44"/>
        <w:tabs>
          <w:tab w:val="right" w:leader="dot" w:pos="8303"/>
        </w:tabs>
        <w:rPr>
          <w:rFonts w:asciiTheme="minorHAnsi" w:hAnsiTheme="minorHAnsi" w:eastAsiaTheme="minorEastAsia" w:cstheme="minorBidi"/>
          <w:b w:val="0"/>
          <w:bCs w:val="0"/>
          <w:caps w:val="0"/>
          <w:sz w:val="22"/>
          <w:szCs w:val="22"/>
        </w:rPr>
      </w:pPr>
      <w:r>
        <w:fldChar w:fldCharType="begin"/>
      </w:r>
      <w:r>
        <w:instrText xml:space="preserve"> HYPERLINK \l "_Toc110330471" </w:instrText>
      </w:r>
      <w:r>
        <w:fldChar w:fldCharType="separate"/>
      </w:r>
      <w:r>
        <w:rPr>
          <w:rStyle w:val="70"/>
          <w:rFonts w:hint="eastAsia"/>
        </w:rPr>
        <w:t>第三篇　合同</w:t>
      </w:r>
      <w:r>
        <w:tab/>
      </w:r>
      <w:r>
        <w:fldChar w:fldCharType="begin"/>
      </w:r>
      <w:r>
        <w:instrText xml:space="preserve"> PAGEREF _Toc110330471 \h </w:instrText>
      </w:r>
      <w:r>
        <w:fldChar w:fldCharType="separate"/>
      </w:r>
      <w:r>
        <w:t>81</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"_Toc110330472" </w:instrText>
      </w:r>
      <w:r>
        <w:fldChar w:fldCharType="separate"/>
      </w:r>
      <w:r>
        <w:rPr>
          <w:rStyle w:val="70"/>
          <w:rFonts w:hint="eastAsia"/>
        </w:rPr>
        <w:t>第七章　一般合同条款</w:t>
      </w:r>
      <w:r>
        <w:tab/>
      </w:r>
      <w:r>
        <w:fldChar w:fldCharType="begin"/>
      </w:r>
      <w:r>
        <w:instrText xml:space="preserve"> PAGEREF _Toc110330472 \h </w:instrText>
      </w:r>
      <w:r>
        <w:fldChar w:fldCharType="separate"/>
      </w:r>
      <w:r>
        <w:t>82</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"_Toc110330473" </w:instrText>
      </w:r>
      <w:r>
        <w:fldChar w:fldCharType="separate"/>
      </w:r>
      <w:r>
        <w:rPr>
          <w:rStyle w:val="70"/>
          <w:rFonts w:hint="eastAsia"/>
        </w:rPr>
        <w:t>第八章　特殊合同条款</w:t>
      </w:r>
      <w:r>
        <w:tab/>
      </w:r>
      <w:r>
        <w:fldChar w:fldCharType="begin"/>
      </w:r>
      <w:r>
        <w:instrText xml:space="preserve"> PAGEREF _Toc110330473 \h </w:instrText>
      </w:r>
      <w:r>
        <w:fldChar w:fldCharType="separate"/>
      </w:r>
      <w:r>
        <w:t>101</w:t>
      </w:r>
      <w:r>
        <w:fldChar w:fldCharType="end"/>
      </w:r>
      <w:r>
        <w:fldChar w:fldCharType="end"/>
      </w:r>
    </w:p>
    <w:p>
      <w:pPr>
        <w:pStyle w:val="52"/>
        <w:tabs>
          <w:tab w:val="right" w:leader="dot" w:pos="8303"/>
        </w:tabs>
        <w:ind w:left="576"/>
        <w:rPr>
          <w:rFonts w:asciiTheme="minorHAnsi" w:hAnsiTheme="minorHAnsi" w:eastAsiaTheme="minorEastAsia" w:cstheme="minorBidi"/>
          <w:smallCaps w:val="0"/>
          <w:sz w:val="22"/>
          <w:szCs w:val="22"/>
        </w:rPr>
      </w:pPr>
      <w:r>
        <w:fldChar w:fldCharType="begin"/>
      </w:r>
      <w:r>
        <w:instrText xml:space="preserve"> HYPERLINK \l "_Toc110330474" </w:instrText>
      </w:r>
      <w:r>
        <w:fldChar w:fldCharType="separate"/>
      </w:r>
      <w:r>
        <w:rPr>
          <w:rStyle w:val="70"/>
          <w:rFonts w:hint="eastAsia"/>
        </w:rPr>
        <w:t>第九章　合同格式</w:t>
      </w:r>
      <w:r>
        <w:tab/>
      </w:r>
      <w:r>
        <w:fldChar w:fldCharType="begin"/>
      </w:r>
      <w:r>
        <w:instrText xml:space="preserve"> PAGEREF _Toc110330474 \h </w:instrText>
      </w:r>
      <w:r>
        <w:fldChar w:fldCharType="separate"/>
      </w:r>
      <w:r>
        <w:t>110</w:t>
      </w:r>
      <w:r>
        <w:fldChar w:fldCharType="end"/>
      </w:r>
      <w:r>
        <w:fldChar w:fldCharType="end"/>
      </w:r>
    </w:p>
    <w:p>
      <w:pPr>
        <w:pStyle w:val="18"/>
        <w:ind w:firstLine="482"/>
        <w:rPr>
          <w:rFonts w:ascii="Times New Roman" w:hAnsi="Times New Roman"/>
        </w:rPr>
      </w:pPr>
      <w:r>
        <w:rPr>
          <w:rFonts w:ascii="Times New Roman" w:hAnsi="Times New Roman" w:cs="Times New Roman"/>
          <w:b w:val="0"/>
          <w:szCs w:val="21"/>
          <w:lang w:eastAsia="zh-CN"/>
        </w:rPr>
        <w:fldChar w:fldCharType="end"/>
      </w:r>
    </w:p>
    <w:p>
      <w:pPr>
        <w:pStyle w:val="18"/>
        <w:ind w:firstLine="482"/>
        <w:rPr>
          <w:rFonts w:ascii="Times New Roman" w:hAnsi="Times New Roman"/>
        </w:rPr>
      </w:pPr>
    </w:p>
    <w:p>
      <w:pPr>
        <w:rPr>
          <w:lang w:eastAsia="en-US"/>
        </w:rPr>
      </w:pPr>
    </w:p>
    <w:p>
      <w:pPr>
        <w:rPr>
          <w:lang w:eastAsia="en-US"/>
        </w:rPr>
      </w:pPr>
    </w:p>
    <w:p>
      <w:pPr>
        <w:rPr>
          <w:lang w:eastAsia="en-US"/>
        </w:rPr>
      </w:pPr>
    </w:p>
    <w:p>
      <w:pPr>
        <w:rPr>
          <w:lang w:eastAsia="en-US"/>
        </w:rPr>
      </w:pPr>
    </w:p>
    <w:p>
      <w:pPr>
        <w:rPr>
          <w:lang w:eastAsia="en-US"/>
        </w:rPr>
      </w:pPr>
      <w:r>
        <w:rPr>
          <w:lang w:eastAsia="en-US"/>
        </w:rPr>
        <w:br w:type="page"/>
      </w:r>
    </w:p>
    <w:p>
      <w:pPr>
        <w:rPr>
          <w:lang w:eastAsia="en-US"/>
        </w:rPr>
        <w:sectPr>
          <w:headerReference r:id="rId6"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rPr>
          <w:lang w:eastAsia="en-US"/>
        </w:rPr>
      </w:pPr>
    </w:p>
    <w:p>
      <w:pPr>
        <w:pStyle w:val="225"/>
      </w:pPr>
      <w:bookmarkStart w:id="3" w:name="_Toc110330463"/>
      <w:bookmarkStart w:id="4" w:name="_Toc110264720"/>
      <w:bookmarkStart w:id="5" w:name="_Toc324772145"/>
      <w:bookmarkStart w:id="6" w:name="_Toc110330402"/>
      <w:bookmarkStart w:id="7" w:name="_Toc110264311"/>
      <w:bookmarkStart w:id="8" w:name="_Toc110262656"/>
      <w:bookmarkStart w:id="9" w:name="_Toc110263850"/>
      <w:bookmarkStart w:id="10" w:name="_Toc391287276"/>
      <w:bookmarkStart w:id="11" w:name="_Toc110264937"/>
      <w:bookmarkStart w:id="12" w:name="_Toc110267584"/>
      <w:bookmarkStart w:id="13" w:name="_Toc169103190"/>
      <w:bookmarkStart w:id="14" w:name="_Toc110265173"/>
      <w:bookmarkStart w:id="15" w:name="_Toc110328302"/>
      <w:bookmarkStart w:id="16" w:name="_Toc110264773"/>
      <w:bookmarkStart w:id="17" w:name="_Toc110268510"/>
    </w:p>
    <w:p>
      <w:pPr>
        <w:pStyle w:val="225"/>
      </w:pPr>
    </w:p>
    <w:p>
      <w:pPr>
        <w:pStyle w:val="225"/>
      </w:pPr>
    </w:p>
    <w:p>
      <w:pPr>
        <w:pStyle w:val="225"/>
      </w:pPr>
    </w:p>
    <w:p>
      <w:pPr>
        <w:pStyle w:val="225"/>
      </w:pPr>
    </w:p>
    <w:p>
      <w:pPr>
        <w:pStyle w:val="225"/>
      </w:pPr>
    </w:p>
    <w:p>
      <w:pPr>
        <w:pStyle w:val="225"/>
      </w:pPr>
    </w:p>
    <w:p>
      <w:pPr>
        <w:pStyle w:val="225"/>
      </w:pPr>
    </w:p>
    <w:p>
      <w:pPr>
        <w:pStyle w:val="225"/>
      </w:pPr>
    </w:p>
    <w:p>
      <w:pPr>
        <w:pStyle w:val="225"/>
      </w:pPr>
    </w:p>
    <w:p>
      <w:pPr>
        <w:pStyle w:val="225"/>
      </w:pPr>
    </w:p>
    <w:p>
      <w:pPr>
        <w:pStyle w:val="225"/>
      </w:pPr>
      <w:bookmarkStart w:id="18" w:name="_Toc171063053"/>
      <w:r>
        <w:rPr>
          <w:rFonts w:hint="eastAsia"/>
        </w:rPr>
        <w:t>第一篇　招标程序</w:t>
      </w:r>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52"/>
        <w:tabs>
          <w:tab w:val="right" w:leader="dot" w:pos="8303"/>
        </w:tabs>
        <w:ind w:left="0"/>
        <w:rPr>
          <w:lang w:val="zh-CN" w:eastAsia="zh-CN"/>
        </w:rPr>
      </w:pPr>
    </w:p>
    <w:p>
      <w:pPr>
        <w:pStyle w:val="37"/>
        <w:sectPr>
          <w:headerReference r:id="rId7" w:type="default"/>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pStyle w:val="3"/>
      </w:pPr>
      <w:bookmarkStart w:id="19" w:name="_Toc110267585"/>
      <w:bookmarkStart w:id="20" w:name="_Toc110264774"/>
      <w:bookmarkStart w:id="21" w:name="_Toc110272045"/>
      <w:bookmarkStart w:id="22" w:name="_Toc110263851"/>
      <w:bookmarkStart w:id="23" w:name="_Toc324772147"/>
      <w:bookmarkStart w:id="24" w:name="_Toc110268550"/>
      <w:bookmarkStart w:id="25" w:name="_Toc324771931"/>
      <w:bookmarkStart w:id="26" w:name="_Toc391287278"/>
      <w:bookmarkStart w:id="27" w:name="_Toc110268511"/>
      <w:bookmarkStart w:id="28" w:name="_Toc110330403"/>
      <w:bookmarkStart w:id="29" w:name="_Toc110264938"/>
      <w:bookmarkStart w:id="30" w:name="_Toc171063054"/>
      <w:bookmarkStart w:id="31" w:name="_Toc110264312"/>
      <w:bookmarkStart w:id="32" w:name="_Toc110265174"/>
      <w:bookmarkStart w:id="33" w:name="_Toc110264721"/>
      <w:bookmarkStart w:id="34" w:name="_Toc110330464"/>
      <w:bookmarkStart w:id="35" w:name="_Toc110262657"/>
      <w:bookmarkStart w:id="36" w:name="_Toc169103191"/>
      <w:bookmarkStart w:id="37" w:name="_Toc110328303"/>
      <w:bookmarkStart w:id="38" w:name="第一篇"/>
      <w:r>
        <w:rPr>
          <w:rFonts w:hint="eastAsia"/>
        </w:rPr>
        <w:t>第一章　投标人须知</w:t>
      </w:r>
      <w:bookmarkEnd w:id="1"/>
      <w:bookmarkEnd w:id="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33"/>
        <w:tabs>
          <w:tab w:val="right" w:leader="dot" w:pos="8303"/>
        </w:tabs>
        <w:rPr>
          <w:rFonts w:asciiTheme="minorHAnsi" w:hAnsiTheme="minorHAnsi" w:eastAsiaTheme="minorEastAsia" w:cstheme="minorBidi"/>
          <w:b w:val="0"/>
          <w:iCs w:val="0"/>
          <w:kern w:val="2"/>
          <w:szCs w:val="22"/>
          <w14:ligatures w14:val="standardContextual"/>
        </w:rPr>
      </w:pPr>
      <w:r>
        <w:rPr>
          <w:sz w:val="20"/>
          <w:lang w:val="zh-CN" w:eastAsia="zh-CN"/>
        </w:rPr>
        <w:fldChar w:fldCharType="begin"/>
      </w:r>
      <w:r>
        <w:rPr>
          <w:lang w:val="zh-CN" w:eastAsia="zh-CN"/>
        </w:rPr>
        <w:instrText xml:space="preserve"> </w:instrText>
      </w:r>
      <w:r>
        <w:rPr>
          <w:rFonts w:hint="eastAsia"/>
          <w:lang w:val="zh-CN"/>
        </w:rPr>
        <w:instrText xml:space="preserve">toc</w:instrText>
      </w:r>
      <w:r>
        <w:rPr>
          <w:lang w:val="zh-CN" w:eastAsia="zh-CN"/>
        </w:rPr>
        <w:instrText xml:space="preserve"> \b </w:instrText>
      </w:r>
      <w:r>
        <w:rPr>
          <w:rFonts w:hint="eastAsia"/>
          <w:lang w:val="zh-CN"/>
        </w:rPr>
        <w:instrText xml:space="preserve">第一章</w:instrText>
      </w:r>
      <w:r>
        <w:rPr>
          <w:lang w:val="zh-CN" w:eastAsia="zh-CN"/>
        </w:rPr>
        <w:instrText xml:space="preserve"> </w:instrText>
      </w:r>
      <w:r>
        <w:rPr>
          <w:sz w:val="20"/>
          <w:lang w:val="zh-CN" w:eastAsia="zh-CN"/>
        </w:rPr>
        <w:fldChar w:fldCharType="separate"/>
      </w:r>
      <w:r>
        <w:rPr>
          <w:rFonts w:hint="eastAsia"/>
        </w:rPr>
        <w:t>第一节　总则</w:t>
      </w:r>
      <w:r>
        <w:tab/>
      </w:r>
      <w:r>
        <w:fldChar w:fldCharType="begin"/>
      </w:r>
      <w:r>
        <w:instrText xml:space="preserve"> PAGEREF _Toc171061144 \h </w:instrText>
      </w:r>
      <w:r>
        <w:fldChar w:fldCharType="separate"/>
      </w:r>
      <w:r>
        <w:t>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w:t>
      </w:r>
      <w:r>
        <w:rPr>
          <w:rFonts w:hint="eastAsia"/>
        </w:rPr>
        <w:t>条　投标范围</w:t>
      </w:r>
      <w:r>
        <w:tab/>
      </w:r>
      <w:r>
        <w:fldChar w:fldCharType="begin"/>
      </w:r>
      <w:r>
        <w:instrText xml:space="preserve"> PAGEREF _Toc171061145 \h </w:instrText>
      </w:r>
      <w:r>
        <w:fldChar w:fldCharType="separate"/>
      </w:r>
      <w:r>
        <w:t>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w:t>
      </w:r>
      <w:r>
        <w:rPr>
          <w:rFonts w:hint="eastAsia"/>
        </w:rPr>
        <w:t>条　资金来源</w:t>
      </w:r>
      <w:r>
        <w:tab/>
      </w:r>
      <w:r>
        <w:fldChar w:fldCharType="begin"/>
      </w:r>
      <w:r>
        <w:instrText xml:space="preserve"> PAGEREF _Toc171061146 \h </w:instrText>
      </w:r>
      <w:r>
        <w:fldChar w:fldCharType="separate"/>
      </w:r>
      <w:r>
        <w:t>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w:t>
      </w:r>
      <w:r>
        <w:rPr>
          <w:rFonts w:hint="eastAsia"/>
        </w:rPr>
        <w:t>条　禁止行为</w:t>
      </w:r>
      <w:r>
        <w:tab/>
      </w:r>
      <w:r>
        <w:fldChar w:fldCharType="begin"/>
      </w:r>
      <w:r>
        <w:instrText xml:space="preserve"> PAGEREF _Toc171061147 \h </w:instrText>
      </w:r>
      <w:r>
        <w:fldChar w:fldCharType="separate"/>
      </w:r>
      <w:r>
        <w:t>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4</w:t>
      </w:r>
      <w:r>
        <w:rPr>
          <w:rFonts w:hint="eastAsia"/>
        </w:rPr>
        <w:t>条　合格投标人</w:t>
      </w:r>
      <w:r>
        <w:tab/>
      </w:r>
      <w:r>
        <w:fldChar w:fldCharType="begin"/>
      </w:r>
      <w:r>
        <w:instrText xml:space="preserve"> PAGEREF _Toc171061148 \h </w:instrText>
      </w:r>
      <w:r>
        <w:fldChar w:fldCharType="separate"/>
      </w:r>
      <w:r>
        <w:t>7</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5</w:t>
      </w:r>
      <w:r>
        <w:rPr>
          <w:rFonts w:hint="eastAsia"/>
        </w:rPr>
        <w:t>条　合格材料、设备和服务</w:t>
      </w:r>
      <w:r>
        <w:tab/>
      </w:r>
      <w:r>
        <w:fldChar w:fldCharType="begin"/>
      </w:r>
      <w:r>
        <w:instrText xml:space="preserve"> PAGEREF _Toc171061149 \h </w:instrText>
      </w:r>
      <w:r>
        <w:fldChar w:fldCharType="separate"/>
      </w:r>
      <w:r>
        <w:t>8</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第二节　招标文件的内容</w:t>
      </w:r>
      <w:r>
        <w:tab/>
      </w:r>
      <w:r>
        <w:fldChar w:fldCharType="begin"/>
      </w:r>
      <w:r>
        <w:instrText xml:space="preserve"> PAGEREF _Toc171061150 \h </w:instrText>
      </w:r>
      <w:r>
        <w:fldChar w:fldCharType="separate"/>
      </w:r>
      <w:r>
        <w:t>9</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6</w:t>
      </w:r>
      <w:r>
        <w:rPr>
          <w:rFonts w:hint="eastAsia"/>
        </w:rPr>
        <w:t>条　招标文件的章节</w:t>
      </w:r>
      <w:r>
        <w:tab/>
      </w:r>
      <w:r>
        <w:fldChar w:fldCharType="begin"/>
      </w:r>
      <w:r>
        <w:instrText xml:space="preserve"> PAGEREF _Toc171061151 \h </w:instrText>
      </w:r>
      <w:r>
        <w:fldChar w:fldCharType="separate"/>
      </w:r>
      <w:r>
        <w:t>9</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7</w:t>
      </w:r>
      <w:r>
        <w:rPr>
          <w:rFonts w:hint="eastAsia"/>
        </w:rPr>
        <w:t>条　对招标文件的澄清与投诉、现场考察和标前会议</w:t>
      </w:r>
      <w:r>
        <w:tab/>
      </w:r>
      <w:r>
        <w:fldChar w:fldCharType="begin"/>
      </w:r>
      <w:r>
        <w:instrText xml:space="preserve"> PAGEREF _Toc171061152 \h </w:instrText>
      </w:r>
      <w:r>
        <w:fldChar w:fldCharType="separate"/>
      </w:r>
      <w:r>
        <w:t>9</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8</w:t>
      </w:r>
      <w:r>
        <w:rPr>
          <w:rFonts w:hint="eastAsia"/>
        </w:rPr>
        <w:t>条　招标文件的修改</w:t>
      </w:r>
      <w:r>
        <w:tab/>
      </w:r>
      <w:r>
        <w:fldChar w:fldCharType="begin"/>
      </w:r>
      <w:r>
        <w:instrText xml:space="preserve"> PAGEREF _Toc171061153 \h </w:instrText>
      </w:r>
      <w:r>
        <w:fldChar w:fldCharType="separate"/>
      </w:r>
      <w:r>
        <w:t>10</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第三节　投标文件的编制</w:t>
      </w:r>
      <w:r>
        <w:tab/>
      </w:r>
      <w:r>
        <w:fldChar w:fldCharType="begin"/>
      </w:r>
      <w:r>
        <w:instrText xml:space="preserve"> PAGEREF _Toc171061154 \h </w:instrText>
      </w:r>
      <w:r>
        <w:fldChar w:fldCharType="separate"/>
      </w:r>
      <w:r>
        <w:t>10</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9</w:t>
      </w:r>
      <w:r>
        <w:rPr>
          <w:rFonts w:hint="eastAsia"/>
        </w:rPr>
        <w:t>条　投标费用</w:t>
      </w:r>
      <w:r>
        <w:tab/>
      </w:r>
      <w:r>
        <w:fldChar w:fldCharType="begin"/>
      </w:r>
      <w:r>
        <w:instrText xml:space="preserve"> PAGEREF _Toc171061155 \h </w:instrText>
      </w:r>
      <w:r>
        <w:fldChar w:fldCharType="separate"/>
      </w:r>
      <w:r>
        <w:t>10</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10</w:t>
      </w:r>
      <w:r>
        <w:rPr>
          <w:rFonts w:hint="eastAsia"/>
        </w:rPr>
        <w:t>条　投标文件的语言</w:t>
      </w:r>
      <w:r>
        <w:tab/>
      </w:r>
      <w:r>
        <w:fldChar w:fldCharType="begin"/>
      </w:r>
      <w:r>
        <w:instrText xml:space="preserve"> PAGEREF _Toc171061156 \h </w:instrText>
      </w:r>
      <w:r>
        <w:fldChar w:fldCharType="separate"/>
      </w:r>
      <w:r>
        <w:t>10</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11</w:t>
      </w:r>
      <w:r>
        <w:rPr>
          <w:rFonts w:hint="eastAsia"/>
        </w:rPr>
        <w:t>条　投标文件的构成</w:t>
      </w:r>
      <w:r>
        <w:tab/>
      </w:r>
      <w:r>
        <w:fldChar w:fldCharType="begin"/>
      </w:r>
      <w:r>
        <w:instrText xml:space="preserve"> PAGEREF _Toc171061157 \h </w:instrText>
      </w:r>
      <w:r>
        <w:fldChar w:fldCharType="separate"/>
      </w:r>
      <w:r>
        <w:t>10</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12</w:t>
      </w:r>
      <w:r>
        <w:rPr>
          <w:rFonts w:hint="eastAsia"/>
        </w:rPr>
        <w:t>条　投标函和报价表</w:t>
      </w:r>
      <w:r>
        <w:tab/>
      </w:r>
      <w:r>
        <w:fldChar w:fldCharType="begin"/>
      </w:r>
      <w:r>
        <w:instrText xml:space="preserve"> PAGEREF _Toc171061158 \h </w:instrText>
      </w:r>
      <w:r>
        <w:fldChar w:fldCharType="separate"/>
      </w:r>
      <w:r>
        <w:t>11</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13</w:t>
      </w:r>
      <w:r>
        <w:rPr>
          <w:rFonts w:hint="eastAsia"/>
        </w:rPr>
        <w:t>条　替代方案</w:t>
      </w:r>
      <w:r>
        <w:tab/>
      </w:r>
      <w:r>
        <w:fldChar w:fldCharType="begin"/>
      </w:r>
      <w:r>
        <w:instrText xml:space="preserve"> PAGEREF _Toc171061159 \h </w:instrText>
      </w:r>
      <w:r>
        <w:fldChar w:fldCharType="separate"/>
      </w:r>
      <w:r>
        <w:t>11</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14</w:t>
      </w:r>
      <w:r>
        <w:rPr>
          <w:rFonts w:hint="eastAsia"/>
        </w:rPr>
        <w:t>条　投标报价和折扣</w:t>
      </w:r>
      <w:r>
        <w:tab/>
      </w:r>
      <w:r>
        <w:fldChar w:fldCharType="begin"/>
      </w:r>
      <w:r>
        <w:instrText xml:space="preserve"> PAGEREF _Toc171061160 \h </w:instrText>
      </w:r>
      <w:r>
        <w:fldChar w:fldCharType="separate"/>
      </w:r>
      <w:r>
        <w:t>11</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15</w:t>
      </w:r>
      <w:r>
        <w:rPr>
          <w:rFonts w:hint="eastAsia"/>
        </w:rPr>
        <w:t>条　投标货币</w:t>
      </w:r>
      <w:r>
        <w:tab/>
      </w:r>
      <w:r>
        <w:fldChar w:fldCharType="begin"/>
      </w:r>
      <w:r>
        <w:instrText xml:space="preserve"> PAGEREF _Toc171061161 \h </w:instrText>
      </w:r>
      <w:r>
        <w:fldChar w:fldCharType="separate"/>
      </w:r>
      <w:r>
        <w:t>12</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16</w:t>
      </w:r>
      <w:r>
        <w:rPr>
          <w:rFonts w:hint="eastAsia"/>
        </w:rPr>
        <w:t>条　构成技术建议书的文件</w:t>
      </w:r>
      <w:r>
        <w:tab/>
      </w:r>
      <w:r>
        <w:fldChar w:fldCharType="begin"/>
      </w:r>
      <w:r>
        <w:instrText xml:space="preserve"> PAGEREF _Toc171061162 \h </w:instrText>
      </w:r>
      <w:r>
        <w:fldChar w:fldCharType="separate"/>
      </w:r>
      <w:r>
        <w:t>12</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17</w:t>
      </w:r>
      <w:r>
        <w:rPr>
          <w:rFonts w:hint="eastAsia"/>
        </w:rPr>
        <w:t>条　证明投标人合格性的文件</w:t>
      </w:r>
      <w:r>
        <w:tab/>
      </w:r>
      <w:r>
        <w:fldChar w:fldCharType="begin"/>
      </w:r>
      <w:r>
        <w:instrText xml:space="preserve"> PAGEREF _Toc171061163 \h </w:instrText>
      </w:r>
      <w:r>
        <w:fldChar w:fldCharType="separate"/>
      </w:r>
      <w:r>
        <w:t>12</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18</w:t>
      </w:r>
      <w:r>
        <w:rPr>
          <w:rFonts w:hint="eastAsia"/>
        </w:rPr>
        <w:t>条　投标有效期</w:t>
      </w:r>
      <w:r>
        <w:tab/>
      </w:r>
      <w:r>
        <w:fldChar w:fldCharType="begin"/>
      </w:r>
      <w:r>
        <w:instrText xml:space="preserve"> PAGEREF _Toc171061164 \h </w:instrText>
      </w:r>
      <w:r>
        <w:fldChar w:fldCharType="separate"/>
      </w:r>
      <w:r>
        <w:t>12</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19</w:t>
      </w:r>
      <w:r>
        <w:rPr>
          <w:rFonts w:hint="eastAsia"/>
        </w:rPr>
        <w:t>条　投标保证金</w:t>
      </w:r>
      <w:r>
        <w:tab/>
      </w:r>
      <w:r>
        <w:fldChar w:fldCharType="begin"/>
      </w:r>
      <w:r>
        <w:instrText xml:space="preserve"> PAGEREF _Toc171061165 \h </w:instrText>
      </w:r>
      <w:r>
        <w:fldChar w:fldCharType="separate"/>
      </w:r>
      <w:r>
        <w:t>12</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20</w:t>
      </w:r>
      <w:r>
        <w:rPr>
          <w:rFonts w:hint="eastAsia"/>
        </w:rPr>
        <w:t>条　投标文件的式样和签署</w:t>
      </w:r>
      <w:r>
        <w:tab/>
      </w:r>
      <w:r>
        <w:fldChar w:fldCharType="begin"/>
      </w:r>
      <w:r>
        <w:instrText xml:space="preserve"> PAGEREF _Toc171061166 \h </w:instrText>
      </w:r>
      <w:r>
        <w:fldChar w:fldCharType="separate"/>
      </w:r>
      <w:r>
        <w:t>13</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第四节　投标文件的递交和开启</w:t>
      </w:r>
      <w:r>
        <w:tab/>
      </w:r>
      <w:r>
        <w:fldChar w:fldCharType="begin"/>
      </w:r>
      <w:r>
        <w:instrText xml:space="preserve"> PAGEREF _Toc171061167 \h </w:instrText>
      </w:r>
      <w:r>
        <w:fldChar w:fldCharType="separate"/>
      </w:r>
      <w:r>
        <w:t>13</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21</w:t>
      </w:r>
      <w:r>
        <w:rPr>
          <w:rFonts w:hint="eastAsia"/>
        </w:rPr>
        <w:t>条　投标文件的递交、密封和标记</w:t>
      </w:r>
      <w:r>
        <w:tab/>
      </w:r>
      <w:r>
        <w:fldChar w:fldCharType="begin"/>
      </w:r>
      <w:r>
        <w:instrText xml:space="preserve"> PAGEREF _Toc171061168 \h </w:instrText>
      </w:r>
      <w:r>
        <w:fldChar w:fldCharType="separate"/>
      </w:r>
      <w:r>
        <w:t>13</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22</w:t>
      </w:r>
      <w:r>
        <w:rPr>
          <w:rFonts w:hint="eastAsia"/>
        </w:rPr>
        <w:t>条　投标截止时间</w:t>
      </w:r>
      <w:r>
        <w:tab/>
      </w:r>
      <w:r>
        <w:fldChar w:fldCharType="begin"/>
      </w:r>
      <w:r>
        <w:instrText xml:space="preserve"> PAGEREF _Toc171061169 \h </w:instrText>
      </w:r>
      <w:r>
        <w:fldChar w:fldCharType="separate"/>
      </w:r>
      <w:r>
        <w:t>13</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23</w:t>
      </w:r>
      <w:r>
        <w:rPr>
          <w:rFonts w:hint="eastAsia"/>
        </w:rPr>
        <w:t>条　迟交的投标文件</w:t>
      </w:r>
      <w:r>
        <w:tab/>
      </w:r>
      <w:r>
        <w:fldChar w:fldCharType="begin"/>
      </w:r>
      <w:r>
        <w:instrText xml:space="preserve"> PAGEREF _Toc171061170 \h </w:instrText>
      </w:r>
      <w:r>
        <w:fldChar w:fldCharType="separate"/>
      </w:r>
      <w:r>
        <w:t>14</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24</w:t>
      </w:r>
      <w:r>
        <w:rPr>
          <w:rFonts w:hint="eastAsia"/>
        </w:rPr>
        <w:t>条　投标文件的修改、替换和撤回</w:t>
      </w:r>
      <w:r>
        <w:tab/>
      </w:r>
      <w:r>
        <w:fldChar w:fldCharType="begin"/>
      </w:r>
      <w:r>
        <w:instrText xml:space="preserve"> PAGEREF _Toc171061171 \h </w:instrText>
      </w:r>
      <w:r>
        <w:fldChar w:fldCharType="separate"/>
      </w:r>
      <w:r>
        <w:t>14</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25</w:t>
      </w:r>
      <w:r>
        <w:rPr>
          <w:rFonts w:hint="eastAsia"/>
        </w:rPr>
        <w:t>条　开标</w:t>
      </w:r>
      <w:r>
        <w:tab/>
      </w:r>
      <w:r>
        <w:fldChar w:fldCharType="begin"/>
      </w:r>
      <w:r>
        <w:instrText xml:space="preserve"> PAGEREF _Toc171061172 \h </w:instrText>
      </w:r>
      <w:r>
        <w:fldChar w:fldCharType="separate"/>
      </w:r>
      <w:r>
        <w:t>14</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第五节　投标文件的评审和比较</w:t>
      </w:r>
      <w:r>
        <w:tab/>
      </w:r>
      <w:r>
        <w:fldChar w:fldCharType="begin"/>
      </w:r>
      <w:r>
        <w:instrText xml:space="preserve"> PAGEREF _Toc171061173 \h </w:instrText>
      </w:r>
      <w:r>
        <w:fldChar w:fldCharType="separate"/>
      </w:r>
      <w:r>
        <w:t>14</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26</w:t>
      </w:r>
      <w:r>
        <w:rPr>
          <w:rFonts w:hint="eastAsia"/>
        </w:rPr>
        <w:t>条　保密</w:t>
      </w:r>
      <w:r>
        <w:tab/>
      </w:r>
      <w:r>
        <w:fldChar w:fldCharType="begin"/>
      </w:r>
      <w:r>
        <w:instrText xml:space="preserve"> PAGEREF _Toc171061174 \h </w:instrText>
      </w:r>
      <w:r>
        <w:fldChar w:fldCharType="separate"/>
      </w:r>
      <w:r>
        <w:t>14</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27</w:t>
      </w:r>
      <w:r>
        <w:rPr>
          <w:rFonts w:hint="eastAsia"/>
        </w:rPr>
        <w:t>条　投标文件的澄清</w:t>
      </w:r>
      <w:r>
        <w:tab/>
      </w:r>
      <w:r>
        <w:fldChar w:fldCharType="begin"/>
      </w:r>
      <w:r>
        <w:instrText xml:space="preserve"> PAGEREF _Toc171061175 \h </w:instrText>
      </w:r>
      <w:r>
        <w:fldChar w:fldCharType="separate"/>
      </w:r>
      <w:r>
        <w:t>15</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28</w:t>
      </w:r>
      <w:r>
        <w:rPr>
          <w:rFonts w:hint="eastAsia"/>
        </w:rPr>
        <w:t>条　偏差、保留和遗漏</w:t>
      </w:r>
      <w:r>
        <w:tab/>
      </w:r>
      <w:r>
        <w:fldChar w:fldCharType="begin"/>
      </w:r>
      <w:r>
        <w:instrText xml:space="preserve"> PAGEREF _Toc171061176 \h </w:instrText>
      </w:r>
      <w:r>
        <w:fldChar w:fldCharType="separate"/>
      </w:r>
      <w:r>
        <w:t>15</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29</w:t>
      </w:r>
      <w:r>
        <w:rPr>
          <w:rFonts w:hint="eastAsia"/>
        </w:rPr>
        <w:t>条　投标的响应性</w:t>
      </w:r>
      <w:r>
        <w:tab/>
      </w:r>
      <w:r>
        <w:fldChar w:fldCharType="begin"/>
      </w:r>
      <w:r>
        <w:instrText xml:space="preserve"> PAGEREF _Toc171061177 \h </w:instrText>
      </w:r>
      <w:r>
        <w:fldChar w:fldCharType="separate"/>
      </w:r>
      <w:r>
        <w:t>15</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30</w:t>
      </w:r>
      <w:r>
        <w:rPr>
          <w:rFonts w:hint="eastAsia"/>
        </w:rPr>
        <w:t>条　不一致、错误和遗漏</w:t>
      </w:r>
      <w:r>
        <w:tab/>
      </w:r>
      <w:r>
        <w:fldChar w:fldCharType="begin"/>
      </w:r>
      <w:r>
        <w:instrText xml:space="preserve"> PAGEREF _Toc171061178 \h </w:instrText>
      </w:r>
      <w:r>
        <w:fldChar w:fldCharType="separate"/>
      </w:r>
      <w:r>
        <w:t>15</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31</w:t>
      </w:r>
      <w:r>
        <w:rPr>
          <w:rFonts w:hint="eastAsia"/>
        </w:rPr>
        <w:t>条　算术错误的更正</w:t>
      </w:r>
      <w:r>
        <w:tab/>
      </w:r>
      <w:r>
        <w:fldChar w:fldCharType="begin"/>
      </w:r>
      <w:r>
        <w:instrText xml:space="preserve"> PAGEREF _Toc171061179 \h </w:instrText>
      </w:r>
      <w:r>
        <w:fldChar w:fldCharType="separate"/>
      </w:r>
      <w:r>
        <w:t>16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32</w:t>
      </w:r>
      <w:r>
        <w:rPr>
          <w:rFonts w:hint="eastAsia"/>
        </w:rPr>
        <w:t>条　评标</w:t>
      </w:r>
      <w:r>
        <w:tab/>
      </w:r>
      <w:r>
        <w:fldChar w:fldCharType="begin"/>
      </w:r>
      <w:r>
        <w:instrText xml:space="preserve"> PAGEREF _Toc171061180 \h </w:instrText>
      </w:r>
      <w:r>
        <w:fldChar w:fldCharType="separate"/>
      </w:r>
      <w:r>
        <w:t>16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33</w:t>
      </w:r>
      <w:r>
        <w:rPr>
          <w:rFonts w:hint="eastAsia"/>
        </w:rPr>
        <w:t>条　异常低价投标</w:t>
      </w:r>
      <w:r>
        <w:tab/>
      </w:r>
      <w:r>
        <w:fldChar w:fldCharType="begin"/>
      </w:r>
      <w:r>
        <w:instrText xml:space="preserve"> PAGEREF _Toc171061181 \h </w:instrText>
      </w:r>
      <w:r>
        <w:fldChar w:fldCharType="separate"/>
      </w:r>
      <w:r>
        <w:t>16</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34</w:t>
      </w:r>
      <w:r>
        <w:rPr>
          <w:rFonts w:hint="eastAsia"/>
        </w:rPr>
        <w:t>条　不平衡报价或报价前置的投标</w:t>
      </w:r>
      <w:r>
        <w:tab/>
      </w:r>
      <w:r>
        <w:fldChar w:fldCharType="begin"/>
      </w:r>
      <w:r>
        <w:instrText xml:space="preserve"> PAGEREF _Toc171061182 \h </w:instrText>
      </w:r>
      <w:r>
        <w:fldChar w:fldCharType="separate"/>
      </w:r>
      <w:r>
        <w:t>17</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35</w:t>
      </w:r>
      <w:r>
        <w:rPr>
          <w:rFonts w:hint="eastAsia"/>
        </w:rPr>
        <w:t>条　对投标人的资格审查</w:t>
      </w:r>
      <w:r>
        <w:tab/>
      </w:r>
      <w:r>
        <w:fldChar w:fldCharType="begin"/>
      </w:r>
      <w:r>
        <w:instrText xml:space="preserve"> PAGEREF _Toc171061183 \h </w:instrText>
      </w:r>
      <w:r>
        <w:fldChar w:fldCharType="separate"/>
      </w:r>
      <w:r>
        <w:t>17</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36</w:t>
      </w:r>
      <w:r>
        <w:rPr>
          <w:rFonts w:hint="eastAsia"/>
        </w:rPr>
        <w:t>条　业主接受和拒绝任何或所有投标的权利</w:t>
      </w:r>
      <w:r>
        <w:tab/>
      </w:r>
      <w:r>
        <w:fldChar w:fldCharType="begin"/>
      </w:r>
      <w:r>
        <w:instrText xml:space="preserve"> PAGEREF _Toc171061184 \h </w:instrText>
      </w:r>
      <w:r>
        <w:fldChar w:fldCharType="separate"/>
      </w:r>
      <w:r>
        <w:t>18</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37</w:t>
      </w:r>
      <w:r>
        <w:rPr>
          <w:rFonts w:hint="eastAsia"/>
        </w:rPr>
        <w:t>条　停顿期</w:t>
      </w:r>
      <w:r>
        <w:tab/>
      </w:r>
      <w:r>
        <w:fldChar w:fldCharType="begin"/>
      </w:r>
      <w:r>
        <w:instrText xml:space="preserve"> PAGEREF _Toc171061185 \h </w:instrText>
      </w:r>
      <w:r>
        <w:fldChar w:fldCharType="separate"/>
      </w:r>
      <w:r>
        <w:t>18</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第六节　合同的授予</w:t>
      </w:r>
      <w:r>
        <w:tab/>
      </w:r>
      <w:r>
        <w:fldChar w:fldCharType="begin"/>
      </w:r>
      <w:r>
        <w:instrText xml:space="preserve"> PAGEREF _Toc171061186 \h </w:instrText>
      </w:r>
      <w:r>
        <w:fldChar w:fldCharType="separate"/>
      </w:r>
      <w:r>
        <w:t>18</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38</w:t>
      </w:r>
      <w:r>
        <w:rPr>
          <w:rFonts w:hint="eastAsia"/>
        </w:rPr>
        <w:t>条　授予合同的标准</w:t>
      </w:r>
      <w:r>
        <w:tab/>
      </w:r>
      <w:r>
        <w:fldChar w:fldCharType="begin"/>
      </w:r>
      <w:r>
        <w:instrText xml:space="preserve"> PAGEREF _Toc171061187 \h </w:instrText>
      </w:r>
      <w:r>
        <w:fldChar w:fldCharType="separate"/>
      </w:r>
      <w:r>
        <w:t>18</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39</w:t>
      </w:r>
      <w:r>
        <w:rPr>
          <w:rFonts w:hint="eastAsia"/>
        </w:rPr>
        <w:t>条　中标通知书</w:t>
      </w:r>
      <w:r>
        <w:tab/>
      </w:r>
      <w:r>
        <w:fldChar w:fldCharType="begin"/>
      </w:r>
      <w:r>
        <w:instrText xml:space="preserve"> PAGEREF _Toc171061188 \h </w:instrText>
      </w:r>
      <w:r>
        <w:fldChar w:fldCharType="separate"/>
      </w:r>
      <w:r>
        <w:t>18</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40</w:t>
      </w:r>
      <w:r>
        <w:rPr>
          <w:rFonts w:hint="eastAsia"/>
        </w:rPr>
        <w:t>条　签订合同</w:t>
      </w:r>
      <w:r>
        <w:tab/>
      </w:r>
      <w:r>
        <w:fldChar w:fldCharType="begin"/>
      </w:r>
      <w:r>
        <w:instrText xml:space="preserve"> PAGEREF _Toc171061189 \h </w:instrText>
      </w:r>
      <w:r>
        <w:fldChar w:fldCharType="separate"/>
      </w:r>
      <w:r>
        <w:t>18</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41</w:t>
      </w:r>
      <w:r>
        <w:rPr>
          <w:rFonts w:hint="eastAsia"/>
        </w:rPr>
        <w:t>条　履约保证金</w:t>
      </w:r>
      <w:r>
        <w:tab/>
      </w:r>
      <w:r>
        <w:fldChar w:fldCharType="begin"/>
      </w:r>
      <w:r>
        <w:instrText xml:space="preserve"> PAGEREF _Toc171061190 \h </w:instrText>
      </w:r>
      <w:r>
        <w:fldChar w:fldCharType="separate"/>
      </w:r>
      <w:r>
        <w:t>19</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42</w:t>
      </w:r>
      <w:r>
        <w:rPr>
          <w:rFonts w:hint="eastAsia"/>
        </w:rPr>
        <w:t>条　调解员</w:t>
      </w:r>
      <w:r>
        <w:tab/>
      </w:r>
      <w:r>
        <w:fldChar w:fldCharType="begin"/>
      </w:r>
      <w:r>
        <w:instrText xml:space="preserve"> PAGEREF _Toc171061191 \h </w:instrText>
      </w:r>
      <w:r>
        <w:fldChar w:fldCharType="separate"/>
      </w:r>
      <w:r>
        <w:t>19</w:t>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rPr>
          <w:rFonts w:hint="eastAsia"/>
        </w:rPr>
        <w:t>第</w:t>
      </w:r>
      <w:r>
        <w:t>43</w:t>
      </w:r>
      <w:r>
        <w:rPr>
          <w:rFonts w:hint="eastAsia"/>
        </w:rPr>
        <w:t>条　投标人的投诉</w:t>
      </w:r>
      <w:r>
        <w:tab/>
      </w:r>
      <w:r>
        <w:fldChar w:fldCharType="begin"/>
      </w:r>
      <w:r>
        <w:instrText xml:space="preserve"> PAGEREF _Toc171061192 \h </w:instrText>
      </w:r>
      <w:r>
        <w:fldChar w:fldCharType="separate"/>
      </w:r>
      <w:r>
        <w:t>19</w:t>
      </w:r>
      <w:r>
        <w:fldChar w:fldCharType="end"/>
      </w:r>
    </w:p>
    <w:p>
      <w:pPr>
        <w:rPr>
          <w:lang w:val="zh-CN" w:eastAsia="zh-CN"/>
        </w:rPr>
      </w:pPr>
      <w:r>
        <w:rPr>
          <w:lang w:val="zh-CN" w:eastAsia="zh-CN"/>
        </w:rPr>
        <w:fldChar w:fldCharType="end"/>
      </w:r>
      <w:bookmarkStart w:id="39" w:name="第一章"/>
      <w:r>
        <w:rPr>
          <w:lang w:val="zh-CN" w:eastAsia="zh-CN"/>
        </w:rPr>
        <w:br w:type="page"/>
      </w:r>
    </w:p>
    <w:p>
      <w:pPr>
        <w:pStyle w:val="4"/>
      </w:pPr>
      <w:bookmarkStart w:id="40" w:name="_Toc110263852"/>
      <w:bookmarkStart w:id="41" w:name="_Toc110264722"/>
      <w:bookmarkStart w:id="42" w:name="_Toc324772148"/>
      <w:bookmarkStart w:id="43" w:name="_Toc110272046"/>
      <w:bookmarkStart w:id="44" w:name="_Toc110262658"/>
      <w:bookmarkStart w:id="45" w:name="_Toc110264313"/>
      <w:bookmarkStart w:id="46" w:name="_Toc391287279"/>
      <w:bookmarkStart w:id="47" w:name="_Toc171063055"/>
      <w:bookmarkStart w:id="48" w:name="_Toc110264939"/>
      <w:bookmarkStart w:id="49" w:name="_Toc110264775"/>
      <w:bookmarkStart w:id="50" w:name="_Toc110267586"/>
      <w:bookmarkStart w:id="51" w:name="_Toc110268512"/>
      <w:bookmarkStart w:id="52" w:name="_Toc110265175"/>
      <w:bookmarkStart w:id="53" w:name="_Toc169103192"/>
      <w:bookmarkStart w:id="54" w:name="_Toc171061144"/>
      <w:bookmarkStart w:id="55" w:name="_Toc168753133"/>
      <w:bookmarkStart w:id="56" w:name="_Toc128391508"/>
      <w:bookmarkStart w:id="57" w:name="_Toc128391408"/>
      <w:bookmarkStart w:id="58" w:name="_Toc79668201"/>
      <w:bookmarkStart w:id="59" w:name="_Toc128391155"/>
      <w:bookmarkStart w:id="60" w:name="_Toc128396281"/>
      <w:bookmarkStart w:id="61" w:name="_Toc79667223"/>
      <w:r>
        <w:rPr>
          <w:rFonts w:hint="eastAsia"/>
        </w:rPr>
        <w:t>第</w:t>
      </w:r>
      <w:r>
        <w:t>一</w:t>
      </w:r>
      <w:r>
        <w:rPr>
          <w:rFonts w:hint="eastAsia"/>
        </w:rPr>
        <w:t>节　</w:t>
      </w:r>
      <w:r>
        <w:t>总则</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bookmarkEnd w:id="55"/>
    <w:bookmarkEnd w:id="56"/>
    <w:bookmarkEnd w:id="57"/>
    <w:bookmarkEnd w:id="58"/>
    <w:bookmarkEnd w:id="59"/>
    <w:bookmarkEnd w:id="60"/>
    <w:bookmarkEnd w:id="61"/>
    <w:p>
      <w:pPr>
        <w:pStyle w:val="5"/>
      </w:pPr>
      <w:bookmarkStart w:id="62" w:name="_Toc324772149"/>
      <w:bookmarkStart w:id="63" w:name="_Toc391287280"/>
      <w:bookmarkStart w:id="64" w:name="_Toc110262659"/>
      <w:bookmarkStart w:id="65" w:name="_Toc110263853"/>
      <w:bookmarkStart w:id="66" w:name="_Toc110264314"/>
      <w:bookmarkStart w:id="67" w:name="_Toc171063056"/>
      <w:bookmarkStart w:id="68" w:name="_Toc110267587"/>
      <w:bookmarkStart w:id="69" w:name="_Toc171061145"/>
      <w:bookmarkStart w:id="70" w:name="_Toc169103193"/>
      <w:bookmarkStart w:id="71" w:name="_Toc128391409"/>
      <w:bookmarkStart w:id="72" w:name="_Toc128396282"/>
      <w:bookmarkStart w:id="73" w:name="_Toc128391156"/>
      <w:bookmarkStart w:id="74" w:name="_Toc128391509"/>
      <w:bookmarkStart w:id="75" w:name="_Toc79668202"/>
      <w:bookmarkStart w:id="76" w:name="_Toc168753134"/>
      <w:bookmarkStart w:id="77" w:name="_Toc79667224"/>
      <w:r>
        <w:t>第1条　投标范围</w:t>
      </w:r>
      <w:bookmarkEnd w:id="62"/>
      <w:bookmarkEnd w:id="63"/>
      <w:bookmarkEnd w:id="64"/>
      <w:bookmarkEnd w:id="65"/>
      <w:bookmarkEnd w:id="66"/>
      <w:bookmarkEnd w:id="67"/>
      <w:bookmarkEnd w:id="68"/>
      <w:bookmarkEnd w:id="69"/>
      <w:bookmarkEnd w:id="70"/>
    </w:p>
    <w:bookmarkEnd w:id="71"/>
    <w:bookmarkEnd w:id="72"/>
    <w:bookmarkEnd w:id="73"/>
    <w:bookmarkEnd w:id="74"/>
    <w:bookmarkEnd w:id="75"/>
    <w:bookmarkEnd w:id="76"/>
    <w:bookmarkEnd w:id="77"/>
    <w:p>
      <w:pPr>
        <w:spacing w:before="120" w:after="120" w:line="240" w:lineRule="atLeast"/>
        <w:ind w:firstLine="420" w:firstLineChars="200"/>
        <w:jc w:val="left"/>
        <w:textAlignment w:val="auto"/>
        <w:rPr>
          <w:szCs w:val="21"/>
        </w:rPr>
      </w:pPr>
      <w:r>
        <w:rPr>
          <w:szCs w:val="21"/>
        </w:rPr>
        <w:t>1.1</w:t>
      </w:r>
      <w:r>
        <w:rPr>
          <w:rFonts w:hint="eastAsia"/>
          <w:szCs w:val="21"/>
        </w:rPr>
        <w:t>　本次招标的工程内容详见本招标文件第六章。业主名称、招标名称及其编号、合同名称及其编号详见</w:t>
      </w:r>
      <w:r>
        <w:rPr>
          <w:rFonts w:hint="eastAsia"/>
          <w:b/>
          <w:szCs w:val="21"/>
        </w:rPr>
        <w:t>“投标资料表”</w:t>
      </w:r>
      <w:r>
        <w:rPr>
          <w:rFonts w:hint="eastAsia"/>
          <w:szCs w:val="21"/>
        </w:rPr>
        <w:t>。</w:t>
      </w:r>
    </w:p>
    <w:p>
      <w:pPr>
        <w:spacing w:before="120" w:after="120" w:line="240" w:lineRule="atLeast"/>
        <w:ind w:firstLine="420" w:firstLineChars="200"/>
        <w:textAlignment w:val="auto"/>
      </w:pPr>
      <w:r>
        <w:rPr>
          <w:szCs w:val="21"/>
        </w:rPr>
        <w:t>1.2</w:t>
      </w:r>
      <w:r>
        <w:rPr>
          <w:rFonts w:hint="eastAsia"/>
          <w:bCs/>
          <w:szCs w:val="21"/>
        </w:rPr>
        <w:t>　</w:t>
      </w:r>
      <w:r>
        <w:rPr>
          <w:rFonts w:hint="eastAsia"/>
        </w:rPr>
        <w:t>在本招标文件中：</w:t>
      </w:r>
    </w:p>
    <w:p>
      <w:pPr>
        <w:spacing w:before="120" w:after="120" w:line="240" w:lineRule="atLeast"/>
        <w:ind w:left="936" w:hanging="576"/>
        <w:jc w:val="left"/>
        <w:textAlignment w:val="auto"/>
        <w:rPr>
          <w:szCs w:val="21"/>
        </w:rPr>
      </w:pPr>
      <w:r>
        <w:rPr>
          <w:rFonts w:hint="eastAsia"/>
          <w:szCs w:val="21"/>
        </w:rPr>
        <w:t>（1）“书面形式”系指送达</w:t>
      </w:r>
      <w:r>
        <w:rPr>
          <w:szCs w:val="21"/>
        </w:rPr>
        <w:t>的</w:t>
      </w:r>
      <w:r>
        <w:rPr>
          <w:rFonts w:hint="eastAsia"/>
          <w:szCs w:val="21"/>
        </w:rPr>
        <w:t>、文字记载形式的意思表示（如邮件、电子邮件、传真、电传等）。</w:t>
      </w:r>
    </w:p>
    <w:p>
      <w:pPr>
        <w:spacing w:before="120" w:after="120" w:line="240" w:lineRule="atLeast"/>
        <w:ind w:left="936" w:hanging="576"/>
        <w:jc w:val="left"/>
        <w:textAlignment w:val="auto"/>
        <w:rPr>
          <w:szCs w:val="21"/>
        </w:rPr>
      </w:pPr>
      <w:r>
        <w:rPr>
          <w:rFonts w:hint="eastAsia"/>
          <w:szCs w:val="21"/>
        </w:rPr>
        <w:t>（2）“天”指日历天数。除非明确指明为工作日天数。工作日指在中国的工作日，不包括官方公共假日。</w:t>
      </w:r>
    </w:p>
    <w:p>
      <w:pPr>
        <w:spacing w:before="120" w:after="120" w:line="240" w:lineRule="atLeast"/>
        <w:ind w:left="936" w:hanging="576"/>
        <w:jc w:val="left"/>
        <w:textAlignment w:val="auto"/>
        <w:rPr>
          <w:szCs w:val="21"/>
        </w:rPr>
      </w:pPr>
      <w:r>
        <w:rPr>
          <w:rFonts w:hint="eastAsia"/>
          <w:szCs w:val="21"/>
        </w:rPr>
        <w:t>（3）”ESHS”指环境、社会（包括性剥削、性虐待以及性暴力）、健康和安全。</w:t>
      </w:r>
    </w:p>
    <w:p>
      <w:pPr>
        <w:pStyle w:val="5"/>
      </w:pPr>
      <w:bookmarkStart w:id="78" w:name="_Toc171063057"/>
      <w:bookmarkStart w:id="79" w:name="_Toc169103194"/>
      <w:bookmarkStart w:id="80" w:name="_Toc128391410"/>
      <w:bookmarkStart w:id="81" w:name="_Toc128391510"/>
      <w:bookmarkStart w:id="82" w:name="_Toc128391157"/>
      <w:bookmarkStart w:id="83" w:name="_Toc110262660"/>
      <w:bookmarkStart w:id="84" w:name="_Toc168753135"/>
      <w:bookmarkStart w:id="85" w:name="_Toc110267588"/>
      <w:bookmarkStart w:id="86" w:name="_Toc79668203"/>
      <w:bookmarkStart w:id="87" w:name="_Toc171061146"/>
      <w:bookmarkStart w:id="88" w:name="_Toc110264315"/>
      <w:bookmarkStart w:id="89" w:name="_Toc324772150"/>
      <w:bookmarkStart w:id="90" w:name="_Toc391287281"/>
      <w:bookmarkStart w:id="91" w:name="_Toc79667225"/>
      <w:bookmarkStart w:id="92" w:name="_Toc128396283"/>
      <w:bookmarkStart w:id="93" w:name="_Toc110263854"/>
      <w:r>
        <w:rPr>
          <w:rFonts w:hint="eastAsia"/>
        </w:rPr>
        <w:t>第</w:t>
      </w:r>
      <w:r>
        <w:t>2</w:t>
      </w:r>
      <w:r>
        <w:rPr>
          <w:rFonts w:hint="eastAsia"/>
        </w:rPr>
        <w:t>条　资金来源</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before="120" w:after="120" w:line="240" w:lineRule="atLeast"/>
        <w:ind w:firstLine="420" w:firstLineChars="200"/>
        <w:jc w:val="left"/>
        <w:textAlignment w:val="auto"/>
        <w:rPr>
          <w:szCs w:val="21"/>
        </w:rPr>
      </w:pPr>
      <w:r>
        <w:rPr>
          <w:szCs w:val="21"/>
        </w:rPr>
        <w:t>2.1</w:t>
      </w:r>
      <w:r>
        <w:rPr>
          <w:rFonts w:hint="eastAsia"/>
          <w:szCs w:val="21"/>
        </w:rPr>
        <w:t>　</w:t>
      </w:r>
      <w:bookmarkStart w:id="94" w:name="_Hlk107308182"/>
      <w:r>
        <w:rPr>
          <w:rFonts w:hint="eastAsia"/>
          <w:b/>
          <w:szCs w:val="21"/>
        </w:rPr>
        <w:t>“投标资料表”</w:t>
      </w:r>
      <w:r>
        <w:rPr>
          <w:rFonts w:hint="eastAsia"/>
          <w:szCs w:val="21"/>
        </w:rPr>
        <w:t>所述借款人或贷款接受人（以下简称“借款人”、“业主”或“招标人”）已经从亚洲基础设施投资银行（以下简称“亚投行”或“银行”）申请或获得资金（以下简称“资金”）用于支付</w:t>
      </w:r>
      <w:r>
        <w:rPr>
          <w:rFonts w:hint="eastAsia"/>
          <w:b/>
          <w:szCs w:val="21"/>
        </w:rPr>
        <w:t>“投标资料表”</w:t>
      </w:r>
      <w:r>
        <w:rPr>
          <w:rFonts w:hint="eastAsia"/>
          <w:szCs w:val="21"/>
        </w:rPr>
        <w:t>所述项目的费用。借款人准备将其中的一部分资金用于支付本次招标所签订的合同项下的合格支出。</w:t>
      </w:r>
      <w:bookmarkEnd w:id="94"/>
    </w:p>
    <w:p>
      <w:pPr>
        <w:spacing w:before="120" w:after="120" w:line="240" w:lineRule="atLeast"/>
        <w:ind w:firstLine="420" w:firstLineChars="200"/>
        <w:jc w:val="left"/>
        <w:textAlignment w:val="auto"/>
        <w:rPr>
          <w:szCs w:val="21"/>
        </w:rPr>
      </w:pPr>
      <w:r>
        <w:rPr>
          <w:szCs w:val="21"/>
        </w:rPr>
        <w:t>2.2</w:t>
      </w:r>
      <w:r>
        <w:rPr>
          <w:rFonts w:hint="eastAsia"/>
          <w:szCs w:val="21"/>
        </w:rPr>
        <w:t>　 只有中国政府提出申请，经亚投行同意，并且各个方面都符合亚投行和中国政府之间签署的贷款协定的条款和条件，亚投行才会根据贷款协定的条款和条件支付该款项。如果就亚投行所知，对某人或某实体的付款或进口货物是联合国安理会根据联合国宪章第七章的规定所禁止的，则贷款协定禁止从贷款帐户中提款用于支付该款项或进口该货物。除借款人外，任何其它各方均不得从贷款协定中取得任何权利或对资金提出任何要求。</w:t>
      </w:r>
    </w:p>
    <w:p>
      <w:pPr>
        <w:pStyle w:val="5"/>
      </w:pPr>
      <w:bookmarkStart w:id="95" w:name="_Toc128391158"/>
      <w:bookmarkStart w:id="96" w:name="_Toc128396284"/>
      <w:bookmarkStart w:id="97" w:name="_Toc128391411"/>
      <w:bookmarkStart w:id="98" w:name="_Toc128391511"/>
      <w:bookmarkStart w:id="99" w:name="_Toc168753136"/>
      <w:bookmarkStart w:id="100" w:name="_Toc79667226"/>
      <w:bookmarkStart w:id="101" w:name="_Toc79668204"/>
      <w:bookmarkStart w:id="102" w:name="_Toc171061147"/>
      <w:bookmarkStart w:id="103" w:name="_Toc110264316"/>
      <w:bookmarkStart w:id="104" w:name="_Toc391287282"/>
      <w:bookmarkStart w:id="105" w:name="_Toc110262661"/>
      <w:bookmarkStart w:id="106" w:name="_Toc110267589"/>
      <w:bookmarkStart w:id="107" w:name="_Toc169103195"/>
      <w:bookmarkStart w:id="108" w:name="_Toc110263855"/>
      <w:bookmarkStart w:id="109" w:name="_Toc171063058"/>
      <w:bookmarkStart w:id="110" w:name="_Toc324772151"/>
      <w:r>
        <w:rPr>
          <w:rFonts w:hint="eastAsia"/>
        </w:rPr>
        <w:t>第</w:t>
      </w:r>
      <w:r>
        <w:t>3</w:t>
      </w:r>
      <w:r>
        <w:rPr>
          <w:rFonts w:hint="eastAsia"/>
        </w:rPr>
        <w:t>条　</w:t>
      </w:r>
      <w:bookmarkEnd w:id="95"/>
      <w:bookmarkEnd w:id="96"/>
      <w:bookmarkEnd w:id="97"/>
      <w:bookmarkEnd w:id="98"/>
      <w:bookmarkEnd w:id="99"/>
      <w:bookmarkEnd w:id="100"/>
      <w:bookmarkEnd w:id="101"/>
      <w:r>
        <w:rPr>
          <w:rFonts w:hint="eastAsia"/>
          <w:lang w:eastAsia="zh-CN"/>
        </w:rPr>
        <w:t>禁止</w:t>
      </w:r>
      <w:r>
        <w:rPr>
          <w:rFonts w:hint="eastAsia"/>
        </w:rPr>
        <w:t>行为</w:t>
      </w:r>
      <w:bookmarkEnd w:id="102"/>
      <w:bookmarkEnd w:id="103"/>
      <w:bookmarkEnd w:id="104"/>
      <w:bookmarkEnd w:id="105"/>
      <w:bookmarkEnd w:id="106"/>
      <w:bookmarkEnd w:id="107"/>
      <w:bookmarkEnd w:id="108"/>
      <w:bookmarkEnd w:id="109"/>
      <w:bookmarkEnd w:id="110"/>
    </w:p>
    <w:p>
      <w:pPr>
        <w:spacing w:before="120" w:after="120" w:line="240" w:lineRule="atLeast"/>
        <w:ind w:firstLine="420" w:firstLineChars="200"/>
        <w:jc w:val="left"/>
        <w:textAlignment w:val="auto"/>
        <w:rPr>
          <w:szCs w:val="21"/>
        </w:rPr>
      </w:pPr>
      <w:bookmarkStart w:id="111" w:name="OLE_LINK5"/>
      <w:r>
        <w:rPr>
          <w:szCs w:val="21"/>
        </w:rPr>
        <w:t>3</w:t>
      </w:r>
      <w:r>
        <w:rPr>
          <w:rFonts w:hint="eastAsia"/>
          <w:szCs w:val="21"/>
        </w:rPr>
        <w:t>.</w:t>
      </w:r>
      <w:r>
        <w:rPr>
          <w:szCs w:val="21"/>
        </w:rPr>
        <w:t xml:space="preserve">1  </w:t>
      </w:r>
      <w:r>
        <w:rPr>
          <w:rFonts w:hint="eastAsia"/>
          <w:szCs w:val="21"/>
        </w:rPr>
        <w:t>亚投行《借款人采购规则（2</w:t>
      </w:r>
      <w:r>
        <w:rPr>
          <w:szCs w:val="21"/>
        </w:rPr>
        <w:t>016</w:t>
      </w:r>
      <w:r>
        <w:rPr>
          <w:rFonts w:hint="eastAsia"/>
          <w:szCs w:val="21"/>
        </w:rPr>
        <w:t>版并不时更新）》要求借款人（以及亚投行资助的所有其他受益人）以及亚投行资助的项目合同下的投标人、供应商、承包商、特许经营者和咨询顾问均遵守亚投行关于禁止行为的政策，在合同的采购、执行和实施过程中遵守最高标准的透明度和诚信。</w:t>
      </w:r>
    </w:p>
    <w:p>
      <w:pPr>
        <w:spacing w:before="120" w:after="120" w:line="240" w:lineRule="atLeast"/>
        <w:ind w:firstLine="420" w:firstLineChars="200"/>
        <w:jc w:val="left"/>
        <w:textAlignment w:val="auto"/>
        <w:rPr>
          <w:szCs w:val="21"/>
        </w:rPr>
      </w:pPr>
      <w:r>
        <w:rPr>
          <w:szCs w:val="21"/>
        </w:rPr>
        <w:t xml:space="preserve">3.2   </w:t>
      </w:r>
      <w:r>
        <w:rPr>
          <w:rFonts w:hint="eastAsia"/>
          <w:szCs w:val="21"/>
        </w:rPr>
        <w:t>就本条款目的而言，</w:t>
      </w:r>
      <w:r>
        <w:rPr>
          <w:rFonts w:hint="eastAsia"/>
        </w:rPr>
        <w:t>亚投行将禁止行为定义如下</w:t>
      </w:r>
      <w:r>
        <w:rPr>
          <w:rFonts w:hint="eastAsia"/>
          <w:szCs w:val="21"/>
        </w:rPr>
        <w:t>：</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）“胁迫行为”系指直接或间接地损害或伤害，或威胁将要损害或伤害人身或财产安全，以不正当地影响另一方的行为；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）“共谋行为”系指由双方或多方设计的一种为达到不当目的的安排，包括不正当地影响另一方的行为；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）“腐败行为”系指直接地或间接地提供、给予、收受或要求任何有价财物来不正当地影响另一方的行为；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4</w:t>
      </w:r>
      <w:r>
        <w:rPr>
          <w:rFonts w:hint="eastAsia"/>
          <w:szCs w:val="21"/>
        </w:rPr>
        <w:t>）“欺诈行为”系指任何行为或隐瞒，包括任何有意或无意地误导，或企图误导一方以获得财物或其它方面的利益或逃避义务；</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）“滥用资源”系指有意或无意地不当使用银行资源；</w:t>
      </w:r>
    </w:p>
    <w:p>
      <w:pPr>
        <w:spacing w:before="120" w:after="120" w:line="240" w:lineRule="atLeast"/>
        <w:ind w:left="936" w:hanging="576"/>
        <w:jc w:val="left"/>
        <w:textAlignment w:val="auto"/>
        <w:rPr>
          <w:szCs w:val="21"/>
        </w:rPr>
      </w:pPr>
      <w:r>
        <w:rPr>
          <w:rFonts w:hint="eastAsia"/>
          <w:szCs w:val="21"/>
        </w:rPr>
        <w:t>（</w:t>
      </w:r>
      <w:r>
        <w:rPr>
          <w:szCs w:val="21"/>
        </w:rPr>
        <w:t>6</w:t>
      </w:r>
      <w:r>
        <w:rPr>
          <w:rFonts w:hint="eastAsia"/>
          <w:szCs w:val="21"/>
        </w:rPr>
        <w:t>）“妨碍行为”系指：（i）销毁、伪造、篡改或隐瞒银行调查所需的证据材料以妨碍银行调查，（ii）向调查人员做出虚假证明以严重妨碍亚投行对禁止行为进行调查，（iii）未能遵守提供与亚投行调查有关的信息、文件或记录的要求；（iv）威胁、骚扰或恐吓任何一方使其无法透露与调查相关的所知信息或参与调查；或（v）严重妨碍亚投行行使合同所赋予的审计、检查或获取信息的权利；</w:t>
      </w:r>
    </w:p>
    <w:p>
      <w:pPr>
        <w:spacing w:before="120" w:after="120" w:line="240" w:lineRule="atLeast"/>
        <w:ind w:left="936" w:hanging="576"/>
        <w:jc w:val="left"/>
        <w:textAlignment w:val="auto"/>
        <w:rPr>
          <w:szCs w:val="21"/>
        </w:rPr>
      </w:pPr>
      <w:r>
        <w:rPr>
          <w:rFonts w:hint="eastAsia"/>
          <w:szCs w:val="21"/>
        </w:rPr>
        <w:t>（</w:t>
      </w:r>
      <w:r>
        <w:rPr>
          <w:szCs w:val="21"/>
        </w:rPr>
        <w:t>7</w:t>
      </w:r>
      <w:r>
        <w:rPr>
          <w:rFonts w:hint="eastAsia"/>
          <w:szCs w:val="21"/>
        </w:rPr>
        <w:t>）“盗窃”系指挪用属于另一方的财产。</w:t>
      </w:r>
    </w:p>
    <w:p>
      <w:pPr>
        <w:spacing w:before="120" w:after="120" w:line="240" w:lineRule="atLeast"/>
        <w:ind w:firstLine="420" w:firstLineChars="200"/>
        <w:jc w:val="left"/>
        <w:textAlignment w:val="auto"/>
        <w:rPr>
          <w:szCs w:val="21"/>
        </w:rPr>
      </w:pPr>
      <w:r>
        <w:rPr>
          <w:rFonts w:hint="eastAsia"/>
          <w:szCs w:val="21"/>
        </w:rPr>
        <w:t>3</w:t>
      </w:r>
      <w:r>
        <w:rPr>
          <w:szCs w:val="21"/>
        </w:rPr>
        <w:t xml:space="preserve">.3  </w:t>
      </w:r>
      <w:r>
        <w:rPr>
          <w:rFonts w:hint="eastAsia"/>
          <w:szCs w:val="21"/>
        </w:rPr>
        <w:t>在亚投行资助合同的采购、授予或执行过程中发生或疑似发生的任何禁止行为，将按照亚投行禁止行为政策的规定进行处理。供应商、承包商、服务提供商和咨询顾问，以及借款人应充分配合亚投行（</w:t>
      </w:r>
      <w:bookmarkStart w:id="112" w:name="_Hlk107416101"/>
      <w:r>
        <w:rPr>
          <w:rFonts w:hint="eastAsia"/>
          <w:szCs w:val="21"/>
        </w:rPr>
        <w:t>或“借款人采购规则”规定有权利进行调查的联合资助方</w:t>
      </w:r>
      <w:bookmarkEnd w:id="112"/>
      <w:r>
        <w:rPr>
          <w:rFonts w:hint="eastAsia"/>
          <w:szCs w:val="21"/>
        </w:rPr>
        <w:t>）根据亚投行禁止行为政策对任何被指控的禁止行为进行调查，并允许亚投行或其代表（包括联合资助方）检查可能与此类调查相关的账户、记录和其他文件，并由亚投行指定的审计师对其进行审计。</w:t>
      </w:r>
    </w:p>
    <w:p>
      <w:pPr>
        <w:spacing w:before="120" w:after="120" w:line="240" w:lineRule="atLeast"/>
        <w:ind w:firstLine="420" w:firstLineChars="200"/>
        <w:jc w:val="left"/>
        <w:textAlignment w:val="auto"/>
        <w:rPr>
          <w:szCs w:val="21"/>
        </w:rPr>
      </w:pPr>
      <w:r>
        <w:rPr>
          <w:szCs w:val="21"/>
        </w:rPr>
        <w:t xml:space="preserve">3.4  </w:t>
      </w:r>
      <w:r>
        <w:rPr>
          <w:rFonts w:hint="eastAsia"/>
          <w:szCs w:val="21"/>
        </w:rPr>
        <w:t>如果项目是主权担保贷款，亚投行（或根据亚投行“借款人采购规则”规定进行调查的联合资助方）：</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）可以针对与项目相关的禁止行为采取以下任何附加行动：</w:t>
      </w:r>
    </w:p>
    <w:p>
      <w:pPr>
        <w:spacing w:before="120" w:after="120" w:line="240" w:lineRule="atLeast"/>
        <w:ind w:left="1416" w:hanging="576"/>
        <w:jc w:val="left"/>
        <w:textAlignment w:val="auto"/>
        <w:rPr>
          <w:szCs w:val="21"/>
        </w:rPr>
      </w:pPr>
      <w:r>
        <w:rPr>
          <w:rFonts w:hint="eastAsia"/>
          <w:szCs w:val="21"/>
        </w:rPr>
        <w:t xml:space="preserve">（i） </w:t>
      </w:r>
      <w:r>
        <w:rPr>
          <w:szCs w:val="21"/>
        </w:rPr>
        <w:t xml:space="preserve"> </w:t>
      </w:r>
      <w:r>
        <w:rPr>
          <w:rFonts w:hint="eastAsia"/>
          <w:szCs w:val="21"/>
        </w:rPr>
        <w:t>拒绝授予合同， 如果确定推荐的中标候选人或其任何人员、代理人、顾问、分包商、服务提供商、供应商或其雇员直接或间接地，在竞争有关合同时从事禁止行为；</w:t>
      </w:r>
    </w:p>
    <w:p>
      <w:pPr>
        <w:spacing w:before="120" w:after="120" w:line="240" w:lineRule="atLeast"/>
        <w:ind w:left="1416" w:hanging="576"/>
        <w:jc w:val="left"/>
        <w:textAlignment w:val="auto"/>
        <w:rPr>
          <w:szCs w:val="21"/>
        </w:rPr>
      </w:pPr>
      <w:r>
        <w:rPr>
          <w:rFonts w:hint="eastAsia"/>
          <w:szCs w:val="21"/>
        </w:rPr>
        <w:t>（ii） 取消分配给该合同的尚未拨付的贷款余额（并要求偿还分配给该合同的已拨付的贷款），如果在任何时候确定借款人代表或任一部分贷款接收方的代表在有关合同的采购、管理或执行期间从事禁止行为；</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 要求在招标文件和合同中包含一个条款，要求投标人、供应商和承包商及其分包商、代理人、人员、咨询顾问、服务提供商或供应商允许亚投行（或“借款人采购规则”规定有权利进行调查的联合资助方）或其代表检查其与投标和履行合同有关的账户、记录和其它文件，并由亚投行指定的审计师对其进行审计。</w:t>
      </w:r>
    </w:p>
    <w:bookmarkEnd w:id="111"/>
    <w:p>
      <w:pPr>
        <w:spacing w:before="120" w:after="120" w:line="240" w:lineRule="atLeast"/>
        <w:ind w:firstLine="420" w:firstLineChars="200"/>
        <w:jc w:val="left"/>
        <w:textAlignment w:val="auto"/>
        <w:rPr>
          <w:szCs w:val="21"/>
        </w:rPr>
      </w:pPr>
      <w:r>
        <w:rPr>
          <w:szCs w:val="21"/>
        </w:rPr>
        <w:t>3.5　</w:t>
      </w:r>
      <w:r>
        <w:rPr>
          <w:rFonts w:hint="eastAsia"/>
          <w:szCs w:val="21"/>
        </w:rPr>
        <w:t>投标人应知晓第七章一般合同条款第2</w:t>
      </w:r>
      <w:r>
        <w:rPr>
          <w:szCs w:val="21"/>
        </w:rPr>
        <w:t>3.2</w:t>
      </w:r>
      <w:r>
        <w:rPr>
          <w:rFonts w:hint="eastAsia"/>
          <w:szCs w:val="21"/>
        </w:rPr>
        <w:t>款和5</w:t>
      </w:r>
      <w:r>
        <w:rPr>
          <w:szCs w:val="21"/>
        </w:rPr>
        <w:t>8</w:t>
      </w:r>
      <w:r>
        <w:rPr>
          <w:rFonts w:hint="eastAsia"/>
          <w:szCs w:val="21"/>
        </w:rPr>
        <w:t>.2</w:t>
      </w:r>
      <w:r>
        <w:rPr>
          <w:szCs w:val="21"/>
        </w:rPr>
        <w:t>款</w:t>
      </w:r>
      <w:r>
        <w:rPr>
          <w:rFonts w:hint="eastAsia"/>
          <w:szCs w:val="21"/>
        </w:rPr>
        <w:t>（8）</w:t>
      </w:r>
      <w:r>
        <w:rPr>
          <w:szCs w:val="21"/>
        </w:rPr>
        <w:t>项中的有关规定。</w:t>
      </w:r>
    </w:p>
    <w:p>
      <w:pPr>
        <w:pStyle w:val="5"/>
      </w:pPr>
      <w:bookmarkStart w:id="113" w:name="_Toc169103196"/>
      <w:bookmarkStart w:id="114" w:name="_Toc391287283"/>
      <w:bookmarkStart w:id="115" w:name="_Toc110262662"/>
      <w:bookmarkStart w:id="116" w:name="_Toc110264317"/>
      <w:bookmarkStart w:id="117" w:name="_Toc110263856"/>
      <w:bookmarkStart w:id="118" w:name="_Toc171061148"/>
      <w:bookmarkStart w:id="119" w:name="_Toc171063059"/>
      <w:bookmarkStart w:id="120" w:name="_Toc324772152"/>
      <w:bookmarkStart w:id="121" w:name="_Toc110267590"/>
      <w:bookmarkStart w:id="122" w:name="_Toc168753137"/>
      <w:bookmarkStart w:id="123" w:name="_Toc79668205"/>
      <w:bookmarkStart w:id="124" w:name="_Toc79667227"/>
      <w:bookmarkStart w:id="125" w:name="_Toc128391412"/>
      <w:bookmarkStart w:id="126" w:name="_Toc128396285"/>
      <w:bookmarkStart w:id="127" w:name="_Toc128391159"/>
      <w:bookmarkStart w:id="128" w:name="_Toc128391512"/>
      <w:r>
        <w:t>第</w:t>
      </w:r>
      <w:r>
        <w:rPr>
          <w:szCs w:val="21"/>
        </w:rPr>
        <w:t>4</w:t>
      </w:r>
      <w:r>
        <w:t>条　合格投标人</w:t>
      </w:r>
      <w:bookmarkEnd w:id="113"/>
      <w:bookmarkEnd w:id="114"/>
      <w:bookmarkEnd w:id="115"/>
      <w:bookmarkEnd w:id="116"/>
      <w:bookmarkEnd w:id="117"/>
      <w:bookmarkEnd w:id="118"/>
      <w:bookmarkEnd w:id="119"/>
      <w:bookmarkEnd w:id="120"/>
      <w:bookmarkEnd w:id="121"/>
    </w:p>
    <w:bookmarkEnd w:id="122"/>
    <w:bookmarkEnd w:id="123"/>
    <w:bookmarkEnd w:id="124"/>
    <w:bookmarkEnd w:id="125"/>
    <w:bookmarkEnd w:id="126"/>
    <w:bookmarkEnd w:id="127"/>
    <w:bookmarkEnd w:id="128"/>
    <w:p>
      <w:pPr>
        <w:spacing w:before="120" w:after="120" w:line="240" w:lineRule="atLeast"/>
        <w:ind w:firstLine="420" w:firstLineChars="200"/>
        <w:jc w:val="left"/>
        <w:textAlignment w:val="auto"/>
      </w:pPr>
      <w:r>
        <w:rPr>
          <w:rFonts w:hint="eastAsia"/>
          <w:szCs w:val="21"/>
        </w:rPr>
        <w:t>4.1　</w:t>
      </w:r>
      <w:r>
        <w:rPr>
          <w:szCs w:val="21"/>
        </w:rPr>
        <w:t>任何国家的任何公司</w:t>
      </w:r>
      <w:r>
        <w:rPr>
          <w:rFonts w:hint="eastAsia"/>
          <w:szCs w:val="21"/>
        </w:rPr>
        <w:t>均可参加</w:t>
      </w:r>
      <w:r>
        <w:rPr>
          <w:rFonts w:hint="eastAsia"/>
        </w:rPr>
        <w:t>投标</w:t>
      </w:r>
      <w:r>
        <w:rPr>
          <w:rFonts w:hint="eastAsia"/>
          <w:szCs w:val="21"/>
        </w:rPr>
        <w:t>，无论该国家是否为亚投行的成员国。无论是国有企业还是民营企业均可参加投标</w:t>
      </w:r>
      <w:r>
        <w:rPr>
          <w:rFonts w:hint="eastAsia"/>
        </w:rPr>
        <w:t>。国有企业作为投标人的合格性取决于投标人须知第4.5款的规定。除</w:t>
      </w:r>
      <w:r>
        <w:rPr>
          <w:rFonts w:hint="eastAsia"/>
          <w:b/>
          <w:bCs/>
        </w:rPr>
        <w:t>“投标资料表”</w:t>
      </w:r>
      <w:r>
        <w:rPr>
          <w:rFonts w:hint="eastAsia"/>
        </w:rPr>
        <w:t>另有规定外，投标人还可以是根据协议组成的联合体，或根据有法律效力的意向协议将要组成的联合体。如果是联合体：</w:t>
      </w:r>
    </w:p>
    <w:p>
      <w:pPr>
        <w:spacing w:before="120" w:after="120" w:line="240" w:lineRule="atLeast"/>
        <w:ind w:left="900" w:hanging="540"/>
        <w:jc w:val="left"/>
        <w:textAlignment w:val="auto"/>
        <w:rPr>
          <w:szCs w:val="21"/>
        </w:rPr>
      </w:pPr>
      <w:r>
        <w:rPr>
          <w:rFonts w:hint="eastAsia"/>
          <w:szCs w:val="21"/>
        </w:rPr>
        <w:t>（1）联合体全体成员应共同地和分别地承担履行合同条款规定的合同义务；</w:t>
      </w:r>
    </w:p>
    <w:p>
      <w:pPr>
        <w:spacing w:before="120" w:after="120" w:line="240" w:lineRule="atLeast"/>
        <w:ind w:left="900" w:hanging="540"/>
        <w:jc w:val="left"/>
        <w:textAlignment w:val="auto"/>
        <w:rPr>
          <w:szCs w:val="21"/>
        </w:rPr>
      </w:pPr>
      <w:r>
        <w:rPr>
          <w:rFonts w:hint="eastAsia"/>
          <w:szCs w:val="21"/>
        </w:rPr>
        <w:t>（2）联合体应指定一个成员为联合体牵头方，授权其在本次投标期间代表任一或全体成员处理相关业务。如果联合体中标，该牵头方还将在履行合同期间代表任一或全体成员处理相关业务。</w:t>
      </w:r>
    </w:p>
    <w:p>
      <w:pPr>
        <w:spacing w:before="120" w:after="120" w:line="240" w:lineRule="atLeast"/>
        <w:ind w:firstLine="420" w:firstLineChars="200"/>
        <w:jc w:val="left"/>
        <w:textAlignment w:val="auto"/>
      </w:pPr>
      <w:r>
        <w:rPr>
          <w:rFonts w:hint="eastAsia"/>
        </w:rPr>
        <w:t>4.2　投标人及组成投标人的联合体各方都应具有本招标文件第五章所规定</w:t>
      </w:r>
      <w:r>
        <w:rPr>
          <w:rFonts w:hint="eastAsia"/>
          <w:szCs w:val="21"/>
        </w:rPr>
        <w:t>的合格国家国籍。如果投标人的公司章程或者运营条例或者其它注册文件（视情况而异）表明该投标人是根据某国法律组成、设立或注册成立的并按照这些法律运营，则该投标人即被认为拥有该国国籍。该规定也将适用于确认合同（包括相关服务）任何部分的分包商或供应商或者分包咨询顾问的国籍。</w:t>
      </w:r>
    </w:p>
    <w:p>
      <w:pPr>
        <w:spacing w:before="120" w:after="120" w:line="240" w:lineRule="atLeast"/>
        <w:ind w:firstLine="420" w:firstLineChars="200"/>
        <w:jc w:val="left"/>
        <w:textAlignment w:val="auto"/>
        <w:rPr>
          <w:szCs w:val="21"/>
        </w:rPr>
      </w:pPr>
      <w:r>
        <w:rPr>
          <w:szCs w:val="21"/>
        </w:rPr>
        <w:t>4.</w:t>
      </w:r>
      <w:r>
        <w:rPr>
          <w:rFonts w:hint="eastAsia"/>
          <w:szCs w:val="21"/>
        </w:rPr>
        <w:t>3　</w:t>
      </w:r>
      <w:r>
        <w:rPr>
          <w:szCs w:val="21"/>
        </w:rPr>
        <w:t>投标人不得存在利益冲突。</w:t>
      </w:r>
      <w:r>
        <w:rPr>
          <w:rFonts w:hint="eastAsia" w:ascii="宋体" w:hAnsi="宋体"/>
          <w:szCs w:val="21"/>
        </w:rPr>
        <w:t>所有存在利益冲突的投标人均为不合格的投标人</w:t>
      </w:r>
      <w:r>
        <w:rPr>
          <w:szCs w:val="21"/>
        </w:rPr>
        <w:t>。就本招标过程而言，如果投标人</w:t>
      </w:r>
      <w:r>
        <w:rPr>
          <w:rFonts w:hint="eastAsia"/>
          <w:szCs w:val="21"/>
        </w:rPr>
        <w:t>之间存在（但不仅限于）下述情形之一的，则被认为存在利益冲突</w:t>
      </w:r>
      <w:r>
        <w:rPr>
          <w:szCs w:val="21"/>
        </w:rPr>
        <w:t>：</w:t>
      </w:r>
    </w:p>
    <w:p>
      <w:pPr>
        <w:spacing w:before="120" w:after="120" w:line="240" w:lineRule="atLeast"/>
        <w:ind w:left="900" w:hanging="540"/>
        <w:jc w:val="left"/>
        <w:textAlignment w:val="auto"/>
        <w:rPr>
          <w:szCs w:val="21"/>
        </w:rPr>
      </w:pPr>
      <w:r>
        <w:rPr>
          <w:rFonts w:hint="eastAsia"/>
          <w:szCs w:val="21"/>
        </w:rPr>
        <w:t>（1）</w:t>
      </w:r>
      <w:r>
        <w:rPr>
          <w:szCs w:val="21"/>
        </w:rPr>
        <w:t>直接或间接地控制另一投标人、受另一投标人控制或双方处于共同控制之下；</w:t>
      </w:r>
    </w:p>
    <w:p>
      <w:pPr>
        <w:spacing w:before="120" w:after="120" w:line="240" w:lineRule="atLeast"/>
        <w:ind w:left="900" w:hanging="540"/>
        <w:jc w:val="left"/>
        <w:textAlignment w:val="auto"/>
        <w:rPr>
          <w:szCs w:val="21"/>
        </w:rPr>
      </w:pPr>
      <w:r>
        <w:rPr>
          <w:rFonts w:hint="eastAsia"/>
          <w:szCs w:val="21"/>
        </w:rPr>
        <w:t>（2）</w:t>
      </w:r>
      <w:r>
        <w:rPr>
          <w:szCs w:val="21"/>
        </w:rPr>
        <w:t>收到或已经收到来自另一投标人的任何直接或间接补贴；</w:t>
      </w:r>
    </w:p>
    <w:p>
      <w:pPr>
        <w:spacing w:before="120" w:after="120" w:line="240" w:lineRule="atLeast"/>
        <w:ind w:left="900" w:hanging="540"/>
        <w:jc w:val="left"/>
        <w:textAlignment w:val="auto"/>
        <w:rPr>
          <w:szCs w:val="21"/>
        </w:rPr>
      </w:pPr>
      <w:r>
        <w:rPr>
          <w:rFonts w:hint="eastAsia"/>
          <w:szCs w:val="21"/>
        </w:rPr>
        <w:t>（3）</w:t>
      </w:r>
      <w:r>
        <w:rPr>
          <w:szCs w:val="21"/>
        </w:rPr>
        <w:t>与另一投标人有相同的法定代表人；</w:t>
      </w:r>
    </w:p>
    <w:p>
      <w:pPr>
        <w:spacing w:before="120" w:after="120" w:line="240" w:lineRule="atLeast"/>
        <w:ind w:left="900" w:hanging="540"/>
        <w:jc w:val="left"/>
        <w:textAlignment w:val="auto"/>
        <w:rPr>
          <w:szCs w:val="21"/>
        </w:rPr>
      </w:pPr>
      <w:r>
        <w:rPr>
          <w:rFonts w:hint="eastAsia"/>
          <w:szCs w:val="21"/>
        </w:rPr>
        <w:t>（4）投标人之间直接地或通过第三方存在着某种联系，使他们能够在本次招标过程中获得对方的的投标信息或不适当地影响对方的投标，或影响业主关于本次招标的决定</w:t>
      </w:r>
      <w:r>
        <w:rPr>
          <w:szCs w:val="21"/>
        </w:rPr>
        <w:t>；</w:t>
      </w:r>
    </w:p>
    <w:p>
      <w:pPr>
        <w:spacing w:before="120" w:after="120" w:line="240" w:lineRule="atLeast"/>
        <w:ind w:left="900" w:hanging="540"/>
        <w:jc w:val="left"/>
        <w:textAlignment w:val="auto"/>
        <w:rPr>
          <w:szCs w:val="21"/>
        </w:rPr>
      </w:pPr>
      <w:r>
        <w:rPr>
          <w:rFonts w:hint="eastAsia"/>
          <w:szCs w:val="21"/>
        </w:rPr>
        <w:t>（5）同一个公司，无论单独或者以联合体成员名义，参与了本次招标同一合同一个以上的投标（“投标人须知”第1</w:t>
      </w:r>
      <w:r>
        <w:rPr>
          <w:szCs w:val="21"/>
        </w:rPr>
        <w:t>3</w:t>
      </w:r>
      <w:r>
        <w:rPr>
          <w:rFonts w:hint="eastAsia"/>
          <w:szCs w:val="21"/>
        </w:rPr>
        <w:t>条允许的替代方案的情形除外）。参与</w:t>
      </w:r>
      <w:r>
        <w:rPr>
          <w:rFonts w:hint="eastAsia" w:ascii="宋体" w:hAnsi="宋体"/>
          <w:szCs w:val="21"/>
        </w:rPr>
        <w:t>一个以上的投标将导致其所参与的所有投标均被拒绝。但是，该情形并不包括</w:t>
      </w:r>
      <w:r>
        <w:rPr>
          <w:szCs w:val="21"/>
        </w:rPr>
        <w:t>：（i）</w:t>
      </w:r>
      <w:r>
        <w:rPr>
          <w:rFonts w:hint="eastAsia" w:ascii="宋体" w:hAnsi="宋体"/>
          <w:szCs w:val="21"/>
        </w:rPr>
        <w:t>某公司以分包商身份参与</w:t>
      </w:r>
      <w:r>
        <w:rPr>
          <w:rFonts w:hint="eastAsia"/>
          <w:szCs w:val="21"/>
        </w:rPr>
        <w:t>本次招标</w:t>
      </w:r>
      <w:r>
        <w:rPr>
          <w:rFonts w:hint="eastAsia" w:ascii="宋体" w:hAnsi="宋体"/>
          <w:szCs w:val="21"/>
        </w:rPr>
        <w:t>同一合同一个以上的投标</w:t>
      </w:r>
      <w:r>
        <w:rPr>
          <w:rFonts w:hint="eastAsia"/>
          <w:szCs w:val="21"/>
        </w:rPr>
        <w:t>；（ii）投标人作为分包商参与本次招标同一合同中的另一个投标（如</w:t>
      </w:r>
      <w:r>
        <w:rPr>
          <w:rFonts w:hint="eastAsia"/>
          <w:b/>
          <w:bCs/>
          <w:szCs w:val="21"/>
        </w:rPr>
        <w:t>“投标资料表”</w:t>
      </w:r>
      <w:r>
        <w:rPr>
          <w:rFonts w:hint="eastAsia"/>
          <w:szCs w:val="21"/>
        </w:rPr>
        <w:t>允许）</w:t>
      </w:r>
      <w:r>
        <w:rPr>
          <w:rFonts w:hint="eastAsia" w:ascii="宋体" w:hAnsi="宋体"/>
          <w:szCs w:val="21"/>
        </w:rPr>
        <w:t>；</w:t>
      </w:r>
    </w:p>
    <w:p>
      <w:pPr>
        <w:spacing w:before="120" w:after="120" w:line="240" w:lineRule="atLeast"/>
        <w:ind w:left="900" w:hanging="540"/>
        <w:jc w:val="left"/>
        <w:textAlignment w:val="auto"/>
        <w:rPr>
          <w:szCs w:val="21"/>
        </w:rPr>
      </w:pPr>
      <w:r>
        <w:rPr>
          <w:rFonts w:hint="eastAsia"/>
          <w:szCs w:val="21"/>
        </w:rPr>
        <w:t>（</w:t>
      </w:r>
      <w:r>
        <w:rPr>
          <w:szCs w:val="21"/>
        </w:rPr>
        <w:t>6</w:t>
      </w:r>
      <w:r>
        <w:rPr>
          <w:rFonts w:hint="eastAsia"/>
          <w:szCs w:val="21"/>
        </w:rPr>
        <w:t>）</w:t>
      </w:r>
      <w:r>
        <w:rPr>
          <w:szCs w:val="21"/>
        </w:rPr>
        <w:t>其任何</w:t>
      </w:r>
      <w:r>
        <w:rPr>
          <w:rFonts w:hint="eastAsia"/>
          <w:szCs w:val="21"/>
        </w:rPr>
        <w:t>关联机构</w:t>
      </w:r>
      <w:r>
        <w:rPr>
          <w:szCs w:val="21"/>
        </w:rPr>
        <w:t>（</w:t>
      </w:r>
      <w:r>
        <w:rPr>
          <w:rFonts w:hint="eastAsia"/>
          <w:szCs w:val="21"/>
        </w:rPr>
        <w:t>投标人</w:t>
      </w:r>
      <w:r>
        <w:rPr>
          <w:szCs w:val="21"/>
        </w:rPr>
        <w:t>直接或间接地控制该公司</w:t>
      </w:r>
      <w:r>
        <w:rPr>
          <w:rFonts w:hint="eastAsia"/>
          <w:szCs w:val="21"/>
        </w:rPr>
        <w:t>、</w:t>
      </w:r>
      <w:r>
        <w:rPr>
          <w:szCs w:val="21"/>
        </w:rPr>
        <w:t>被该公司控制，或</w:t>
      </w:r>
      <w:r>
        <w:rPr>
          <w:rFonts w:hint="eastAsia"/>
          <w:szCs w:val="21"/>
        </w:rPr>
        <w:t>与该公司</w:t>
      </w:r>
      <w:r>
        <w:rPr>
          <w:szCs w:val="21"/>
        </w:rPr>
        <w:t>被共同控制）作为</w:t>
      </w:r>
      <w:r>
        <w:rPr>
          <w:rFonts w:hint="eastAsia"/>
          <w:szCs w:val="21"/>
        </w:rPr>
        <w:t>咨询</w:t>
      </w:r>
      <w:r>
        <w:rPr>
          <w:szCs w:val="21"/>
        </w:rPr>
        <w:t>顾问参与了</w:t>
      </w:r>
      <w:r>
        <w:rPr>
          <w:rFonts w:hint="eastAsia"/>
          <w:szCs w:val="21"/>
        </w:rPr>
        <w:t>本招标文件中</w:t>
      </w:r>
      <w:r>
        <w:rPr>
          <w:szCs w:val="21"/>
        </w:rPr>
        <w:t>工程的设计或技术</w:t>
      </w:r>
      <w:r>
        <w:rPr>
          <w:rFonts w:hint="eastAsia"/>
          <w:szCs w:val="21"/>
        </w:rPr>
        <w:t>规范</w:t>
      </w:r>
      <w:r>
        <w:rPr>
          <w:szCs w:val="21"/>
        </w:rPr>
        <w:t>的准备；</w:t>
      </w:r>
    </w:p>
    <w:p>
      <w:pPr>
        <w:spacing w:before="120" w:after="120" w:line="240" w:lineRule="atLeast"/>
        <w:ind w:left="900" w:hanging="540"/>
        <w:jc w:val="left"/>
        <w:textAlignment w:val="auto"/>
        <w:rPr>
          <w:szCs w:val="21"/>
        </w:rPr>
      </w:pPr>
      <w:r>
        <w:rPr>
          <w:rFonts w:hint="eastAsia"/>
          <w:szCs w:val="21"/>
        </w:rPr>
        <w:t>（</w:t>
      </w:r>
      <w:r>
        <w:rPr>
          <w:szCs w:val="21"/>
        </w:rPr>
        <w:t>7</w:t>
      </w:r>
      <w:r>
        <w:rPr>
          <w:rFonts w:hint="eastAsia"/>
          <w:szCs w:val="21"/>
        </w:rPr>
        <w:t>）</w:t>
      </w:r>
      <w:r>
        <w:rPr>
          <w:rFonts w:hint="eastAsia"/>
        </w:rPr>
        <w:t>投标人与已被借款人聘为或将要聘为本次招标合同的项目监理有关联；</w:t>
      </w:r>
    </w:p>
    <w:p>
      <w:pPr>
        <w:spacing w:before="120" w:after="120" w:line="240" w:lineRule="atLeast"/>
        <w:ind w:left="900" w:hanging="540"/>
        <w:jc w:val="left"/>
        <w:textAlignment w:val="auto"/>
        <w:rPr>
          <w:szCs w:val="21"/>
        </w:rPr>
      </w:pPr>
      <w:r>
        <w:rPr>
          <w:rFonts w:hint="eastAsia"/>
          <w:szCs w:val="21"/>
        </w:rPr>
        <w:t>（8）</w:t>
      </w:r>
      <w:r>
        <w:rPr>
          <w:szCs w:val="21"/>
        </w:rPr>
        <w:t>该投标人将提供的货物、工程或非咨询服务源于</w:t>
      </w:r>
      <w:r>
        <w:rPr>
          <w:rFonts w:hint="eastAsia"/>
          <w:szCs w:val="21"/>
        </w:rPr>
        <w:t>或直接相关于</w:t>
      </w:r>
      <w:r>
        <w:rPr>
          <w:szCs w:val="21"/>
        </w:rPr>
        <w:t>该公司或其关联</w:t>
      </w:r>
      <w:r>
        <w:rPr>
          <w:rFonts w:hint="eastAsia"/>
          <w:szCs w:val="21"/>
        </w:rPr>
        <w:t>机构</w:t>
      </w:r>
      <w:r>
        <w:rPr>
          <w:szCs w:val="21"/>
        </w:rPr>
        <w:t>为</w:t>
      </w:r>
      <w:r>
        <w:rPr>
          <w:rFonts w:hint="eastAsia"/>
          <w:szCs w:val="21"/>
        </w:rPr>
        <w:t>本</w:t>
      </w:r>
      <w:r>
        <w:rPr>
          <w:szCs w:val="21"/>
        </w:rPr>
        <w:t>项目</w:t>
      </w:r>
      <w:r>
        <w:rPr>
          <w:rFonts w:hint="eastAsia"/>
          <w:szCs w:val="21"/>
        </w:rPr>
        <w:t>的</w:t>
      </w:r>
      <w:r>
        <w:rPr>
          <w:szCs w:val="21"/>
        </w:rPr>
        <w:t>准备或实施所提供的咨询服务；</w:t>
      </w:r>
    </w:p>
    <w:p>
      <w:pPr>
        <w:spacing w:before="120" w:after="120" w:line="240" w:lineRule="atLeast"/>
        <w:ind w:left="900" w:hanging="540"/>
        <w:jc w:val="left"/>
        <w:textAlignment w:val="auto"/>
        <w:rPr>
          <w:szCs w:val="21"/>
        </w:rPr>
      </w:pPr>
      <w:r>
        <w:rPr>
          <w:rFonts w:hint="eastAsia"/>
          <w:szCs w:val="21"/>
        </w:rPr>
        <w:t>（</w:t>
      </w:r>
      <w:r>
        <w:rPr>
          <w:szCs w:val="21"/>
        </w:rPr>
        <w:t>9</w:t>
      </w:r>
      <w:r>
        <w:rPr>
          <w:rFonts w:hint="eastAsia"/>
          <w:szCs w:val="21"/>
        </w:rPr>
        <w:t>）</w:t>
      </w:r>
      <w:r>
        <w:rPr>
          <w:szCs w:val="21"/>
        </w:rPr>
        <w:t>与借款人（或项目实施机构、</w:t>
      </w:r>
      <w:r>
        <w:rPr>
          <w:rFonts w:hint="eastAsia"/>
          <w:szCs w:val="21"/>
        </w:rPr>
        <w:t>亚投行</w:t>
      </w:r>
      <w:r>
        <w:rPr>
          <w:szCs w:val="21"/>
        </w:rPr>
        <w:t>资助的任何其他受益人、代表借款人或代表借款人行事的任何相关方）的专业人员有密切的业务或家庭关系，</w:t>
      </w:r>
      <w:r>
        <w:rPr>
          <w:rFonts w:hint="eastAsia"/>
          <w:szCs w:val="21"/>
        </w:rPr>
        <w:t>而该专业人员直接或间接的参与了与该投标人相关的合同的以下任何工作之一：</w:t>
      </w:r>
    </w:p>
    <w:p>
      <w:pPr>
        <w:pStyle w:val="102"/>
        <w:numPr>
          <w:ilvl w:val="0"/>
          <w:numId w:val="17"/>
        </w:numPr>
        <w:ind w:left="1440" w:firstLine="0" w:firstLineChars="0"/>
      </w:pPr>
      <w:r>
        <w:t>编制</w:t>
      </w:r>
      <w:r>
        <w:rPr>
          <w:rFonts w:hint="eastAsia"/>
        </w:rPr>
        <w:t>本招标文件，尤其是技术规范</w:t>
      </w:r>
      <w:r>
        <w:t>，</w:t>
      </w:r>
    </w:p>
    <w:p>
      <w:pPr>
        <w:pStyle w:val="102"/>
        <w:numPr>
          <w:ilvl w:val="0"/>
          <w:numId w:val="17"/>
        </w:numPr>
        <w:ind w:left="1440" w:firstLine="0" w:firstLineChars="0"/>
      </w:pPr>
      <w:r>
        <w:rPr>
          <w:rFonts w:hint="eastAsia"/>
        </w:rPr>
        <w:t>本合同的评标，</w:t>
      </w:r>
    </w:p>
    <w:p>
      <w:pPr>
        <w:pStyle w:val="102"/>
        <w:numPr>
          <w:ilvl w:val="0"/>
          <w:numId w:val="17"/>
        </w:numPr>
        <w:ind w:left="1440" w:firstLine="0" w:firstLineChars="0"/>
      </w:pPr>
      <w:r>
        <w:rPr>
          <w:rFonts w:hint="eastAsia"/>
        </w:rPr>
        <w:t>本</w:t>
      </w:r>
      <w:r>
        <w:t>合同的实施或监督，除非由该关系产生的冲突已在整个招标过程和合同执行过程中以</w:t>
      </w:r>
      <w:r>
        <w:rPr>
          <w:rFonts w:hint="eastAsia"/>
        </w:rPr>
        <w:t>亚投行</w:t>
      </w:r>
      <w:r>
        <w:t>可接受的方式得到解决；</w:t>
      </w:r>
    </w:p>
    <w:p>
      <w:pPr>
        <w:spacing w:before="120" w:after="120" w:line="240" w:lineRule="atLeast"/>
        <w:ind w:left="900" w:hanging="540"/>
        <w:jc w:val="left"/>
        <w:textAlignment w:val="auto"/>
        <w:rPr>
          <w:szCs w:val="21"/>
        </w:rPr>
      </w:pPr>
      <w:r>
        <w:rPr>
          <w:rFonts w:hint="eastAsia"/>
          <w:szCs w:val="21"/>
        </w:rPr>
        <w:t>（</w:t>
      </w:r>
      <w:r>
        <w:rPr>
          <w:szCs w:val="21"/>
        </w:rPr>
        <w:t>10</w:t>
      </w:r>
      <w:r>
        <w:rPr>
          <w:rFonts w:hint="eastAsia"/>
          <w:szCs w:val="21"/>
        </w:rPr>
        <w:t>）</w:t>
      </w:r>
      <w:r>
        <w:rPr>
          <w:szCs w:val="21"/>
        </w:rPr>
        <w:t>是借款人的</w:t>
      </w:r>
      <w:r>
        <w:rPr>
          <w:rFonts w:hint="eastAsia"/>
          <w:szCs w:val="21"/>
        </w:rPr>
        <w:t>关联机构</w:t>
      </w:r>
      <w:r>
        <w:rPr>
          <w:szCs w:val="21"/>
        </w:rPr>
        <w:t>或借款人聘用的采购代理的</w:t>
      </w:r>
      <w:r>
        <w:rPr>
          <w:rFonts w:hint="eastAsia"/>
          <w:szCs w:val="21"/>
        </w:rPr>
        <w:t>关联机构，</w:t>
      </w:r>
      <w:r>
        <w:rPr>
          <w:szCs w:val="21"/>
        </w:rPr>
        <w:t>除非借款人能提供使</w:t>
      </w:r>
      <w:r>
        <w:rPr>
          <w:rFonts w:hint="eastAsia"/>
          <w:szCs w:val="21"/>
        </w:rPr>
        <w:t>亚投行</w:t>
      </w:r>
      <w:r>
        <w:rPr>
          <w:szCs w:val="21"/>
        </w:rPr>
        <w:t>满意的证</w:t>
      </w:r>
      <w:r>
        <w:rPr>
          <w:rFonts w:hint="eastAsia"/>
          <w:szCs w:val="21"/>
        </w:rPr>
        <w:t>据</w:t>
      </w:r>
      <w:r>
        <w:rPr>
          <w:szCs w:val="21"/>
        </w:rPr>
        <w:t>，</w:t>
      </w:r>
      <w:r>
        <w:rPr>
          <w:rFonts w:hint="eastAsia"/>
          <w:szCs w:val="21"/>
        </w:rPr>
        <w:t>证明</w:t>
      </w:r>
      <w:r>
        <w:rPr>
          <w:szCs w:val="21"/>
        </w:rPr>
        <w:t>该</w:t>
      </w:r>
      <w:r>
        <w:rPr>
          <w:rFonts w:hint="eastAsia"/>
          <w:szCs w:val="21"/>
        </w:rPr>
        <w:t>投标人</w:t>
      </w:r>
      <w:r>
        <w:rPr>
          <w:szCs w:val="21"/>
        </w:rPr>
        <w:t>其一方面与借款人之间不存在重大的共同所有权、影响或控制关系，另一方面与借款人的代理人及</w:t>
      </w:r>
      <w:r>
        <w:rPr>
          <w:rFonts w:hint="eastAsia"/>
          <w:szCs w:val="21"/>
        </w:rPr>
        <w:t>关联机构</w:t>
      </w:r>
      <w:r>
        <w:rPr>
          <w:szCs w:val="21"/>
        </w:rPr>
        <w:t>之间不存在重大的共同所有权、影响或控制关系。</w:t>
      </w:r>
    </w:p>
    <w:p>
      <w:pPr>
        <w:spacing w:before="120" w:after="120" w:line="240" w:lineRule="atLeast"/>
        <w:ind w:firstLine="420" w:firstLineChars="200"/>
        <w:jc w:val="left"/>
        <w:textAlignment w:val="auto"/>
        <w:rPr>
          <w:szCs w:val="21"/>
        </w:rPr>
      </w:pPr>
      <w:r>
        <w:rPr>
          <w:rFonts w:hint="eastAsia"/>
          <w:szCs w:val="21"/>
        </w:rPr>
        <w:t>4.4　在投标截止时间或其随后的时间内，被亚投行根据其禁止行为政策（参见“投标人须知”第3条）临时暂停投标资格或被宣布制裁的企业不得参与亚投行融资、管理或者支持的任何项目采购工作，</w:t>
      </w:r>
      <w:r>
        <w:rPr>
          <w:szCs w:val="21"/>
        </w:rPr>
        <w:t>或在财务或其他方面从</w:t>
      </w:r>
      <w:r>
        <w:rPr>
          <w:rFonts w:hint="eastAsia"/>
          <w:szCs w:val="21"/>
        </w:rPr>
        <w:t>亚投行</w:t>
      </w:r>
      <w:r>
        <w:rPr>
          <w:szCs w:val="21"/>
        </w:rPr>
        <w:t>资助合同中获益</w:t>
      </w:r>
      <w:r>
        <w:rPr>
          <w:rFonts w:hint="eastAsia"/>
          <w:szCs w:val="21"/>
        </w:rPr>
        <w:t>，无论制裁是由亚投行直接发起还是根据多边开发银行联合制裁协议而实施的。被制裁的企业</w:t>
      </w:r>
      <w:r>
        <w:rPr>
          <w:szCs w:val="21"/>
        </w:rPr>
        <w:t>和个人名单</w:t>
      </w:r>
      <w:r>
        <w:rPr>
          <w:rFonts w:hint="eastAsia"/>
          <w:szCs w:val="21"/>
        </w:rPr>
        <w:t>详见</w:t>
      </w:r>
      <w:r>
        <w:rPr>
          <w:rFonts w:hint="eastAsia"/>
          <w:b/>
          <w:bCs/>
          <w:szCs w:val="21"/>
        </w:rPr>
        <w:t>“投标资料表”</w:t>
      </w:r>
      <w:r>
        <w:rPr>
          <w:rFonts w:hint="eastAsia"/>
          <w:szCs w:val="21"/>
        </w:rPr>
        <w:t>。</w:t>
      </w:r>
    </w:p>
    <w:p>
      <w:pPr>
        <w:spacing w:before="120" w:after="120" w:line="240" w:lineRule="atLeast"/>
        <w:ind w:firstLine="420" w:firstLineChars="200"/>
        <w:jc w:val="left"/>
        <w:textAlignment w:val="auto"/>
        <w:rPr>
          <w:szCs w:val="21"/>
        </w:rPr>
      </w:pPr>
      <w:r>
        <w:rPr>
          <w:szCs w:val="21"/>
        </w:rPr>
        <w:t>4.</w:t>
      </w:r>
      <w:r>
        <w:rPr>
          <w:rFonts w:hint="eastAsia"/>
          <w:szCs w:val="21"/>
        </w:rPr>
        <w:t xml:space="preserve">5　 </w:t>
      </w:r>
      <w:r>
        <w:rPr>
          <w:szCs w:val="21"/>
        </w:rPr>
        <w:t>国有企业只有在以</w:t>
      </w:r>
      <w:r>
        <w:rPr>
          <w:rFonts w:hint="eastAsia"/>
          <w:szCs w:val="21"/>
        </w:rPr>
        <w:t>亚投行</w:t>
      </w:r>
      <w:r>
        <w:rPr>
          <w:szCs w:val="21"/>
        </w:rPr>
        <w:t>可接受的方式证明其</w:t>
      </w:r>
      <w:r>
        <w:rPr>
          <w:rFonts w:hint="eastAsia"/>
          <w:szCs w:val="21"/>
        </w:rPr>
        <w:t>同时满足以下规定，才是本次招标的合格投标人 ：</w:t>
      </w:r>
    </w:p>
    <w:p>
      <w:pPr>
        <w:spacing w:before="120" w:after="120" w:line="240" w:lineRule="atLeast"/>
        <w:ind w:left="936" w:hanging="576"/>
        <w:jc w:val="left"/>
        <w:textAlignment w:val="auto"/>
        <w:rPr>
          <w:szCs w:val="21"/>
        </w:rPr>
      </w:pPr>
      <w:r>
        <w:rPr>
          <w:rFonts w:hint="eastAsia"/>
          <w:szCs w:val="21"/>
        </w:rPr>
        <w:t>（1）</w:t>
      </w:r>
      <w:r>
        <w:rPr>
          <w:szCs w:val="21"/>
        </w:rPr>
        <w:t>为商业目的而设立，并按商业</w:t>
      </w:r>
      <w:r>
        <w:rPr>
          <w:rFonts w:hint="eastAsia"/>
          <w:szCs w:val="21"/>
        </w:rPr>
        <w:t>规则</w:t>
      </w:r>
      <w:r>
        <w:rPr>
          <w:szCs w:val="21"/>
        </w:rPr>
        <w:t>运作；</w:t>
      </w:r>
    </w:p>
    <w:p>
      <w:pPr>
        <w:spacing w:before="120" w:after="120" w:line="240" w:lineRule="atLeast"/>
        <w:ind w:left="936" w:hanging="576"/>
        <w:jc w:val="left"/>
        <w:textAlignment w:val="auto"/>
        <w:rPr>
          <w:szCs w:val="21"/>
        </w:rPr>
      </w:pPr>
      <w:r>
        <w:rPr>
          <w:rFonts w:hint="eastAsia"/>
          <w:szCs w:val="21"/>
        </w:rPr>
        <w:t>（2）</w:t>
      </w:r>
      <w:r>
        <w:rPr>
          <w:szCs w:val="21"/>
        </w:rPr>
        <w:t>在财务上和管理上独立；</w:t>
      </w:r>
    </w:p>
    <w:p>
      <w:pPr>
        <w:spacing w:before="120" w:after="120" w:line="240" w:lineRule="atLeast"/>
        <w:ind w:left="936" w:hanging="576"/>
        <w:jc w:val="left"/>
        <w:textAlignment w:val="auto"/>
        <w:rPr>
          <w:szCs w:val="21"/>
        </w:rPr>
      </w:pPr>
      <w:r>
        <w:rPr>
          <w:rFonts w:hint="eastAsia"/>
          <w:szCs w:val="21"/>
        </w:rPr>
        <w:t>（3）</w:t>
      </w:r>
      <w:r>
        <w:rPr>
          <w:szCs w:val="21"/>
        </w:rPr>
        <w:t>日常管理不受政府控制；</w:t>
      </w:r>
    </w:p>
    <w:p>
      <w:pPr>
        <w:spacing w:before="120" w:after="120" w:line="240" w:lineRule="atLeast"/>
        <w:ind w:left="936" w:hanging="576"/>
        <w:jc w:val="left"/>
        <w:textAlignment w:val="auto"/>
        <w:rPr>
          <w:szCs w:val="21"/>
        </w:rPr>
      </w:pPr>
      <w:r>
        <w:rPr>
          <w:rFonts w:hint="eastAsia"/>
          <w:szCs w:val="21"/>
        </w:rPr>
        <w:t>（4）</w:t>
      </w:r>
      <w:r>
        <w:rPr>
          <w:szCs w:val="21"/>
        </w:rPr>
        <w:t>不受</w:t>
      </w:r>
      <w:r>
        <w:rPr>
          <w:rFonts w:hint="eastAsia"/>
          <w:szCs w:val="21"/>
        </w:rPr>
        <w:t>业主</w:t>
      </w:r>
      <w:r>
        <w:rPr>
          <w:szCs w:val="21"/>
        </w:rPr>
        <w:t>的</w:t>
      </w:r>
      <w:r>
        <w:rPr>
          <w:rFonts w:hint="eastAsia"/>
          <w:szCs w:val="21"/>
        </w:rPr>
        <w:t>监督管理</w:t>
      </w:r>
      <w:r>
        <w:rPr>
          <w:szCs w:val="21"/>
        </w:rPr>
        <w:t>。</w:t>
      </w:r>
    </w:p>
    <w:p>
      <w:pPr>
        <w:spacing w:before="120" w:after="120" w:line="240" w:lineRule="atLeast"/>
        <w:ind w:firstLine="420" w:firstLineChars="200"/>
        <w:jc w:val="left"/>
        <w:textAlignment w:val="auto"/>
        <w:rPr>
          <w:szCs w:val="21"/>
        </w:rPr>
      </w:pPr>
      <w:r>
        <w:rPr>
          <w:rFonts w:hint="eastAsia"/>
          <w:szCs w:val="21"/>
        </w:rPr>
        <w:t>4.6　在业主提出合理要求时，投标人应向业主提供证据，证明其能够继续满足合格性的要求。</w:t>
      </w:r>
    </w:p>
    <w:p>
      <w:pPr>
        <w:spacing w:before="120" w:after="120" w:line="240" w:lineRule="atLeast"/>
        <w:ind w:firstLine="420" w:firstLineChars="200"/>
        <w:jc w:val="left"/>
        <w:textAlignment w:val="auto"/>
        <w:rPr>
          <w:szCs w:val="21"/>
        </w:rPr>
      </w:pPr>
      <w:r>
        <w:rPr>
          <w:szCs w:val="21"/>
        </w:rPr>
        <w:t>4.</w:t>
      </w:r>
      <w:r>
        <w:rPr>
          <w:rFonts w:hint="eastAsia"/>
          <w:szCs w:val="21"/>
        </w:rPr>
        <w:t>7</w:t>
      </w:r>
      <w:r>
        <w:rPr>
          <w:szCs w:val="21"/>
        </w:rPr>
        <w:t>　</w:t>
      </w:r>
      <w:r>
        <w:rPr>
          <w:rFonts w:hint="eastAsia"/>
          <w:szCs w:val="21"/>
        </w:rPr>
        <w:t>根据联合国安理会按照联合国宪章第七章所作出的决定，中国禁止从某国进口货物或与之签订工程和服务合同，并且禁止向该国人员或实体支付款项，则该国的投标人为不合格投标人。</w:t>
      </w:r>
    </w:p>
    <w:p>
      <w:pPr>
        <w:spacing w:before="120" w:after="120" w:line="240" w:lineRule="atLeast"/>
        <w:ind w:firstLine="420" w:firstLineChars="200"/>
        <w:jc w:val="left"/>
        <w:textAlignment w:val="auto"/>
        <w:rPr>
          <w:szCs w:val="21"/>
        </w:rPr>
      </w:pPr>
      <w:r>
        <w:rPr>
          <w:rFonts w:hint="eastAsia"/>
          <w:szCs w:val="21"/>
        </w:rPr>
        <w:t>4</w:t>
      </w:r>
      <w:r>
        <w:rPr>
          <w:szCs w:val="21"/>
        </w:rPr>
        <w:t xml:space="preserve">.8    </w:t>
      </w:r>
      <w:r>
        <w:rPr>
          <w:rFonts w:hint="eastAsia"/>
          <w:szCs w:val="21"/>
        </w:rPr>
        <w:t>如果在本次招标之前进行了资格预审，那么只有资格预审合格的投标人方可投标。</w:t>
      </w:r>
    </w:p>
    <w:p>
      <w:pPr>
        <w:spacing w:before="120" w:after="120" w:line="240" w:lineRule="atLeast"/>
        <w:ind w:firstLine="420" w:firstLineChars="200"/>
        <w:jc w:val="left"/>
        <w:textAlignment w:val="auto"/>
        <w:rPr>
          <w:bCs/>
          <w:szCs w:val="21"/>
        </w:rPr>
      </w:pPr>
      <w:r>
        <w:rPr>
          <w:szCs w:val="21"/>
        </w:rPr>
        <w:t xml:space="preserve">4.9   </w:t>
      </w:r>
      <w:r>
        <w:rPr>
          <w:rFonts w:hint="eastAsia"/>
          <w:szCs w:val="21"/>
        </w:rPr>
        <w:t>中国</w:t>
      </w:r>
      <w:r>
        <w:rPr>
          <w:szCs w:val="21"/>
        </w:rPr>
        <w:t>法律法规禁止与某国发生商业往来，</w:t>
      </w:r>
      <w:r>
        <w:rPr>
          <w:rFonts w:hint="eastAsia"/>
          <w:szCs w:val="21"/>
        </w:rPr>
        <w:t>且亚投</w:t>
      </w:r>
      <w:r>
        <w:rPr>
          <w:szCs w:val="21"/>
        </w:rPr>
        <w:t>行认可这样的</w:t>
      </w:r>
      <w:r>
        <w:rPr>
          <w:rFonts w:hint="eastAsia"/>
          <w:szCs w:val="21"/>
        </w:rPr>
        <w:t>排除</w:t>
      </w:r>
      <w:r>
        <w:rPr>
          <w:szCs w:val="21"/>
        </w:rPr>
        <w:t>并不妨碍采购</w:t>
      </w:r>
      <w:r>
        <w:rPr>
          <w:rFonts w:hint="eastAsia"/>
          <w:szCs w:val="21"/>
        </w:rPr>
        <w:t>的</w:t>
      </w:r>
      <w:r>
        <w:rPr>
          <w:szCs w:val="21"/>
        </w:rPr>
        <w:t>有效竞争</w:t>
      </w:r>
      <w:r>
        <w:rPr>
          <w:rFonts w:hint="eastAsia"/>
          <w:szCs w:val="21"/>
        </w:rPr>
        <w:t>性，则该国的投标人为不合格投标人。这些不合格投标人在</w:t>
      </w:r>
      <w:r>
        <w:rPr>
          <w:rFonts w:hint="eastAsia"/>
          <w:b/>
          <w:szCs w:val="21"/>
        </w:rPr>
        <w:t>“投标资料表”</w:t>
      </w:r>
      <w:r>
        <w:rPr>
          <w:rFonts w:hint="eastAsia"/>
          <w:bCs/>
          <w:szCs w:val="21"/>
        </w:rPr>
        <w:t>中列明。</w:t>
      </w:r>
    </w:p>
    <w:p>
      <w:pPr>
        <w:pStyle w:val="5"/>
      </w:pPr>
      <w:bookmarkStart w:id="129" w:name="_Toc171063060"/>
      <w:bookmarkStart w:id="130" w:name="_Toc169103197"/>
      <w:bookmarkStart w:id="131" w:name="_Toc110267591"/>
      <w:bookmarkStart w:id="132" w:name="_Toc391287284"/>
      <w:bookmarkStart w:id="133" w:name="_Toc110262663"/>
      <w:bookmarkStart w:id="134" w:name="_Toc324772153"/>
      <w:bookmarkStart w:id="135" w:name="_Toc110263857"/>
      <w:bookmarkStart w:id="136" w:name="_Toc171061149"/>
      <w:bookmarkStart w:id="137" w:name="_Toc110264318"/>
      <w:bookmarkStart w:id="138" w:name="_Toc128391513"/>
      <w:bookmarkStart w:id="139" w:name="_Toc79667228"/>
      <w:bookmarkStart w:id="140" w:name="_Toc128391160"/>
      <w:bookmarkStart w:id="141" w:name="_Toc128391413"/>
      <w:bookmarkStart w:id="142" w:name="_Toc168753138"/>
      <w:bookmarkStart w:id="143" w:name="_Toc79668206"/>
      <w:bookmarkStart w:id="144" w:name="_Toc128396286"/>
      <w:r>
        <w:rPr>
          <w:rFonts w:hint="eastAsia"/>
        </w:rPr>
        <w:t>第</w:t>
      </w:r>
      <w:r>
        <w:t>5</w:t>
      </w:r>
      <w:r>
        <w:rPr>
          <w:rFonts w:hint="eastAsia"/>
        </w:rPr>
        <w:t>条　合格材料、设备和服务</w:t>
      </w:r>
      <w:bookmarkEnd w:id="129"/>
      <w:bookmarkEnd w:id="130"/>
      <w:bookmarkEnd w:id="131"/>
      <w:bookmarkEnd w:id="132"/>
      <w:bookmarkEnd w:id="133"/>
      <w:bookmarkEnd w:id="134"/>
      <w:bookmarkEnd w:id="135"/>
      <w:bookmarkEnd w:id="136"/>
      <w:bookmarkEnd w:id="137"/>
    </w:p>
    <w:bookmarkEnd w:id="138"/>
    <w:bookmarkEnd w:id="139"/>
    <w:bookmarkEnd w:id="140"/>
    <w:bookmarkEnd w:id="141"/>
    <w:bookmarkEnd w:id="142"/>
    <w:bookmarkEnd w:id="143"/>
    <w:bookmarkEnd w:id="144"/>
    <w:p>
      <w:pPr>
        <w:spacing w:before="120" w:after="120" w:line="240" w:lineRule="atLeast"/>
        <w:ind w:firstLine="420" w:firstLineChars="200"/>
        <w:jc w:val="left"/>
        <w:textAlignment w:val="auto"/>
        <w:rPr>
          <w:szCs w:val="21"/>
        </w:rPr>
      </w:pPr>
      <w:r>
        <w:rPr>
          <w:rFonts w:hint="eastAsia"/>
          <w:szCs w:val="21"/>
        </w:rPr>
        <w:t>5.1　本次招标的材料、设备和服务的原产地均应来自本招标文件第五章规定的合格国家，并且，本次招标项下合同所发生的所有费用仅限于这些材料、设备和服务。在业主提出要求时，投标人应提供材料、设备和服务的“原产地”证明。</w:t>
      </w:r>
    </w:p>
    <w:p>
      <w:pPr>
        <w:spacing w:before="120" w:after="120" w:line="240" w:lineRule="atLeast"/>
        <w:ind w:firstLine="420" w:firstLineChars="200"/>
        <w:jc w:val="left"/>
        <w:textAlignment w:val="auto"/>
        <w:rPr>
          <w:szCs w:val="21"/>
        </w:rPr>
      </w:pPr>
      <w:r>
        <w:rPr>
          <w:rFonts w:hint="eastAsia"/>
          <w:szCs w:val="21"/>
        </w:rPr>
        <w:t>5.2　上述 “原产地”系指材料和设备开采、生长、种植、生产、制造或加工以及服务提供的地方，或者通过制造、加工或装配主要部件，材料和设备完成了生产过程，并最终形成在商业上被确认为其基本特征已与其所合用的部件有着实质性区别的产品的地方。</w:t>
      </w:r>
    </w:p>
    <w:p>
      <w:pPr>
        <w:pStyle w:val="4"/>
      </w:pPr>
      <w:bookmarkStart w:id="145" w:name="_Toc171061150"/>
      <w:bookmarkStart w:id="146" w:name="_Toc110262664"/>
      <w:bookmarkStart w:id="147" w:name="_Toc171063061"/>
      <w:bookmarkStart w:id="148" w:name="_Toc110268513"/>
      <w:bookmarkStart w:id="149" w:name="_Toc110267592"/>
      <w:bookmarkStart w:id="150" w:name="_Toc110264723"/>
      <w:bookmarkStart w:id="151" w:name="_Toc110264940"/>
      <w:bookmarkStart w:id="152" w:name="_Toc169103198"/>
      <w:bookmarkStart w:id="153" w:name="_Toc110263858"/>
      <w:bookmarkStart w:id="154" w:name="_Toc110264319"/>
      <w:bookmarkStart w:id="155" w:name="_Toc110272047"/>
      <w:bookmarkStart w:id="156" w:name="_Toc110264776"/>
      <w:bookmarkStart w:id="157" w:name="_Toc391287285"/>
      <w:bookmarkStart w:id="158" w:name="_Toc324772154"/>
      <w:bookmarkStart w:id="159" w:name="_Toc110265176"/>
      <w:bookmarkStart w:id="160" w:name="_Toc168753139"/>
      <w:bookmarkStart w:id="161" w:name="_Toc128391514"/>
      <w:bookmarkStart w:id="162" w:name="_Toc79668207"/>
      <w:bookmarkStart w:id="163" w:name="_Toc128391161"/>
      <w:bookmarkStart w:id="164" w:name="_Toc79667229"/>
      <w:bookmarkStart w:id="165" w:name="_Toc128396287"/>
      <w:bookmarkStart w:id="166" w:name="_Toc128391414"/>
      <w:r>
        <w:rPr>
          <w:rFonts w:hint="eastAsia"/>
        </w:rPr>
        <w:t>第二节　招标文件的内容</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60"/>
    <w:bookmarkEnd w:id="161"/>
    <w:bookmarkEnd w:id="162"/>
    <w:bookmarkEnd w:id="163"/>
    <w:bookmarkEnd w:id="164"/>
    <w:bookmarkEnd w:id="165"/>
    <w:bookmarkEnd w:id="166"/>
    <w:p>
      <w:pPr>
        <w:pStyle w:val="5"/>
      </w:pPr>
      <w:bookmarkStart w:id="167" w:name="_Toc110264320"/>
      <w:bookmarkStart w:id="168" w:name="_Toc110262665"/>
      <w:bookmarkStart w:id="169" w:name="_Toc110263859"/>
      <w:bookmarkStart w:id="170" w:name="_Toc171063062"/>
      <w:bookmarkStart w:id="171" w:name="_Toc171061151"/>
      <w:bookmarkStart w:id="172" w:name="_Toc391287286"/>
      <w:bookmarkStart w:id="173" w:name="_Toc110267593"/>
      <w:bookmarkStart w:id="174" w:name="_Toc169103199"/>
      <w:bookmarkStart w:id="175" w:name="_Toc324772155"/>
      <w:bookmarkStart w:id="176" w:name="_Toc128391162"/>
      <w:bookmarkStart w:id="177" w:name="_Toc128391415"/>
      <w:bookmarkStart w:id="178" w:name="_Toc79668208"/>
      <w:bookmarkStart w:id="179" w:name="_Toc79667230"/>
      <w:bookmarkStart w:id="180" w:name="_Toc168753140"/>
      <w:bookmarkStart w:id="181" w:name="_Toc128391515"/>
      <w:bookmarkStart w:id="182" w:name="_Toc128396288"/>
      <w:r>
        <w:rPr>
          <w:rFonts w:hint="eastAsia"/>
        </w:rPr>
        <w:t>第</w:t>
      </w:r>
      <w:r>
        <w:t>6</w:t>
      </w:r>
      <w:r>
        <w:rPr>
          <w:rFonts w:hint="eastAsia"/>
        </w:rPr>
        <w:t>条　招标文件的章节</w:t>
      </w:r>
      <w:bookmarkEnd w:id="167"/>
      <w:bookmarkEnd w:id="168"/>
      <w:bookmarkEnd w:id="169"/>
      <w:bookmarkEnd w:id="170"/>
      <w:bookmarkEnd w:id="171"/>
      <w:bookmarkEnd w:id="172"/>
      <w:bookmarkEnd w:id="173"/>
      <w:bookmarkEnd w:id="174"/>
      <w:bookmarkEnd w:id="175"/>
    </w:p>
    <w:bookmarkEnd w:id="176"/>
    <w:bookmarkEnd w:id="177"/>
    <w:bookmarkEnd w:id="178"/>
    <w:bookmarkEnd w:id="179"/>
    <w:bookmarkEnd w:id="180"/>
    <w:bookmarkEnd w:id="181"/>
    <w:bookmarkEnd w:id="182"/>
    <w:p>
      <w:pPr>
        <w:spacing w:before="120" w:after="120" w:line="240" w:lineRule="atLeast"/>
        <w:ind w:firstLine="420" w:firstLineChars="200"/>
        <w:jc w:val="left"/>
        <w:textAlignment w:val="auto"/>
        <w:rPr>
          <w:szCs w:val="21"/>
        </w:rPr>
      </w:pPr>
      <w:r>
        <w:rPr>
          <w:rFonts w:hint="eastAsia"/>
          <w:szCs w:val="21"/>
        </w:rPr>
        <w:t>6.1　本招标文件分为三篇，包括以下章节。本招标文件应与根据“投标人须知”第</w:t>
      </w:r>
      <w:r>
        <w:rPr>
          <w:szCs w:val="21"/>
        </w:rPr>
        <w:t>8</w:t>
      </w:r>
      <w:r>
        <w:rPr>
          <w:rFonts w:hint="eastAsia"/>
          <w:szCs w:val="21"/>
        </w:rPr>
        <w:t>条的规定而发出的补遗一起阅读。</w:t>
      </w:r>
    </w:p>
    <w:p>
      <w:pPr>
        <w:spacing w:before="120" w:after="120" w:line="240" w:lineRule="atLeast"/>
        <w:ind w:firstLine="422" w:firstLineChars="200"/>
        <w:jc w:val="left"/>
        <w:textAlignment w:val="auto"/>
        <w:rPr>
          <w:b/>
          <w:szCs w:val="21"/>
        </w:rPr>
      </w:pPr>
      <w:r>
        <w:rPr>
          <w:rFonts w:hint="eastAsia"/>
          <w:b/>
          <w:szCs w:val="21"/>
        </w:rPr>
        <w:t>第一篇　招标程序</w:t>
      </w:r>
    </w:p>
    <w:p>
      <w:pPr>
        <w:spacing w:before="120" w:after="120" w:line="240" w:lineRule="atLeast"/>
        <w:ind w:left="420" w:leftChars="200" w:firstLine="420" w:firstLineChars="200"/>
        <w:jc w:val="left"/>
        <w:textAlignment w:val="auto"/>
        <w:rPr>
          <w:szCs w:val="21"/>
        </w:rPr>
      </w:pPr>
      <w:r>
        <w:rPr>
          <w:rFonts w:hint="eastAsia"/>
          <w:szCs w:val="21"/>
        </w:rPr>
        <w:t>第一章　投标人须知</w:t>
      </w:r>
    </w:p>
    <w:p>
      <w:pPr>
        <w:spacing w:before="120" w:after="120" w:line="240" w:lineRule="atLeast"/>
        <w:ind w:left="420" w:leftChars="200" w:firstLine="420" w:firstLineChars="200"/>
        <w:jc w:val="left"/>
        <w:textAlignment w:val="auto"/>
        <w:rPr>
          <w:szCs w:val="21"/>
        </w:rPr>
      </w:pPr>
      <w:r>
        <w:rPr>
          <w:rFonts w:hint="eastAsia"/>
          <w:szCs w:val="21"/>
        </w:rPr>
        <w:t>第二章　投标资料表</w:t>
      </w:r>
    </w:p>
    <w:p>
      <w:pPr>
        <w:spacing w:before="120" w:after="120" w:line="240" w:lineRule="atLeast"/>
        <w:ind w:left="420" w:leftChars="200" w:firstLine="420" w:firstLineChars="200"/>
        <w:jc w:val="left"/>
        <w:textAlignment w:val="auto"/>
        <w:rPr>
          <w:szCs w:val="21"/>
        </w:rPr>
      </w:pPr>
      <w:r>
        <w:rPr>
          <w:rFonts w:hint="eastAsia"/>
          <w:szCs w:val="21"/>
        </w:rPr>
        <w:t>第三章　评标和资格标准</w:t>
      </w:r>
    </w:p>
    <w:p>
      <w:pPr>
        <w:spacing w:before="120" w:after="120" w:line="240" w:lineRule="atLeast"/>
        <w:ind w:left="420" w:leftChars="200" w:firstLine="420" w:firstLineChars="200"/>
        <w:jc w:val="left"/>
        <w:textAlignment w:val="auto"/>
        <w:rPr>
          <w:szCs w:val="21"/>
        </w:rPr>
      </w:pPr>
      <w:r>
        <w:rPr>
          <w:rFonts w:hint="eastAsia"/>
          <w:szCs w:val="21"/>
        </w:rPr>
        <w:t>第四章　投标文件格式</w:t>
      </w:r>
    </w:p>
    <w:p>
      <w:pPr>
        <w:spacing w:before="120" w:after="120" w:line="240" w:lineRule="atLeast"/>
        <w:ind w:left="420" w:leftChars="200" w:firstLine="420" w:firstLineChars="200"/>
        <w:jc w:val="left"/>
        <w:textAlignment w:val="auto"/>
        <w:rPr>
          <w:szCs w:val="21"/>
        </w:rPr>
      </w:pPr>
      <w:r>
        <w:rPr>
          <w:rFonts w:hint="eastAsia"/>
          <w:szCs w:val="21"/>
        </w:rPr>
        <w:t>第五章　合格国家</w:t>
      </w:r>
    </w:p>
    <w:p>
      <w:pPr>
        <w:spacing w:before="120" w:after="120" w:line="240" w:lineRule="atLeast"/>
        <w:ind w:firstLine="422" w:firstLineChars="200"/>
        <w:jc w:val="left"/>
        <w:textAlignment w:val="auto"/>
        <w:rPr>
          <w:b/>
          <w:szCs w:val="21"/>
        </w:rPr>
      </w:pPr>
      <w:r>
        <w:rPr>
          <w:rFonts w:hint="eastAsia"/>
          <w:b/>
          <w:szCs w:val="21"/>
        </w:rPr>
        <w:t>第二篇　业主要求</w:t>
      </w:r>
    </w:p>
    <w:p>
      <w:pPr>
        <w:spacing w:before="120" w:after="120" w:line="240" w:lineRule="atLeast"/>
        <w:ind w:left="420" w:leftChars="200" w:firstLine="420" w:firstLineChars="200"/>
        <w:jc w:val="left"/>
        <w:textAlignment w:val="auto"/>
        <w:rPr>
          <w:szCs w:val="21"/>
        </w:rPr>
      </w:pPr>
      <w:r>
        <w:rPr>
          <w:rFonts w:hint="eastAsia"/>
          <w:szCs w:val="21"/>
        </w:rPr>
        <w:t>第六章　业主要求</w:t>
      </w:r>
    </w:p>
    <w:p>
      <w:pPr>
        <w:spacing w:before="120" w:after="120" w:line="240" w:lineRule="atLeast"/>
        <w:ind w:firstLine="422" w:firstLineChars="200"/>
        <w:jc w:val="left"/>
        <w:textAlignment w:val="auto"/>
        <w:rPr>
          <w:b/>
          <w:szCs w:val="21"/>
        </w:rPr>
      </w:pPr>
      <w:r>
        <w:rPr>
          <w:rFonts w:hint="eastAsia"/>
          <w:b/>
          <w:szCs w:val="21"/>
        </w:rPr>
        <w:t>第三篇　合同</w:t>
      </w:r>
    </w:p>
    <w:p>
      <w:pPr>
        <w:spacing w:before="120" w:after="120" w:line="240" w:lineRule="atLeast"/>
        <w:ind w:left="420" w:leftChars="200" w:firstLine="420" w:firstLineChars="200"/>
        <w:jc w:val="left"/>
        <w:textAlignment w:val="auto"/>
        <w:rPr>
          <w:szCs w:val="21"/>
        </w:rPr>
      </w:pPr>
      <w:r>
        <w:rPr>
          <w:rFonts w:hint="eastAsia"/>
          <w:szCs w:val="21"/>
        </w:rPr>
        <w:t>第七章　一般合同条款</w:t>
      </w:r>
    </w:p>
    <w:p>
      <w:pPr>
        <w:spacing w:before="120" w:after="120" w:line="240" w:lineRule="atLeast"/>
        <w:ind w:left="420" w:leftChars="200" w:firstLine="420" w:firstLineChars="200"/>
        <w:jc w:val="left"/>
        <w:textAlignment w:val="auto"/>
        <w:rPr>
          <w:szCs w:val="21"/>
        </w:rPr>
      </w:pPr>
      <w:r>
        <w:rPr>
          <w:rFonts w:hint="eastAsia"/>
          <w:szCs w:val="21"/>
        </w:rPr>
        <w:t>第八章　特殊合同条款</w:t>
      </w:r>
    </w:p>
    <w:p>
      <w:pPr>
        <w:spacing w:before="120" w:after="120" w:line="240" w:lineRule="atLeast"/>
        <w:ind w:left="420" w:leftChars="200" w:firstLine="420" w:firstLineChars="200"/>
        <w:jc w:val="left"/>
        <w:textAlignment w:val="auto"/>
        <w:rPr>
          <w:szCs w:val="21"/>
        </w:rPr>
      </w:pPr>
      <w:r>
        <w:rPr>
          <w:rFonts w:hint="eastAsia"/>
          <w:szCs w:val="21"/>
        </w:rPr>
        <w:t>第九章　合同格式</w:t>
      </w:r>
    </w:p>
    <w:p>
      <w:pPr>
        <w:spacing w:before="120" w:after="120" w:line="240" w:lineRule="atLeast"/>
        <w:ind w:firstLine="420" w:firstLineChars="200"/>
        <w:jc w:val="left"/>
        <w:textAlignment w:val="auto"/>
        <w:rPr>
          <w:szCs w:val="21"/>
        </w:rPr>
      </w:pPr>
      <w:r>
        <w:rPr>
          <w:rFonts w:hint="eastAsia"/>
          <w:szCs w:val="21"/>
        </w:rPr>
        <w:t>6.2　业主发出的投标邀请函不是本招标文件的组成部分。</w:t>
      </w:r>
    </w:p>
    <w:p>
      <w:pPr>
        <w:spacing w:before="120" w:after="120" w:line="240" w:lineRule="atLeast"/>
        <w:ind w:firstLine="420" w:firstLineChars="200"/>
        <w:jc w:val="left"/>
        <w:textAlignment w:val="auto"/>
        <w:rPr>
          <w:szCs w:val="21"/>
        </w:rPr>
      </w:pPr>
      <w:r>
        <w:rPr>
          <w:rFonts w:hint="eastAsia"/>
          <w:szCs w:val="21"/>
        </w:rPr>
        <w:t>6.3　如果招标文件及其补遗不是直接从业主获得的，业主对它们的完整性不承担任何责任。</w:t>
      </w:r>
    </w:p>
    <w:p>
      <w:pPr>
        <w:spacing w:before="120" w:after="120" w:line="240" w:lineRule="atLeast"/>
        <w:ind w:firstLine="420" w:firstLineChars="200"/>
        <w:jc w:val="left"/>
        <w:textAlignment w:val="auto"/>
        <w:rPr>
          <w:szCs w:val="21"/>
        </w:rPr>
      </w:pPr>
      <w:r>
        <w:rPr>
          <w:rFonts w:hint="eastAsia"/>
          <w:szCs w:val="21"/>
        </w:rPr>
        <w:t>6.4　投标人应认真阅读本招标文件中所有的说明、格式、条款和规范等要求。没有递交本招标文件所要求的全部信息或文件的投标可能被拒绝。</w:t>
      </w:r>
    </w:p>
    <w:p>
      <w:pPr>
        <w:pStyle w:val="5"/>
      </w:pPr>
      <w:bookmarkStart w:id="183" w:name="_Toc169103200"/>
      <w:bookmarkStart w:id="184" w:name="_Toc171063063"/>
      <w:bookmarkStart w:id="185" w:name="_Toc391287287"/>
      <w:bookmarkStart w:id="186" w:name="_Toc110264321"/>
      <w:bookmarkStart w:id="187" w:name="_Toc110262666"/>
      <w:bookmarkStart w:id="188" w:name="_Toc324772156"/>
      <w:bookmarkStart w:id="189" w:name="_Toc171061152"/>
      <w:bookmarkStart w:id="190" w:name="_Toc110267594"/>
      <w:bookmarkStart w:id="191" w:name="_Toc110263860"/>
      <w:bookmarkStart w:id="192" w:name="_Toc128391416"/>
      <w:bookmarkStart w:id="193" w:name="_Toc79668209"/>
      <w:bookmarkStart w:id="194" w:name="_Toc168753141"/>
      <w:bookmarkStart w:id="195" w:name="_Toc128391516"/>
      <w:bookmarkStart w:id="196" w:name="_Toc128396289"/>
      <w:bookmarkStart w:id="197" w:name="_Toc128391163"/>
      <w:bookmarkStart w:id="198" w:name="_Toc79667231"/>
      <w:r>
        <w:rPr>
          <w:rFonts w:hint="eastAsia"/>
        </w:rPr>
        <w:t>第</w:t>
      </w:r>
      <w:r>
        <w:t>7</w:t>
      </w:r>
      <w:r>
        <w:rPr>
          <w:rFonts w:hint="eastAsia"/>
        </w:rPr>
        <w:t>条　</w:t>
      </w:r>
      <w:r>
        <w:rPr>
          <w:rFonts w:hint="eastAsia"/>
          <w:lang w:eastAsia="zh-CN"/>
        </w:rPr>
        <w:t>对</w:t>
      </w:r>
      <w:r>
        <w:rPr>
          <w:rFonts w:hint="eastAsia"/>
        </w:rPr>
        <w:t>招标文件的澄清</w:t>
      </w:r>
      <w:r>
        <w:rPr>
          <w:rFonts w:hint="eastAsia"/>
          <w:lang w:eastAsia="zh-CN"/>
        </w:rPr>
        <w:t>与投诉</w:t>
      </w:r>
      <w:r>
        <w:rPr>
          <w:rFonts w:hint="eastAsia"/>
        </w:rPr>
        <w:t>、现场考察和标前会议</w:t>
      </w:r>
      <w:bookmarkEnd w:id="183"/>
      <w:bookmarkEnd w:id="184"/>
      <w:bookmarkEnd w:id="185"/>
      <w:bookmarkEnd w:id="186"/>
      <w:bookmarkEnd w:id="187"/>
      <w:bookmarkEnd w:id="188"/>
      <w:bookmarkEnd w:id="189"/>
      <w:bookmarkEnd w:id="190"/>
      <w:bookmarkEnd w:id="191"/>
    </w:p>
    <w:bookmarkEnd w:id="192"/>
    <w:bookmarkEnd w:id="193"/>
    <w:bookmarkEnd w:id="194"/>
    <w:bookmarkEnd w:id="195"/>
    <w:bookmarkEnd w:id="196"/>
    <w:bookmarkEnd w:id="197"/>
    <w:bookmarkEnd w:id="198"/>
    <w:p>
      <w:pPr>
        <w:spacing w:before="120" w:after="120" w:line="240" w:lineRule="atLeast"/>
        <w:ind w:firstLine="420" w:firstLineChars="200"/>
        <w:jc w:val="left"/>
        <w:textAlignment w:val="auto"/>
        <w:rPr>
          <w:szCs w:val="21"/>
        </w:rPr>
      </w:pPr>
      <w:r>
        <w:rPr>
          <w:rFonts w:hint="eastAsia"/>
          <w:szCs w:val="21"/>
        </w:rPr>
        <w:t>7.1　投标人对本招标文件的任何澄清要求，均应按照</w:t>
      </w:r>
      <w:r>
        <w:rPr>
          <w:rFonts w:hint="eastAsia"/>
          <w:b/>
          <w:szCs w:val="21"/>
        </w:rPr>
        <w:t>“投标资料表”</w:t>
      </w:r>
      <w:r>
        <w:rPr>
          <w:rFonts w:hint="eastAsia"/>
          <w:szCs w:val="21"/>
        </w:rPr>
        <w:t>规定的地址，以书面形式与业主联系。如果</w:t>
      </w:r>
      <w:r>
        <w:rPr>
          <w:rFonts w:hint="eastAsia"/>
          <w:b/>
          <w:bCs/>
          <w:szCs w:val="21"/>
        </w:rPr>
        <w:t>“投标资料表”</w:t>
      </w:r>
      <w:r>
        <w:rPr>
          <w:rFonts w:hint="eastAsia"/>
          <w:szCs w:val="21"/>
        </w:rPr>
        <w:t>第</w:t>
      </w:r>
      <w:r>
        <w:rPr>
          <w:szCs w:val="21"/>
        </w:rPr>
        <w:t>7.5</w:t>
      </w:r>
      <w:r>
        <w:rPr>
          <w:rFonts w:hint="eastAsia"/>
          <w:szCs w:val="21"/>
        </w:rPr>
        <w:t>款规定有标前会议，投标人也可在标前会议上提出其澄清要求。所有澄清要求必须在</w:t>
      </w:r>
      <w:r>
        <w:rPr>
          <w:rFonts w:hint="eastAsia"/>
          <w:b/>
          <w:bCs/>
          <w:szCs w:val="21"/>
        </w:rPr>
        <w:t>“投标资料表”</w:t>
      </w:r>
      <w:r>
        <w:rPr>
          <w:rFonts w:hint="eastAsia"/>
        </w:rPr>
        <w:t xml:space="preserve"> </w:t>
      </w:r>
      <w:r>
        <w:rPr>
          <w:rFonts w:hint="eastAsia"/>
          <w:szCs w:val="21"/>
        </w:rPr>
        <w:t>第7.1款规定的时间内发给业主。业主将把书面答复送达每个直接从业主获得本招标文件的投标人。答复中将说明所提出的问题，但不说明问题的来源。如果由于澄清的需要而必须修改本招标文件，业主将根据“投标人须知”第</w:t>
      </w:r>
      <w:r>
        <w:rPr>
          <w:szCs w:val="21"/>
        </w:rPr>
        <w:t>8</w:t>
      </w:r>
      <w:r>
        <w:rPr>
          <w:rFonts w:hint="eastAsia"/>
          <w:szCs w:val="21"/>
        </w:rPr>
        <w:t>条</w:t>
      </w:r>
      <w:r>
        <w:rPr>
          <w:szCs w:val="21"/>
        </w:rPr>
        <w:t>和</w:t>
      </w:r>
      <w:r>
        <w:rPr>
          <w:rFonts w:hint="eastAsia"/>
          <w:szCs w:val="21"/>
        </w:rPr>
        <w:t>第</w:t>
      </w:r>
      <w:r>
        <w:rPr>
          <w:szCs w:val="21"/>
        </w:rPr>
        <w:t>2</w:t>
      </w:r>
      <w:r>
        <w:rPr>
          <w:rFonts w:hint="eastAsia"/>
          <w:szCs w:val="21"/>
        </w:rPr>
        <w:t>2</w:t>
      </w:r>
      <w:r>
        <w:rPr>
          <w:szCs w:val="21"/>
        </w:rPr>
        <w:t>.2</w:t>
      </w:r>
      <w:r>
        <w:rPr>
          <w:rFonts w:hint="eastAsia"/>
          <w:szCs w:val="21"/>
        </w:rPr>
        <w:t>款规定的程序进行。</w:t>
      </w:r>
    </w:p>
    <w:p>
      <w:pPr>
        <w:spacing w:before="120" w:after="120" w:line="240" w:lineRule="atLeast"/>
        <w:ind w:firstLine="420"/>
        <w:jc w:val="left"/>
        <w:textAlignment w:val="auto"/>
        <w:rPr>
          <w:szCs w:val="21"/>
        </w:rPr>
      </w:pPr>
      <w:r>
        <w:rPr>
          <w:rFonts w:hint="eastAsia"/>
          <w:szCs w:val="21"/>
        </w:rPr>
        <w:t>7.2 投标人对本招标文件的任何投诉，也均应按照</w:t>
      </w:r>
      <w:r>
        <w:rPr>
          <w:rFonts w:hint="eastAsia"/>
          <w:b/>
          <w:bCs/>
          <w:szCs w:val="21"/>
        </w:rPr>
        <w:t xml:space="preserve"> “投标资料表”</w:t>
      </w:r>
      <w:r>
        <w:rPr>
          <w:rFonts w:hint="eastAsia"/>
          <w:szCs w:val="21"/>
        </w:rPr>
        <w:t>规定的地址，以书面形式与业主联系。所有投诉必须在</w:t>
      </w:r>
      <w:r>
        <w:rPr>
          <w:rFonts w:hint="eastAsia"/>
          <w:b/>
          <w:bCs/>
          <w:szCs w:val="21"/>
        </w:rPr>
        <w:t>“投标资料表”</w:t>
      </w:r>
      <w:r>
        <w:rPr>
          <w:rFonts w:hint="eastAsia"/>
          <w:szCs w:val="21"/>
        </w:rPr>
        <w:t>第7.1款规定的时间内发给业主。业主在收到投诉后</w:t>
      </w:r>
      <w:r>
        <w:rPr>
          <w:szCs w:val="21"/>
        </w:rPr>
        <w:t>3</w:t>
      </w:r>
      <w:r>
        <w:rPr>
          <w:rFonts w:hint="eastAsia"/>
          <w:szCs w:val="21"/>
        </w:rPr>
        <w:t>个工作日之内将回复投诉人确认已收到投诉，并在收到投诉后7个工作日之内或合理时间内就投诉内容答复投诉人。根据投诉情况，如果业主认为有必要修改招标文件，应按照“投标人须知”第8条和第22.2款规定的程序对招标文件进行修改。</w:t>
      </w:r>
    </w:p>
    <w:p>
      <w:pPr>
        <w:spacing w:before="120" w:after="120" w:line="240" w:lineRule="atLeast"/>
        <w:ind w:firstLine="420" w:firstLineChars="200"/>
        <w:jc w:val="left"/>
        <w:textAlignment w:val="auto"/>
        <w:rPr>
          <w:szCs w:val="21"/>
        </w:rPr>
      </w:pPr>
      <w:r>
        <w:rPr>
          <w:szCs w:val="21"/>
        </w:rPr>
        <w:t>7</w:t>
      </w:r>
      <w:r>
        <w:rPr>
          <w:rFonts w:hint="eastAsia"/>
          <w:szCs w:val="21"/>
        </w:rPr>
        <w:t>.</w:t>
      </w:r>
      <w:r>
        <w:rPr>
          <w:szCs w:val="21"/>
        </w:rPr>
        <w:t>3</w:t>
      </w:r>
      <w:r>
        <w:rPr>
          <w:rFonts w:hint="eastAsia"/>
          <w:szCs w:val="21"/>
        </w:rPr>
        <w:t>　鼓励投标人对施工现场及其周边环境进行考察，并收集编制投标文件和签订施工合同所需要的全部信息。投标人应自行承担考察现场的全部风险、责任和费用。</w:t>
      </w:r>
    </w:p>
    <w:p>
      <w:pPr>
        <w:spacing w:before="120" w:after="120" w:line="240" w:lineRule="atLeast"/>
        <w:ind w:firstLine="420" w:firstLineChars="200"/>
        <w:jc w:val="left"/>
        <w:textAlignment w:val="auto"/>
        <w:rPr>
          <w:szCs w:val="21"/>
        </w:rPr>
      </w:pPr>
      <w:r>
        <w:rPr>
          <w:rFonts w:hint="eastAsia"/>
          <w:szCs w:val="21"/>
        </w:rPr>
        <w:t>7.</w:t>
      </w:r>
      <w:r>
        <w:rPr>
          <w:szCs w:val="21"/>
        </w:rPr>
        <w:t xml:space="preserve">4 </w:t>
      </w:r>
      <w:r>
        <w:rPr>
          <w:rFonts w:hint="eastAsia"/>
          <w:szCs w:val="21"/>
        </w:rPr>
        <w:tab/>
      </w:r>
      <w:r>
        <w:rPr>
          <w:rFonts w:hint="eastAsia"/>
          <w:szCs w:val="21"/>
        </w:rPr>
        <w:t>投标人及其人员或代理，经业主同意后，可进入业主区域和地界进行现场考察。但前提条件是，投标人及其人员或代理同意免除业主及其人员或代理与现场考察有关的任何责任和赔偿，并承担因现场考查引起的人员伤亡、财产损失或损坏和赔偿其它损失、损坏、支付成本和费用的全部责任。</w:t>
      </w:r>
    </w:p>
    <w:p>
      <w:pPr>
        <w:spacing w:before="120" w:after="120" w:line="240" w:lineRule="atLeast"/>
        <w:ind w:firstLine="420" w:firstLineChars="200"/>
        <w:jc w:val="left"/>
        <w:textAlignment w:val="auto"/>
        <w:rPr>
          <w:color w:val="000000"/>
          <w:szCs w:val="21"/>
        </w:rPr>
      </w:pPr>
      <w:r>
        <w:rPr>
          <w:rFonts w:hint="eastAsia"/>
          <w:szCs w:val="21"/>
        </w:rPr>
        <w:t>7.</w:t>
      </w:r>
      <w:r>
        <w:rPr>
          <w:szCs w:val="21"/>
        </w:rPr>
        <w:t>5</w:t>
      </w:r>
      <w:r>
        <w:rPr>
          <w:rFonts w:hint="eastAsia"/>
          <w:szCs w:val="21"/>
        </w:rPr>
        <w:tab/>
      </w:r>
      <w:r>
        <w:rPr>
          <w:rFonts w:hint="eastAsia"/>
          <w:szCs w:val="21"/>
        </w:rPr>
        <w:t>如果</w:t>
      </w:r>
      <w:r>
        <w:rPr>
          <w:rFonts w:hint="eastAsia"/>
          <w:b/>
          <w:szCs w:val="21"/>
        </w:rPr>
        <w:t>“投标资料表”</w:t>
      </w:r>
      <w:r>
        <w:rPr>
          <w:rFonts w:hint="eastAsia"/>
          <w:szCs w:val="21"/>
        </w:rPr>
        <w:t>规定了标前会议，业主将邀请投标人指定的代表参加标前会议。</w:t>
      </w:r>
      <w:r>
        <w:rPr>
          <w:color w:val="000000"/>
          <w:szCs w:val="21"/>
        </w:rPr>
        <w:t>标前会</w:t>
      </w:r>
      <w:r>
        <w:rPr>
          <w:rFonts w:hint="eastAsia"/>
          <w:color w:val="000000"/>
          <w:szCs w:val="21"/>
        </w:rPr>
        <w:t>议</w:t>
      </w:r>
      <w:r>
        <w:rPr>
          <w:color w:val="000000"/>
          <w:szCs w:val="21"/>
        </w:rPr>
        <w:t>的目的是澄清</w:t>
      </w:r>
      <w:r>
        <w:rPr>
          <w:rFonts w:hint="eastAsia"/>
          <w:color w:val="000000"/>
          <w:szCs w:val="21"/>
        </w:rPr>
        <w:t>投标人</w:t>
      </w:r>
      <w:r>
        <w:rPr>
          <w:color w:val="000000"/>
          <w:szCs w:val="21"/>
        </w:rPr>
        <w:t>在此</w:t>
      </w:r>
      <w:r>
        <w:rPr>
          <w:rFonts w:hint="eastAsia"/>
          <w:color w:val="000000"/>
          <w:szCs w:val="21"/>
        </w:rPr>
        <w:t>阶段提出</w:t>
      </w:r>
      <w:r>
        <w:rPr>
          <w:color w:val="000000"/>
          <w:szCs w:val="21"/>
        </w:rPr>
        <w:t>的</w:t>
      </w:r>
      <w:r>
        <w:rPr>
          <w:rFonts w:hint="eastAsia"/>
          <w:color w:val="000000"/>
          <w:szCs w:val="21"/>
        </w:rPr>
        <w:t>疑问</w:t>
      </w:r>
      <w:r>
        <w:rPr>
          <w:color w:val="000000"/>
          <w:szCs w:val="21"/>
        </w:rPr>
        <w:t>并回答</w:t>
      </w:r>
      <w:r>
        <w:rPr>
          <w:rFonts w:hint="eastAsia"/>
          <w:color w:val="000000"/>
          <w:szCs w:val="21"/>
        </w:rPr>
        <w:t>有关</w:t>
      </w:r>
      <w:r>
        <w:rPr>
          <w:color w:val="000000"/>
          <w:szCs w:val="21"/>
        </w:rPr>
        <w:t>问题。</w:t>
      </w:r>
    </w:p>
    <w:p>
      <w:pPr>
        <w:spacing w:before="120" w:after="120" w:line="240" w:lineRule="atLeast"/>
        <w:ind w:firstLine="420" w:firstLineChars="200"/>
        <w:textAlignment w:val="auto"/>
        <w:rPr>
          <w:color w:val="000000"/>
          <w:szCs w:val="21"/>
        </w:rPr>
      </w:pPr>
      <w:r>
        <w:rPr>
          <w:rFonts w:hint="eastAsia"/>
          <w:color w:val="000000"/>
          <w:szCs w:val="21"/>
        </w:rPr>
        <w:t>7.</w:t>
      </w:r>
      <w:r>
        <w:rPr>
          <w:color w:val="000000"/>
          <w:szCs w:val="21"/>
        </w:rPr>
        <w:t>6</w:t>
      </w:r>
      <w:r>
        <w:rPr>
          <w:rFonts w:hint="eastAsia"/>
          <w:color w:val="000000"/>
          <w:szCs w:val="21"/>
        </w:rPr>
        <w:tab/>
      </w:r>
      <w:r>
        <w:rPr>
          <w:rFonts w:hint="eastAsia"/>
          <w:color w:val="000000"/>
          <w:szCs w:val="21"/>
        </w:rPr>
        <w:t>投标人应尽早以书面形式提出问题，并在标前会议7天前递交给业主。</w:t>
      </w:r>
    </w:p>
    <w:p>
      <w:pPr>
        <w:spacing w:before="120" w:after="120" w:line="240" w:lineRule="atLeast"/>
        <w:ind w:firstLine="420" w:firstLineChars="200"/>
        <w:textAlignment w:val="auto"/>
        <w:rPr>
          <w:color w:val="000000"/>
          <w:szCs w:val="21"/>
        </w:rPr>
      </w:pPr>
      <w:r>
        <w:rPr>
          <w:rFonts w:hint="eastAsia"/>
          <w:color w:val="000000"/>
          <w:szCs w:val="21"/>
        </w:rPr>
        <w:t>7.</w:t>
      </w:r>
      <w:r>
        <w:rPr>
          <w:color w:val="000000"/>
          <w:szCs w:val="21"/>
        </w:rPr>
        <w:t>7</w:t>
      </w:r>
      <w:r>
        <w:rPr>
          <w:rFonts w:hint="eastAsia"/>
          <w:color w:val="000000"/>
          <w:szCs w:val="21"/>
        </w:rPr>
        <w:tab/>
      </w:r>
      <w:r>
        <w:rPr>
          <w:rFonts w:hint="eastAsia"/>
          <w:color w:val="000000"/>
          <w:szCs w:val="21"/>
        </w:rPr>
        <w:t>标前会议的会议纪要，将</w:t>
      </w:r>
      <w:r>
        <w:rPr>
          <w:rFonts w:hint="eastAsia"/>
          <w:szCs w:val="21"/>
        </w:rPr>
        <w:t>根据“投标人须知”第</w:t>
      </w:r>
      <w:r>
        <w:rPr>
          <w:szCs w:val="21"/>
        </w:rPr>
        <w:t>6.3</w:t>
      </w:r>
      <w:r>
        <w:rPr>
          <w:rFonts w:hint="eastAsia"/>
          <w:szCs w:val="21"/>
        </w:rPr>
        <w:t>款的规定，及时地提供给从业主获得本招标文件的投标人。会议纪要应</w:t>
      </w:r>
      <w:r>
        <w:rPr>
          <w:rFonts w:hint="eastAsia"/>
          <w:color w:val="000000"/>
          <w:szCs w:val="21"/>
        </w:rPr>
        <w:t>包括：</w:t>
      </w:r>
      <w:r>
        <w:rPr>
          <w:color w:val="000000"/>
          <w:szCs w:val="21"/>
        </w:rPr>
        <w:fldChar w:fldCharType="begin"/>
      </w:r>
      <w:r>
        <w:rPr>
          <w:color w:val="000000"/>
          <w:szCs w:val="21"/>
        </w:rPr>
        <w:instrText xml:space="preserve"> </w:instrText>
      </w:r>
      <w:r>
        <w:rPr>
          <w:rFonts w:hint="eastAsia"/>
          <w:color w:val="000000"/>
          <w:szCs w:val="21"/>
        </w:rPr>
        <w:instrText xml:space="preserve">= 1 \* GB3</w:instrText>
      </w:r>
      <w:r>
        <w:rPr>
          <w:color w:val="000000"/>
          <w:szCs w:val="21"/>
        </w:rPr>
        <w:instrText xml:space="preserve">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投标人递交的问题，但不说明其来源；</w:t>
      </w:r>
      <w:r>
        <w:rPr>
          <w:color w:val="000000"/>
          <w:szCs w:val="21"/>
        </w:rPr>
        <w:fldChar w:fldCharType="begin"/>
      </w:r>
      <w:r>
        <w:rPr>
          <w:color w:val="000000"/>
          <w:szCs w:val="21"/>
        </w:rPr>
        <w:instrText xml:space="preserve"> </w:instrText>
      </w:r>
      <w:r>
        <w:rPr>
          <w:rFonts w:hint="eastAsia"/>
          <w:color w:val="000000"/>
          <w:szCs w:val="21"/>
        </w:rPr>
        <w:instrText xml:space="preserve">= 2 \* GB3</w:instrText>
      </w:r>
      <w:r>
        <w:rPr>
          <w:color w:val="000000"/>
          <w:szCs w:val="21"/>
        </w:rPr>
        <w:instrText xml:space="preserve"> </w:instrText>
      </w:r>
      <w:r>
        <w:rPr>
          <w:color w:val="000000"/>
          <w:szCs w:val="21"/>
        </w:rPr>
        <w:fldChar w:fldCharType="separate"/>
      </w:r>
      <w:r>
        <w:rPr>
          <w:rFonts w:hint="eastAsia"/>
          <w:color w:val="000000"/>
          <w:szCs w:val="21"/>
        </w:rPr>
        <w:t>②</w:t>
      </w:r>
      <w:r>
        <w:rPr>
          <w:color w:val="000000"/>
          <w:szCs w:val="21"/>
        </w:rPr>
        <w:fldChar w:fldCharType="end"/>
      </w:r>
      <w:r>
        <w:rPr>
          <w:rFonts w:hint="eastAsia"/>
          <w:color w:val="000000"/>
          <w:szCs w:val="21"/>
        </w:rPr>
        <w:t>标前会上对问题所给予的答复；以及</w:t>
      </w:r>
      <w:r>
        <w:rPr>
          <w:color w:val="000000"/>
          <w:szCs w:val="21"/>
        </w:rPr>
        <w:fldChar w:fldCharType="begin"/>
      </w:r>
      <w:r>
        <w:rPr>
          <w:color w:val="000000"/>
          <w:szCs w:val="21"/>
        </w:rPr>
        <w:instrText xml:space="preserve"> </w:instrText>
      </w:r>
      <w:r>
        <w:rPr>
          <w:rFonts w:hint="eastAsia"/>
          <w:color w:val="000000"/>
          <w:szCs w:val="21"/>
        </w:rPr>
        <w:instrText xml:space="preserve">= 3 \* GB3</w:instrText>
      </w:r>
      <w:r>
        <w:rPr>
          <w:color w:val="000000"/>
          <w:szCs w:val="21"/>
        </w:rPr>
        <w:instrText xml:space="preserve"> </w:instrText>
      </w:r>
      <w:r>
        <w:rPr>
          <w:color w:val="000000"/>
          <w:szCs w:val="21"/>
        </w:rPr>
        <w:fldChar w:fldCharType="separate"/>
      </w:r>
      <w:r>
        <w:rPr>
          <w:rFonts w:hint="eastAsia"/>
          <w:color w:val="000000"/>
          <w:szCs w:val="21"/>
        </w:rPr>
        <w:t>③</w:t>
      </w:r>
      <w:r>
        <w:rPr>
          <w:color w:val="000000"/>
          <w:szCs w:val="21"/>
        </w:rPr>
        <w:fldChar w:fldCharType="end"/>
      </w:r>
      <w:r>
        <w:rPr>
          <w:rFonts w:hint="eastAsia"/>
          <w:color w:val="000000"/>
          <w:szCs w:val="21"/>
        </w:rPr>
        <w:t>标前会议之后准备给予的答复等。因标前会议的召开而必须对招标文件进行修改的，将由业主根据“投标人须知”第8条的规定，以补遗的方式另行通知投标人，而不通过标前会议纪要进行修改。</w:t>
      </w:r>
    </w:p>
    <w:p>
      <w:pPr>
        <w:spacing w:before="120" w:after="120" w:line="240" w:lineRule="atLeast"/>
        <w:ind w:firstLine="420" w:firstLineChars="200"/>
        <w:textAlignment w:val="auto"/>
        <w:rPr>
          <w:szCs w:val="21"/>
        </w:rPr>
      </w:pPr>
      <w:r>
        <w:rPr>
          <w:rFonts w:hint="eastAsia"/>
          <w:color w:val="000000"/>
          <w:szCs w:val="21"/>
        </w:rPr>
        <w:t>7.</w:t>
      </w:r>
      <w:r>
        <w:rPr>
          <w:color w:val="000000"/>
          <w:szCs w:val="21"/>
        </w:rPr>
        <w:t>8</w:t>
      </w:r>
      <w:r>
        <w:rPr>
          <w:rFonts w:hint="eastAsia"/>
          <w:color w:val="000000"/>
          <w:szCs w:val="21"/>
        </w:rPr>
        <w:tab/>
      </w:r>
      <w:r>
        <w:rPr>
          <w:color w:val="000000"/>
          <w:szCs w:val="21"/>
        </w:rPr>
        <w:t>未出席标前会</w:t>
      </w:r>
      <w:r>
        <w:rPr>
          <w:rFonts w:hint="eastAsia"/>
          <w:color w:val="000000"/>
          <w:szCs w:val="21"/>
        </w:rPr>
        <w:t>议</w:t>
      </w:r>
      <w:r>
        <w:rPr>
          <w:color w:val="000000"/>
          <w:szCs w:val="21"/>
        </w:rPr>
        <w:t>不能作为否定投标人资格的理由。</w:t>
      </w:r>
    </w:p>
    <w:p>
      <w:pPr>
        <w:pStyle w:val="5"/>
      </w:pPr>
      <w:bookmarkStart w:id="199" w:name="_Toc169103201"/>
      <w:bookmarkStart w:id="200" w:name="_Toc110262667"/>
      <w:bookmarkStart w:id="201" w:name="_Toc171061153"/>
      <w:bookmarkStart w:id="202" w:name="_Toc110263861"/>
      <w:bookmarkStart w:id="203" w:name="_Toc324772157"/>
      <w:bookmarkStart w:id="204" w:name="_Toc171063064"/>
      <w:bookmarkStart w:id="205" w:name="_Toc110267595"/>
      <w:bookmarkStart w:id="206" w:name="_Toc110264322"/>
      <w:bookmarkStart w:id="207" w:name="_Toc391287288"/>
      <w:bookmarkStart w:id="208" w:name="_Toc128391164"/>
      <w:bookmarkStart w:id="209" w:name="_Toc128391517"/>
      <w:bookmarkStart w:id="210" w:name="_Toc128396290"/>
      <w:bookmarkStart w:id="211" w:name="_Toc79667232"/>
      <w:bookmarkStart w:id="212" w:name="_Toc79668210"/>
      <w:bookmarkStart w:id="213" w:name="_Toc128391417"/>
      <w:bookmarkStart w:id="214" w:name="_Toc168753142"/>
      <w:r>
        <w:rPr>
          <w:rFonts w:hint="eastAsia"/>
        </w:rPr>
        <w:t>第</w:t>
      </w:r>
      <w:r>
        <w:t>8</w:t>
      </w:r>
      <w:r>
        <w:rPr>
          <w:rFonts w:hint="eastAsia"/>
        </w:rPr>
        <w:t>条　招标文件的修改</w:t>
      </w:r>
      <w:bookmarkEnd w:id="199"/>
      <w:bookmarkEnd w:id="200"/>
      <w:bookmarkEnd w:id="201"/>
      <w:bookmarkEnd w:id="202"/>
      <w:bookmarkEnd w:id="203"/>
      <w:bookmarkEnd w:id="204"/>
      <w:bookmarkEnd w:id="205"/>
      <w:bookmarkEnd w:id="206"/>
      <w:bookmarkEnd w:id="207"/>
    </w:p>
    <w:bookmarkEnd w:id="208"/>
    <w:bookmarkEnd w:id="209"/>
    <w:bookmarkEnd w:id="210"/>
    <w:bookmarkEnd w:id="211"/>
    <w:bookmarkEnd w:id="212"/>
    <w:bookmarkEnd w:id="213"/>
    <w:bookmarkEnd w:id="214"/>
    <w:p>
      <w:pPr>
        <w:spacing w:before="120" w:after="120" w:line="240" w:lineRule="atLeast"/>
        <w:ind w:firstLine="420" w:firstLineChars="200"/>
        <w:jc w:val="left"/>
        <w:textAlignment w:val="auto"/>
        <w:rPr>
          <w:color w:val="000000"/>
          <w:szCs w:val="21"/>
        </w:rPr>
      </w:pPr>
      <w:r>
        <w:rPr>
          <w:color w:val="000000"/>
          <w:szCs w:val="21"/>
        </w:rPr>
        <w:t>8</w:t>
      </w:r>
      <w:r>
        <w:rPr>
          <w:rFonts w:hint="eastAsia"/>
          <w:color w:val="000000"/>
          <w:szCs w:val="21"/>
        </w:rPr>
        <w:t>.</w:t>
      </w:r>
      <w:r>
        <w:rPr>
          <w:color w:val="000000"/>
          <w:szCs w:val="21"/>
        </w:rPr>
        <w:t>1</w:t>
      </w:r>
      <w:r>
        <w:rPr>
          <w:rFonts w:hint="eastAsia"/>
          <w:color w:val="000000"/>
          <w:szCs w:val="21"/>
        </w:rPr>
        <w:tab/>
      </w:r>
      <w:r>
        <w:rPr>
          <w:rFonts w:hint="eastAsia"/>
          <w:color w:val="000000"/>
          <w:szCs w:val="21"/>
        </w:rPr>
        <w:t>在投标截止时间之前的任何时候，业主可以通过补遗的方式对本招标文件进行修改。</w:t>
      </w:r>
    </w:p>
    <w:p>
      <w:pPr>
        <w:spacing w:before="120" w:after="120" w:line="240" w:lineRule="atLeast"/>
        <w:ind w:firstLine="420" w:firstLineChars="200"/>
        <w:textAlignment w:val="auto"/>
        <w:rPr>
          <w:color w:val="000000"/>
          <w:szCs w:val="21"/>
        </w:rPr>
      </w:pPr>
      <w:r>
        <w:rPr>
          <w:color w:val="000000"/>
          <w:szCs w:val="21"/>
        </w:rPr>
        <w:t>8</w:t>
      </w:r>
      <w:r>
        <w:rPr>
          <w:rFonts w:hint="eastAsia"/>
          <w:color w:val="000000"/>
          <w:szCs w:val="21"/>
        </w:rPr>
        <w:t>.</w:t>
      </w:r>
      <w:r>
        <w:rPr>
          <w:color w:val="000000"/>
          <w:szCs w:val="21"/>
        </w:rPr>
        <w:t>2</w:t>
      </w:r>
      <w:r>
        <w:rPr>
          <w:rFonts w:hint="eastAsia"/>
          <w:color w:val="000000"/>
          <w:szCs w:val="21"/>
        </w:rPr>
        <w:tab/>
      </w:r>
      <w:r>
        <w:rPr>
          <w:rFonts w:hint="eastAsia"/>
          <w:color w:val="000000"/>
          <w:szCs w:val="21"/>
        </w:rPr>
        <w:t>补遗为本招标文件的组成部分。业主将以书面形式将补遗送达所有直接从业主获得本招标文件的投标人。</w:t>
      </w:r>
    </w:p>
    <w:p>
      <w:pPr>
        <w:spacing w:before="120" w:after="120" w:line="240" w:lineRule="atLeast"/>
        <w:ind w:firstLine="420" w:firstLineChars="200"/>
        <w:textAlignment w:val="auto"/>
        <w:rPr>
          <w:color w:val="000000"/>
          <w:szCs w:val="21"/>
        </w:rPr>
      </w:pPr>
      <w:r>
        <w:rPr>
          <w:color w:val="000000"/>
          <w:szCs w:val="21"/>
        </w:rPr>
        <w:t>8</w:t>
      </w:r>
      <w:r>
        <w:rPr>
          <w:rFonts w:hint="eastAsia"/>
          <w:color w:val="000000"/>
          <w:szCs w:val="21"/>
        </w:rPr>
        <w:t>.</w:t>
      </w:r>
      <w:r>
        <w:rPr>
          <w:color w:val="000000"/>
          <w:szCs w:val="21"/>
        </w:rPr>
        <w:t>3</w:t>
      </w:r>
      <w:r>
        <w:rPr>
          <w:rFonts w:hint="eastAsia"/>
          <w:color w:val="000000"/>
          <w:szCs w:val="21"/>
        </w:rPr>
        <w:tab/>
      </w:r>
      <w:r>
        <w:rPr>
          <w:rFonts w:hint="eastAsia"/>
          <w:color w:val="000000"/>
          <w:szCs w:val="21"/>
        </w:rPr>
        <w:t>为使投标人在编写投标文件时有合理的时间对补遗进行研究，业主可以根据“投标人须知”第</w:t>
      </w:r>
      <w:r>
        <w:rPr>
          <w:color w:val="000000"/>
          <w:szCs w:val="21"/>
        </w:rPr>
        <w:t>2</w:t>
      </w:r>
      <w:r>
        <w:rPr>
          <w:rFonts w:hint="eastAsia"/>
          <w:color w:val="000000"/>
          <w:szCs w:val="21"/>
        </w:rPr>
        <w:t>2</w:t>
      </w:r>
      <w:r>
        <w:rPr>
          <w:color w:val="000000"/>
          <w:szCs w:val="21"/>
        </w:rPr>
        <w:t>.2</w:t>
      </w:r>
      <w:r>
        <w:rPr>
          <w:rFonts w:hint="eastAsia"/>
          <w:color w:val="000000"/>
          <w:szCs w:val="21"/>
        </w:rPr>
        <w:t>款的规定，自行决定推迟投标截止时间。</w:t>
      </w:r>
    </w:p>
    <w:p>
      <w:pPr>
        <w:pStyle w:val="4"/>
      </w:pPr>
      <w:bookmarkStart w:id="215" w:name="_Toc171063065"/>
      <w:bookmarkStart w:id="216" w:name="_Toc110264941"/>
      <w:bookmarkStart w:id="217" w:name="_Toc171061154"/>
      <w:bookmarkStart w:id="218" w:name="_Toc110264777"/>
      <w:bookmarkStart w:id="219" w:name="_Toc110263862"/>
      <w:bookmarkStart w:id="220" w:name="_Toc110268514"/>
      <w:bookmarkStart w:id="221" w:name="_Toc110262668"/>
      <w:bookmarkStart w:id="222" w:name="_Toc110267596"/>
      <w:bookmarkStart w:id="223" w:name="_Toc110264323"/>
      <w:bookmarkStart w:id="224" w:name="_Toc110265177"/>
      <w:bookmarkStart w:id="225" w:name="_Toc110264724"/>
      <w:bookmarkStart w:id="226" w:name="_Toc169103202"/>
      <w:bookmarkStart w:id="227" w:name="_Toc324772158"/>
      <w:bookmarkStart w:id="228" w:name="_Toc110272048"/>
      <w:bookmarkStart w:id="229" w:name="_Toc391287289"/>
      <w:bookmarkStart w:id="230" w:name="_Toc128391418"/>
      <w:bookmarkStart w:id="231" w:name="_Toc128396291"/>
      <w:bookmarkStart w:id="232" w:name="_Toc128391518"/>
      <w:bookmarkStart w:id="233" w:name="_Toc168753143"/>
      <w:bookmarkStart w:id="234" w:name="_Toc128391165"/>
      <w:bookmarkStart w:id="235" w:name="_Toc79668211"/>
      <w:bookmarkStart w:id="236" w:name="_Toc79667233"/>
      <w:r>
        <w:rPr>
          <w:rFonts w:hint="eastAsia"/>
        </w:rPr>
        <w:t>第</w:t>
      </w:r>
      <w:r>
        <w:t>三</w:t>
      </w:r>
      <w:r>
        <w:rPr>
          <w:rFonts w:hint="eastAsia"/>
        </w:rPr>
        <w:t>节　</w:t>
      </w:r>
      <w:r>
        <w:t>投标文件的编制</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bookmarkEnd w:id="230"/>
    <w:bookmarkEnd w:id="231"/>
    <w:bookmarkEnd w:id="232"/>
    <w:bookmarkEnd w:id="233"/>
    <w:bookmarkEnd w:id="234"/>
    <w:bookmarkEnd w:id="235"/>
    <w:bookmarkEnd w:id="236"/>
    <w:p>
      <w:pPr>
        <w:pStyle w:val="5"/>
      </w:pPr>
      <w:bookmarkStart w:id="237" w:name="_Toc110262669"/>
      <w:bookmarkStart w:id="238" w:name="_Toc391287290"/>
      <w:bookmarkStart w:id="239" w:name="_Toc110263863"/>
      <w:bookmarkStart w:id="240" w:name="_Toc171061155"/>
      <w:bookmarkStart w:id="241" w:name="_Toc324772159"/>
      <w:bookmarkStart w:id="242" w:name="_Toc169103203"/>
      <w:bookmarkStart w:id="243" w:name="_Toc171063066"/>
      <w:bookmarkStart w:id="244" w:name="_Toc110267597"/>
      <w:bookmarkStart w:id="245" w:name="_Toc110264324"/>
      <w:bookmarkStart w:id="246" w:name="_Toc79667234"/>
      <w:bookmarkStart w:id="247" w:name="_Toc128391519"/>
      <w:bookmarkStart w:id="248" w:name="_Toc168753144"/>
      <w:bookmarkStart w:id="249" w:name="_Toc128391419"/>
      <w:bookmarkStart w:id="250" w:name="_Toc128396292"/>
      <w:bookmarkStart w:id="251" w:name="_Toc79668212"/>
      <w:bookmarkStart w:id="252" w:name="_Toc128391166"/>
      <w:r>
        <w:rPr>
          <w:rFonts w:hint="eastAsia"/>
        </w:rPr>
        <w:t>第</w:t>
      </w:r>
      <w:r>
        <w:t>9</w:t>
      </w:r>
      <w:r>
        <w:rPr>
          <w:rFonts w:hint="eastAsia"/>
        </w:rPr>
        <w:t>条　投标费用</w:t>
      </w:r>
      <w:bookmarkEnd w:id="237"/>
      <w:bookmarkEnd w:id="238"/>
      <w:bookmarkEnd w:id="239"/>
      <w:bookmarkEnd w:id="240"/>
      <w:bookmarkEnd w:id="241"/>
      <w:bookmarkEnd w:id="242"/>
      <w:bookmarkEnd w:id="243"/>
      <w:bookmarkEnd w:id="244"/>
      <w:bookmarkEnd w:id="245"/>
    </w:p>
    <w:bookmarkEnd w:id="246"/>
    <w:bookmarkEnd w:id="247"/>
    <w:bookmarkEnd w:id="248"/>
    <w:bookmarkEnd w:id="249"/>
    <w:bookmarkEnd w:id="250"/>
    <w:bookmarkEnd w:id="251"/>
    <w:bookmarkEnd w:id="252"/>
    <w:p>
      <w:pPr>
        <w:spacing w:before="120" w:after="120" w:line="240" w:lineRule="atLeast"/>
        <w:ind w:firstLine="420" w:firstLineChars="200"/>
        <w:textAlignment w:val="auto"/>
        <w:rPr>
          <w:color w:val="000000"/>
          <w:szCs w:val="21"/>
        </w:rPr>
      </w:pPr>
      <w:r>
        <w:rPr>
          <w:color w:val="000000"/>
          <w:szCs w:val="21"/>
        </w:rPr>
        <w:t>9</w:t>
      </w:r>
      <w:r>
        <w:rPr>
          <w:rFonts w:hint="eastAsia"/>
          <w:color w:val="000000"/>
          <w:szCs w:val="21"/>
        </w:rPr>
        <w:t>.</w:t>
      </w:r>
      <w:r>
        <w:rPr>
          <w:color w:val="000000"/>
          <w:szCs w:val="21"/>
        </w:rPr>
        <w:t>1</w:t>
      </w:r>
      <w:r>
        <w:rPr>
          <w:rFonts w:hint="eastAsia"/>
          <w:color w:val="000000"/>
          <w:szCs w:val="21"/>
        </w:rPr>
        <w:tab/>
      </w:r>
      <w:r>
        <w:rPr>
          <w:rFonts w:hint="eastAsia"/>
          <w:color w:val="000000"/>
          <w:szCs w:val="21"/>
        </w:rPr>
        <w:t>投标人应承担所有与编写和递交投标文件有关的费用。不论投标结果如何，业主均无义务或责任承担这些费用。</w:t>
      </w:r>
    </w:p>
    <w:p>
      <w:pPr>
        <w:pStyle w:val="5"/>
      </w:pPr>
      <w:bookmarkStart w:id="253" w:name="_Toc110267598"/>
      <w:bookmarkStart w:id="254" w:name="_Toc324772160"/>
      <w:bookmarkStart w:id="255" w:name="_Toc110262670"/>
      <w:bookmarkStart w:id="256" w:name="_Toc171061156"/>
      <w:bookmarkStart w:id="257" w:name="_Toc110263864"/>
      <w:bookmarkStart w:id="258" w:name="_Toc169103204"/>
      <w:bookmarkStart w:id="259" w:name="_Toc391287291"/>
      <w:bookmarkStart w:id="260" w:name="_Toc171063067"/>
      <w:bookmarkStart w:id="261" w:name="_Toc110264325"/>
      <w:bookmarkStart w:id="262" w:name="_Toc128396293"/>
      <w:bookmarkStart w:id="263" w:name="_Toc168753145"/>
      <w:bookmarkStart w:id="264" w:name="_Toc128391420"/>
      <w:bookmarkStart w:id="265" w:name="_Toc128391520"/>
      <w:bookmarkStart w:id="266" w:name="_Toc79667235"/>
      <w:bookmarkStart w:id="267" w:name="_Toc79668213"/>
      <w:bookmarkStart w:id="268" w:name="_Toc128391167"/>
      <w:r>
        <w:rPr>
          <w:rFonts w:hint="eastAsia"/>
        </w:rPr>
        <w:t>第</w:t>
      </w:r>
      <w:r>
        <w:t>10</w:t>
      </w:r>
      <w:r>
        <w:rPr>
          <w:rFonts w:hint="eastAsia"/>
        </w:rPr>
        <w:t>条　投标文件的语言</w:t>
      </w:r>
      <w:bookmarkEnd w:id="253"/>
      <w:bookmarkEnd w:id="254"/>
      <w:bookmarkEnd w:id="255"/>
      <w:bookmarkEnd w:id="256"/>
      <w:bookmarkEnd w:id="257"/>
      <w:bookmarkEnd w:id="258"/>
      <w:bookmarkEnd w:id="259"/>
      <w:bookmarkEnd w:id="260"/>
      <w:bookmarkEnd w:id="261"/>
    </w:p>
    <w:bookmarkEnd w:id="262"/>
    <w:bookmarkEnd w:id="263"/>
    <w:bookmarkEnd w:id="264"/>
    <w:bookmarkEnd w:id="265"/>
    <w:bookmarkEnd w:id="266"/>
    <w:bookmarkEnd w:id="267"/>
    <w:bookmarkEnd w:id="268"/>
    <w:p>
      <w:pPr>
        <w:spacing w:before="120" w:after="120" w:line="240" w:lineRule="atLeast"/>
        <w:ind w:firstLine="420" w:firstLineChars="200"/>
        <w:textAlignment w:val="auto"/>
        <w:rPr>
          <w:szCs w:val="21"/>
        </w:rPr>
      </w:pPr>
      <w:r>
        <w:rPr>
          <w:rFonts w:hint="eastAsia"/>
          <w:szCs w:val="21"/>
        </w:rPr>
        <w:t>10.1　投标人递交的投标文件以及投标人与业主之间就投标所发生的往来函电和文件均应以中文书写。作为投标文件一部分的支持文件和印制文献可以使用另一种语言，但相应的内容应附有中文翻译。在解释投标文件时，仅以中文翻译为准。</w:t>
      </w:r>
    </w:p>
    <w:p>
      <w:pPr>
        <w:pStyle w:val="5"/>
      </w:pPr>
      <w:bookmarkStart w:id="269" w:name="_Toc171063068"/>
      <w:bookmarkStart w:id="270" w:name="_Toc128391521"/>
      <w:bookmarkStart w:id="271" w:name="_Toc171061157"/>
      <w:bookmarkStart w:id="272" w:name="_Toc128396294"/>
      <w:bookmarkStart w:id="273" w:name="_Toc128391421"/>
      <w:bookmarkStart w:id="274" w:name="_Toc168753146"/>
      <w:bookmarkStart w:id="275" w:name="_Toc79667236"/>
      <w:bookmarkStart w:id="276" w:name="_Toc128391168"/>
      <w:bookmarkStart w:id="277" w:name="_Toc169103205"/>
      <w:bookmarkStart w:id="278" w:name="_Toc110263865"/>
      <w:bookmarkStart w:id="279" w:name="_Toc79668214"/>
      <w:bookmarkStart w:id="280" w:name="_Toc110262671"/>
      <w:bookmarkStart w:id="281" w:name="_Toc110267599"/>
      <w:bookmarkStart w:id="282" w:name="_Toc110264326"/>
      <w:r>
        <w:rPr>
          <w:rFonts w:hint="eastAsia"/>
        </w:rPr>
        <w:t>第11条　投标文件的构成</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before="120" w:after="120" w:line="240" w:lineRule="atLeast"/>
        <w:ind w:firstLine="420" w:firstLineChars="200"/>
        <w:textAlignment w:val="auto"/>
        <w:rPr>
          <w:szCs w:val="21"/>
        </w:rPr>
      </w:pPr>
      <w:r>
        <w:rPr>
          <w:rFonts w:hint="eastAsia"/>
          <w:szCs w:val="21"/>
        </w:rPr>
        <w:t>11.1　投标文件应包括下列部分：</w:t>
      </w:r>
    </w:p>
    <w:p>
      <w:pPr>
        <w:spacing w:before="120" w:after="120" w:line="240" w:lineRule="atLeast"/>
        <w:ind w:left="936" w:hanging="576"/>
        <w:jc w:val="left"/>
        <w:textAlignment w:val="auto"/>
        <w:rPr>
          <w:szCs w:val="21"/>
        </w:rPr>
      </w:pPr>
      <w:r>
        <w:rPr>
          <w:rFonts w:hint="eastAsia"/>
          <w:szCs w:val="21"/>
        </w:rPr>
        <w:t>（1）“投标人须知”第</w:t>
      </w:r>
      <w:r>
        <w:rPr>
          <w:szCs w:val="21"/>
        </w:rPr>
        <w:t>12</w:t>
      </w:r>
      <w:r>
        <w:rPr>
          <w:rFonts w:hint="eastAsia"/>
          <w:szCs w:val="21"/>
        </w:rPr>
        <w:t>条规定的投标函；</w:t>
      </w:r>
    </w:p>
    <w:p>
      <w:pPr>
        <w:spacing w:before="120" w:after="120" w:line="240" w:lineRule="atLeast"/>
        <w:ind w:left="936" w:hanging="576"/>
        <w:jc w:val="left"/>
        <w:textAlignment w:val="auto"/>
        <w:rPr>
          <w:szCs w:val="21"/>
        </w:rPr>
      </w:pPr>
      <w:r>
        <w:rPr>
          <w:rFonts w:hint="eastAsia"/>
          <w:szCs w:val="21"/>
        </w:rPr>
        <w:t>（2）“投标人须知”第</w:t>
      </w:r>
      <w:r>
        <w:rPr>
          <w:szCs w:val="21"/>
        </w:rPr>
        <w:t>12</w:t>
      </w:r>
      <w:r>
        <w:rPr>
          <w:rFonts w:hint="eastAsia"/>
          <w:szCs w:val="21"/>
        </w:rPr>
        <w:t>条、第</w:t>
      </w:r>
      <w:r>
        <w:rPr>
          <w:szCs w:val="21"/>
        </w:rPr>
        <w:t>14</w:t>
      </w:r>
      <w:r>
        <w:rPr>
          <w:rFonts w:hint="eastAsia"/>
          <w:szCs w:val="21"/>
        </w:rPr>
        <w:t>条和第1</w:t>
      </w:r>
      <w:r>
        <w:rPr>
          <w:szCs w:val="21"/>
        </w:rPr>
        <w:t>5</w:t>
      </w:r>
      <w:r>
        <w:rPr>
          <w:rFonts w:hint="eastAsia"/>
          <w:szCs w:val="21"/>
        </w:rPr>
        <w:t>条规定或</w:t>
      </w:r>
      <w:r>
        <w:rPr>
          <w:rFonts w:hint="eastAsia"/>
          <w:b/>
          <w:bCs/>
          <w:szCs w:val="21"/>
        </w:rPr>
        <w:t>“投标资料表”</w:t>
      </w:r>
      <w:r>
        <w:rPr>
          <w:rFonts w:hint="eastAsia"/>
          <w:szCs w:val="21"/>
        </w:rPr>
        <w:t>规定</w:t>
      </w:r>
      <w:r>
        <w:rPr>
          <w:szCs w:val="21"/>
        </w:rPr>
        <w:t>的</w:t>
      </w:r>
      <w:r>
        <w:rPr>
          <w:rFonts w:hint="eastAsia"/>
          <w:szCs w:val="21"/>
        </w:rPr>
        <w:t>全部</w:t>
      </w:r>
      <w:r>
        <w:rPr>
          <w:szCs w:val="21"/>
        </w:rPr>
        <w:t>报</w:t>
      </w:r>
      <w:r>
        <w:rPr>
          <w:rFonts w:hint="eastAsia"/>
          <w:szCs w:val="21"/>
        </w:rPr>
        <w:t>价表；</w:t>
      </w:r>
    </w:p>
    <w:p>
      <w:pPr>
        <w:spacing w:before="120" w:after="120" w:line="240" w:lineRule="atLeast"/>
        <w:ind w:left="936" w:hanging="576"/>
        <w:jc w:val="left"/>
        <w:textAlignment w:val="auto"/>
        <w:rPr>
          <w:szCs w:val="21"/>
        </w:rPr>
      </w:pPr>
      <w:r>
        <w:rPr>
          <w:rFonts w:hint="eastAsia"/>
          <w:szCs w:val="21"/>
        </w:rPr>
        <w:t>（3）“投标人须知”第</w:t>
      </w:r>
      <w:r>
        <w:rPr>
          <w:szCs w:val="21"/>
        </w:rPr>
        <w:t>1</w:t>
      </w:r>
      <w:r>
        <w:rPr>
          <w:rFonts w:hint="eastAsia"/>
          <w:szCs w:val="21"/>
        </w:rPr>
        <w:t>9条</w:t>
      </w:r>
      <w:r>
        <w:rPr>
          <w:szCs w:val="21"/>
        </w:rPr>
        <w:t>规定的投标保证金</w:t>
      </w:r>
      <w:r>
        <w:rPr>
          <w:rFonts w:hint="eastAsia"/>
          <w:szCs w:val="21"/>
        </w:rPr>
        <w:t>；</w:t>
      </w:r>
    </w:p>
    <w:p>
      <w:pPr>
        <w:spacing w:before="120" w:after="120" w:line="240" w:lineRule="atLeast"/>
        <w:ind w:left="936" w:hanging="576"/>
        <w:jc w:val="left"/>
        <w:textAlignment w:val="auto"/>
        <w:rPr>
          <w:szCs w:val="21"/>
        </w:rPr>
      </w:pPr>
      <w:r>
        <w:rPr>
          <w:rFonts w:hint="eastAsia"/>
          <w:szCs w:val="21"/>
        </w:rPr>
        <w:t>（4） “投标人须知”第13条允许的替代方案；</w:t>
      </w:r>
    </w:p>
    <w:p>
      <w:pPr>
        <w:spacing w:before="120" w:after="120" w:line="240" w:lineRule="atLeast"/>
        <w:ind w:left="936" w:hanging="576"/>
        <w:jc w:val="left"/>
        <w:textAlignment w:val="auto"/>
        <w:rPr>
          <w:szCs w:val="21"/>
        </w:rPr>
      </w:pPr>
      <w:r>
        <w:rPr>
          <w:rFonts w:hint="eastAsia"/>
          <w:szCs w:val="21"/>
        </w:rPr>
        <w:t>（5）“投标人须知”第4条和第5条规定的证明文件，以证明投标人的合格性；</w:t>
      </w:r>
    </w:p>
    <w:p>
      <w:pPr>
        <w:spacing w:before="120" w:after="120" w:line="240" w:lineRule="atLeast"/>
        <w:ind w:left="936" w:hanging="576"/>
        <w:jc w:val="left"/>
        <w:textAlignment w:val="auto"/>
        <w:rPr>
          <w:szCs w:val="21"/>
        </w:rPr>
      </w:pPr>
      <w:r>
        <w:rPr>
          <w:rFonts w:hint="eastAsia"/>
          <w:szCs w:val="21"/>
        </w:rPr>
        <w:t>（6）“投标人须知”第</w:t>
      </w:r>
      <w:r>
        <w:rPr>
          <w:szCs w:val="21"/>
        </w:rPr>
        <w:t>2</w:t>
      </w:r>
      <w:r>
        <w:rPr>
          <w:rFonts w:hint="eastAsia"/>
          <w:szCs w:val="21"/>
        </w:rPr>
        <w:t>0.</w:t>
      </w:r>
      <w:r>
        <w:rPr>
          <w:szCs w:val="21"/>
        </w:rPr>
        <w:t>2</w:t>
      </w:r>
      <w:r>
        <w:rPr>
          <w:rFonts w:hint="eastAsia"/>
          <w:szCs w:val="21"/>
        </w:rPr>
        <w:t>款</w:t>
      </w:r>
      <w:r>
        <w:rPr>
          <w:szCs w:val="21"/>
        </w:rPr>
        <w:t>规定的书面授权，</w:t>
      </w:r>
      <w:r>
        <w:rPr>
          <w:rFonts w:hint="eastAsia"/>
          <w:szCs w:val="21"/>
        </w:rPr>
        <w:t>以</w:t>
      </w:r>
      <w:r>
        <w:rPr>
          <w:szCs w:val="21"/>
        </w:rPr>
        <w:t>确认投标文件</w:t>
      </w:r>
      <w:r>
        <w:rPr>
          <w:rFonts w:hint="eastAsia"/>
          <w:szCs w:val="21"/>
        </w:rPr>
        <w:t>的</w:t>
      </w:r>
      <w:r>
        <w:rPr>
          <w:szCs w:val="21"/>
        </w:rPr>
        <w:t>签字人</w:t>
      </w:r>
      <w:r>
        <w:rPr>
          <w:rFonts w:hint="eastAsia"/>
          <w:szCs w:val="21"/>
        </w:rPr>
        <w:t>能够代表投标人；</w:t>
      </w:r>
    </w:p>
    <w:p>
      <w:pPr>
        <w:spacing w:before="120" w:after="120" w:line="240" w:lineRule="atLeast"/>
        <w:ind w:left="936" w:hanging="576"/>
        <w:jc w:val="left"/>
        <w:textAlignment w:val="auto"/>
        <w:rPr>
          <w:szCs w:val="21"/>
        </w:rPr>
      </w:pPr>
      <w:r>
        <w:rPr>
          <w:rFonts w:hint="eastAsia"/>
          <w:szCs w:val="21"/>
        </w:rPr>
        <w:t>（7）“投标人须知”第</w:t>
      </w:r>
      <w:r>
        <w:rPr>
          <w:szCs w:val="21"/>
        </w:rPr>
        <w:t>1</w:t>
      </w:r>
      <w:r>
        <w:rPr>
          <w:rFonts w:hint="eastAsia"/>
          <w:szCs w:val="21"/>
        </w:rPr>
        <w:t>7条规定的证明文件，以证明投标人有资格和能力实施本合同；</w:t>
      </w:r>
    </w:p>
    <w:p>
      <w:pPr>
        <w:spacing w:before="120" w:after="120" w:line="240" w:lineRule="atLeast"/>
        <w:ind w:left="936" w:hanging="576"/>
        <w:jc w:val="left"/>
        <w:textAlignment w:val="auto"/>
        <w:rPr>
          <w:szCs w:val="21"/>
        </w:rPr>
      </w:pPr>
      <w:r>
        <w:rPr>
          <w:rFonts w:hint="eastAsia"/>
          <w:szCs w:val="21"/>
        </w:rPr>
        <w:t>（8）“投标人须知”第</w:t>
      </w:r>
      <w:r>
        <w:rPr>
          <w:szCs w:val="21"/>
        </w:rPr>
        <w:t>1</w:t>
      </w:r>
      <w:r>
        <w:rPr>
          <w:rFonts w:hint="eastAsia"/>
          <w:szCs w:val="21"/>
        </w:rPr>
        <w:t>6条</w:t>
      </w:r>
      <w:r>
        <w:rPr>
          <w:szCs w:val="21"/>
        </w:rPr>
        <w:t>规定的</w:t>
      </w:r>
      <w:r>
        <w:rPr>
          <w:rFonts w:hint="eastAsia"/>
          <w:szCs w:val="21"/>
        </w:rPr>
        <w:t>技术建议书；</w:t>
      </w:r>
    </w:p>
    <w:p>
      <w:pPr>
        <w:spacing w:before="120" w:after="120" w:line="240" w:lineRule="atLeast"/>
        <w:ind w:left="936" w:hanging="576"/>
        <w:jc w:val="left"/>
        <w:textAlignment w:val="auto"/>
        <w:rPr>
          <w:szCs w:val="21"/>
        </w:rPr>
      </w:pPr>
      <w:r>
        <w:rPr>
          <w:rFonts w:hint="eastAsia"/>
          <w:szCs w:val="21"/>
        </w:rPr>
        <w:t>（9）在投标文件是由联合体递交时，须提交联营协议或意向联营的信函及联营协议的草稿，联合体各方将承担并完成的工程部分的说明应包含在以上文件中并正式签字；</w:t>
      </w:r>
    </w:p>
    <w:p>
      <w:pPr>
        <w:spacing w:before="120" w:after="120" w:line="240" w:lineRule="atLeast"/>
        <w:ind w:left="936" w:hanging="576"/>
        <w:jc w:val="left"/>
        <w:textAlignment w:val="auto"/>
        <w:rPr>
          <w:szCs w:val="21"/>
        </w:rPr>
      </w:pPr>
      <w:r>
        <w:rPr>
          <w:rFonts w:hint="eastAsia"/>
          <w:szCs w:val="21"/>
        </w:rPr>
        <w:t>（10）</w:t>
      </w:r>
      <w:r>
        <w:rPr>
          <w:rFonts w:hint="eastAsia"/>
          <w:b/>
          <w:bCs/>
          <w:szCs w:val="21"/>
        </w:rPr>
        <w:t>“投标资料表”</w:t>
      </w:r>
      <w:r>
        <w:rPr>
          <w:rFonts w:hint="eastAsia"/>
          <w:szCs w:val="21"/>
        </w:rPr>
        <w:t>要求的其它文件。</w:t>
      </w:r>
    </w:p>
    <w:p>
      <w:pPr>
        <w:pStyle w:val="5"/>
      </w:pPr>
      <w:bookmarkStart w:id="283" w:name="_Toc169103206"/>
      <w:bookmarkStart w:id="284" w:name="_Toc324772161"/>
      <w:bookmarkStart w:id="285" w:name="_Toc110262672"/>
      <w:bookmarkStart w:id="286" w:name="_Toc171061158"/>
      <w:bookmarkStart w:id="287" w:name="_Toc110263866"/>
      <w:bookmarkStart w:id="288" w:name="_Toc110267600"/>
      <w:bookmarkStart w:id="289" w:name="_Toc110264327"/>
      <w:bookmarkStart w:id="290" w:name="_Toc391287292"/>
      <w:bookmarkStart w:id="291" w:name="_Toc171063069"/>
      <w:bookmarkStart w:id="292" w:name="_Toc128391169"/>
      <w:bookmarkStart w:id="293" w:name="_Toc79668215"/>
      <w:bookmarkStart w:id="294" w:name="_Toc128391422"/>
      <w:bookmarkStart w:id="295" w:name="_Toc79667237"/>
      <w:bookmarkStart w:id="296" w:name="_Toc128391522"/>
      <w:bookmarkStart w:id="297" w:name="_Toc168753147"/>
      <w:bookmarkStart w:id="298" w:name="_Toc128396295"/>
      <w:r>
        <w:rPr>
          <w:rFonts w:hint="eastAsia"/>
        </w:rPr>
        <w:t>第</w:t>
      </w:r>
      <w:r>
        <w:t>12</w:t>
      </w:r>
      <w:r>
        <w:rPr>
          <w:rFonts w:hint="eastAsia"/>
        </w:rPr>
        <w:t>条　投标函和报价表</w:t>
      </w:r>
      <w:bookmarkEnd w:id="283"/>
      <w:bookmarkEnd w:id="284"/>
      <w:bookmarkEnd w:id="285"/>
      <w:bookmarkEnd w:id="286"/>
      <w:bookmarkEnd w:id="287"/>
      <w:bookmarkEnd w:id="288"/>
      <w:bookmarkEnd w:id="289"/>
      <w:bookmarkEnd w:id="290"/>
      <w:bookmarkEnd w:id="291"/>
    </w:p>
    <w:bookmarkEnd w:id="292"/>
    <w:bookmarkEnd w:id="293"/>
    <w:bookmarkEnd w:id="294"/>
    <w:bookmarkEnd w:id="295"/>
    <w:bookmarkEnd w:id="296"/>
    <w:bookmarkEnd w:id="297"/>
    <w:bookmarkEnd w:id="298"/>
    <w:p>
      <w:pPr>
        <w:spacing w:before="120" w:after="120" w:line="240" w:lineRule="atLeast"/>
        <w:ind w:firstLine="420" w:firstLineChars="200"/>
        <w:textAlignment w:val="auto"/>
        <w:rPr>
          <w:szCs w:val="21"/>
        </w:rPr>
      </w:pPr>
      <w:r>
        <w:rPr>
          <w:rFonts w:hint="eastAsia"/>
          <w:szCs w:val="21"/>
        </w:rPr>
        <w:t>12.1　投标人应使用本招标文件第四章规定的格式编制投标函和报价表。投标函必须填写完整且不得修改其格式。业主不接受任何替代格式的投标函。投标函中全部空格都应填入所要求的信息。</w:t>
      </w:r>
    </w:p>
    <w:p>
      <w:pPr>
        <w:pStyle w:val="5"/>
      </w:pPr>
      <w:bookmarkStart w:id="299" w:name="_Toc110264328"/>
      <w:bookmarkStart w:id="300" w:name="_Toc169103207"/>
      <w:bookmarkStart w:id="301" w:name="_Toc110263867"/>
      <w:bookmarkStart w:id="302" w:name="_Toc110262673"/>
      <w:bookmarkStart w:id="303" w:name="_Toc171061159"/>
      <w:bookmarkStart w:id="304" w:name="_Toc110267601"/>
      <w:bookmarkStart w:id="305" w:name="_Toc171063070"/>
      <w:bookmarkStart w:id="306" w:name="_Toc391287293"/>
      <w:bookmarkStart w:id="307" w:name="_Toc324772162"/>
      <w:bookmarkStart w:id="308" w:name="_Toc128391523"/>
      <w:bookmarkStart w:id="309" w:name="_Toc128391170"/>
      <w:bookmarkStart w:id="310" w:name="_Toc168753148"/>
      <w:bookmarkStart w:id="311" w:name="_Toc128391423"/>
      <w:bookmarkStart w:id="312" w:name="_Toc79667238"/>
      <w:bookmarkStart w:id="313" w:name="_Toc128396296"/>
      <w:bookmarkStart w:id="314" w:name="_Toc79668216"/>
      <w:r>
        <w:rPr>
          <w:rFonts w:hint="eastAsia"/>
        </w:rPr>
        <w:t>第13条　替代方案</w:t>
      </w:r>
      <w:bookmarkEnd w:id="299"/>
      <w:bookmarkEnd w:id="300"/>
      <w:bookmarkEnd w:id="301"/>
      <w:bookmarkEnd w:id="302"/>
      <w:bookmarkEnd w:id="303"/>
      <w:bookmarkEnd w:id="304"/>
      <w:bookmarkEnd w:id="305"/>
      <w:bookmarkEnd w:id="306"/>
      <w:bookmarkEnd w:id="307"/>
    </w:p>
    <w:bookmarkEnd w:id="308"/>
    <w:bookmarkEnd w:id="309"/>
    <w:bookmarkEnd w:id="310"/>
    <w:bookmarkEnd w:id="311"/>
    <w:bookmarkEnd w:id="312"/>
    <w:bookmarkEnd w:id="313"/>
    <w:bookmarkEnd w:id="314"/>
    <w:p>
      <w:pPr>
        <w:spacing w:before="120" w:after="120" w:line="240" w:lineRule="atLeast"/>
        <w:ind w:firstLine="420" w:firstLineChars="200"/>
        <w:textAlignment w:val="auto"/>
        <w:rPr>
          <w:szCs w:val="21"/>
        </w:rPr>
      </w:pPr>
      <w:r>
        <w:rPr>
          <w:rFonts w:hint="eastAsia"/>
          <w:szCs w:val="21"/>
        </w:rPr>
        <w:t>13.1　除非</w:t>
      </w:r>
      <w:r>
        <w:rPr>
          <w:rFonts w:hint="eastAsia"/>
          <w:b/>
          <w:szCs w:val="21"/>
        </w:rPr>
        <w:t>“投标资料表”</w:t>
      </w:r>
      <w:r>
        <w:rPr>
          <w:rFonts w:hint="eastAsia"/>
          <w:szCs w:val="21"/>
        </w:rPr>
        <w:t>另有规定，替代方案不予考虑。</w:t>
      </w:r>
    </w:p>
    <w:p>
      <w:pPr>
        <w:spacing w:before="120" w:after="120" w:line="240" w:lineRule="atLeast"/>
        <w:ind w:firstLine="420" w:firstLineChars="200"/>
        <w:textAlignment w:val="auto"/>
        <w:rPr>
          <w:color w:val="000000"/>
          <w:szCs w:val="21"/>
        </w:rPr>
      </w:pPr>
      <w:r>
        <w:rPr>
          <w:szCs w:val="21"/>
        </w:rPr>
        <w:t>13.2</w:t>
      </w:r>
      <w:r>
        <w:rPr>
          <w:rFonts w:hint="eastAsia"/>
          <w:szCs w:val="21"/>
        </w:rPr>
        <w:t>　</w:t>
      </w:r>
      <w:r>
        <w:rPr>
          <w:color w:val="000000"/>
          <w:szCs w:val="21"/>
        </w:rPr>
        <w:t>当明确要求</w:t>
      </w:r>
      <w:r>
        <w:rPr>
          <w:rFonts w:hint="eastAsia"/>
          <w:color w:val="000000"/>
          <w:szCs w:val="21"/>
        </w:rPr>
        <w:t>有</w:t>
      </w:r>
      <w:r>
        <w:rPr>
          <w:color w:val="000000"/>
          <w:szCs w:val="21"/>
        </w:rPr>
        <w:t>替代完工时间时，</w:t>
      </w:r>
      <w:r>
        <w:rPr>
          <w:rFonts w:hint="eastAsia"/>
          <w:b/>
          <w:color w:val="000000"/>
          <w:szCs w:val="21"/>
        </w:rPr>
        <w:t>“</w:t>
      </w:r>
      <w:r>
        <w:rPr>
          <w:b/>
          <w:color w:val="000000"/>
          <w:szCs w:val="21"/>
        </w:rPr>
        <w:t>投标资料表</w:t>
      </w:r>
      <w:r>
        <w:rPr>
          <w:rFonts w:hint="eastAsia"/>
          <w:b/>
          <w:color w:val="000000"/>
          <w:szCs w:val="21"/>
        </w:rPr>
        <w:t>”</w:t>
      </w:r>
      <w:r>
        <w:rPr>
          <w:rFonts w:hint="eastAsia"/>
          <w:color w:val="000000"/>
          <w:szCs w:val="21"/>
        </w:rPr>
        <w:t>将</w:t>
      </w:r>
      <w:r>
        <w:rPr>
          <w:color w:val="000000"/>
          <w:szCs w:val="21"/>
        </w:rPr>
        <w:t>对此</w:t>
      </w:r>
      <w:r>
        <w:rPr>
          <w:rFonts w:hint="eastAsia"/>
          <w:color w:val="000000"/>
          <w:szCs w:val="21"/>
        </w:rPr>
        <w:t>进行</w:t>
      </w:r>
      <w:r>
        <w:rPr>
          <w:color w:val="000000"/>
          <w:szCs w:val="21"/>
        </w:rPr>
        <w:t>说明</w:t>
      </w:r>
      <w:r>
        <w:rPr>
          <w:rFonts w:hint="eastAsia"/>
          <w:color w:val="000000"/>
          <w:szCs w:val="21"/>
        </w:rPr>
        <w:t>，并规定</w:t>
      </w:r>
      <w:r>
        <w:rPr>
          <w:color w:val="000000"/>
          <w:szCs w:val="21"/>
        </w:rPr>
        <w:t>评审不同完工时间</w:t>
      </w:r>
      <w:r>
        <w:rPr>
          <w:rFonts w:hint="eastAsia"/>
          <w:color w:val="000000"/>
          <w:szCs w:val="21"/>
        </w:rPr>
        <w:t>所使用</w:t>
      </w:r>
      <w:r>
        <w:rPr>
          <w:color w:val="000000"/>
          <w:szCs w:val="21"/>
        </w:rPr>
        <w:t>的方法。</w:t>
      </w:r>
    </w:p>
    <w:p>
      <w:pPr>
        <w:spacing w:before="120" w:after="120" w:line="240" w:lineRule="atLeast"/>
        <w:ind w:firstLine="420" w:firstLineChars="200"/>
        <w:textAlignment w:val="auto"/>
        <w:rPr>
          <w:szCs w:val="21"/>
        </w:rPr>
      </w:pPr>
      <w:r>
        <w:rPr>
          <w:rFonts w:hint="eastAsia"/>
          <w:szCs w:val="21"/>
        </w:rPr>
        <w:t>13.3　根据“投标人须知”第13.1款的规定并以下述“投标人须知”第13.4款为准，投标人希望按照本招标文件的要求递交替代方案时，应首先对本招标文件所描述的业主技术方案进行报价，再提供对替代方案进行评审所需要的全部信息，包括图纸、设计计算书、技术规范、投标报价明细以及建议的施工方法和其它相关资料。只有符合业主技术方案的最低评标价的投标人所提出的替代方案才会被考虑。</w:t>
      </w:r>
    </w:p>
    <w:p>
      <w:pPr>
        <w:spacing w:before="120" w:after="120" w:line="240" w:lineRule="atLeast"/>
        <w:ind w:firstLine="420" w:firstLineChars="200"/>
        <w:textAlignment w:val="auto"/>
        <w:rPr>
          <w:szCs w:val="21"/>
        </w:rPr>
      </w:pPr>
      <w:r>
        <w:rPr>
          <w:rFonts w:hint="eastAsia"/>
          <w:szCs w:val="21"/>
        </w:rPr>
        <w:t>13.4　在“</w:t>
      </w:r>
      <w:r>
        <w:rPr>
          <w:rFonts w:hint="eastAsia"/>
          <w:b/>
          <w:szCs w:val="21"/>
        </w:rPr>
        <w:t>投标资料表</w:t>
      </w:r>
      <w:r>
        <w:rPr>
          <w:rFonts w:hint="eastAsia"/>
          <w:szCs w:val="21"/>
        </w:rPr>
        <w:t>”有规定时，投标人才允许为工程的规定部分递交替代方案。该部分将在</w:t>
      </w:r>
      <w:r>
        <w:rPr>
          <w:rFonts w:hint="eastAsia"/>
          <w:b/>
          <w:szCs w:val="21"/>
        </w:rPr>
        <w:t>“投标资料表”</w:t>
      </w:r>
      <w:r>
        <w:rPr>
          <w:rFonts w:hint="eastAsia"/>
          <w:szCs w:val="21"/>
        </w:rPr>
        <w:t>中规定并在第六章中进行描述。相关的评审方法将在第三章中规定。</w:t>
      </w:r>
    </w:p>
    <w:p>
      <w:pPr>
        <w:pStyle w:val="5"/>
      </w:pPr>
      <w:bookmarkStart w:id="315" w:name="_Toc110264329"/>
      <w:bookmarkStart w:id="316" w:name="_Toc169103208"/>
      <w:bookmarkStart w:id="317" w:name="_Toc110267602"/>
      <w:bookmarkStart w:id="318" w:name="_Toc171061160"/>
      <w:bookmarkStart w:id="319" w:name="_Toc391287294"/>
      <w:bookmarkStart w:id="320" w:name="_Toc110262674"/>
      <w:bookmarkStart w:id="321" w:name="_Toc110263868"/>
      <w:bookmarkStart w:id="322" w:name="_Toc171063071"/>
      <w:bookmarkStart w:id="323" w:name="_Toc324772163"/>
      <w:bookmarkStart w:id="324" w:name="_Toc79668217"/>
      <w:bookmarkStart w:id="325" w:name="_Toc128396297"/>
      <w:bookmarkStart w:id="326" w:name="_Toc79667239"/>
      <w:bookmarkStart w:id="327" w:name="_Toc128391171"/>
      <w:bookmarkStart w:id="328" w:name="_Toc128391424"/>
      <w:bookmarkStart w:id="329" w:name="_Toc168753149"/>
      <w:bookmarkStart w:id="330" w:name="_Toc128391524"/>
      <w:r>
        <w:rPr>
          <w:rFonts w:hint="eastAsia"/>
        </w:rPr>
        <w:t>第</w:t>
      </w:r>
      <w:r>
        <w:t>14</w:t>
      </w:r>
      <w:r>
        <w:rPr>
          <w:rFonts w:hint="eastAsia"/>
        </w:rPr>
        <w:t>条　投标报价和折扣</w:t>
      </w:r>
      <w:bookmarkEnd w:id="315"/>
      <w:bookmarkEnd w:id="316"/>
      <w:bookmarkEnd w:id="317"/>
      <w:bookmarkEnd w:id="318"/>
      <w:bookmarkEnd w:id="319"/>
      <w:bookmarkEnd w:id="320"/>
      <w:bookmarkEnd w:id="321"/>
      <w:bookmarkEnd w:id="322"/>
      <w:bookmarkEnd w:id="323"/>
    </w:p>
    <w:bookmarkEnd w:id="324"/>
    <w:bookmarkEnd w:id="325"/>
    <w:bookmarkEnd w:id="326"/>
    <w:bookmarkEnd w:id="327"/>
    <w:bookmarkEnd w:id="328"/>
    <w:bookmarkEnd w:id="329"/>
    <w:bookmarkEnd w:id="330"/>
    <w:p>
      <w:pPr>
        <w:spacing w:before="120" w:after="120" w:line="240" w:lineRule="atLeast"/>
        <w:ind w:firstLine="420" w:firstLineChars="200"/>
        <w:textAlignment w:val="auto"/>
        <w:rPr>
          <w:szCs w:val="21"/>
        </w:rPr>
      </w:pPr>
      <w:r>
        <w:rPr>
          <w:rFonts w:hint="eastAsia"/>
          <w:szCs w:val="21"/>
        </w:rPr>
        <w:t>14.1　投标人在投标函和报价表中所报出的价格和折扣应满足下述各款的要求。</w:t>
      </w:r>
    </w:p>
    <w:p>
      <w:pPr>
        <w:spacing w:before="120" w:after="120" w:line="240" w:lineRule="atLeast"/>
        <w:ind w:firstLine="420" w:firstLineChars="200"/>
        <w:textAlignment w:val="auto"/>
        <w:rPr>
          <w:szCs w:val="21"/>
        </w:rPr>
      </w:pPr>
      <w:r>
        <w:rPr>
          <w:rFonts w:hint="eastAsia"/>
          <w:szCs w:val="21"/>
        </w:rPr>
        <w:t>14.2　投标人应就“投标人须知”第1.1款所描述的全部工程进行投标，为第四章所确定的所有项目进行报价。对于计量合同，投标人应填报工程量清单中列出的所有工程项目的单价和合价。投标人没有填报单价或价格的项目在完成后将得不到业主的付款。这些项目的费用将被认为已包括在工程量清单的其它项目的单价和价格中。</w:t>
      </w:r>
    </w:p>
    <w:p>
      <w:pPr>
        <w:spacing w:before="120" w:after="120" w:line="240" w:lineRule="atLeast"/>
        <w:ind w:firstLine="420" w:firstLineChars="200"/>
        <w:textAlignment w:val="auto"/>
        <w:rPr>
          <w:szCs w:val="21"/>
        </w:rPr>
      </w:pPr>
      <w:r>
        <w:rPr>
          <w:rFonts w:hint="eastAsia"/>
          <w:szCs w:val="21"/>
        </w:rPr>
        <w:t>14.3　投标函中的报价应是不包含任何折扣的投标总价。</w:t>
      </w:r>
      <w:r>
        <w:rPr>
          <w:rFonts w:hint="eastAsia" w:ascii="宋体" w:hAnsi="宋体"/>
          <w:szCs w:val="21"/>
        </w:rPr>
        <w:t>没有投标总价的投标函可能导致其投标被拒绝。</w:t>
      </w:r>
    </w:p>
    <w:p>
      <w:pPr>
        <w:spacing w:before="120" w:after="120" w:line="240" w:lineRule="atLeast"/>
        <w:ind w:firstLine="420" w:firstLineChars="200"/>
        <w:jc w:val="left"/>
        <w:textAlignment w:val="auto"/>
        <w:rPr>
          <w:szCs w:val="21"/>
        </w:rPr>
      </w:pPr>
      <w:r>
        <w:rPr>
          <w:rFonts w:hint="eastAsia"/>
          <w:szCs w:val="21"/>
        </w:rPr>
        <w:t>14.</w:t>
      </w:r>
      <w:r>
        <w:rPr>
          <w:szCs w:val="21"/>
        </w:rPr>
        <w:t>4</w:t>
      </w:r>
      <w:r>
        <w:rPr>
          <w:rFonts w:hint="eastAsia"/>
          <w:szCs w:val="21"/>
        </w:rPr>
        <w:t>　根据“投标人须知”第</w:t>
      </w:r>
      <w:r>
        <w:rPr>
          <w:szCs w:val="21"/>
        </w:rPr>
        <w:t>12.1</w:t>
      </w:r>
      <w:r>
        <w:rPr>
          <w:rFonts w:hint="eastAsia"/>
          <w:szCs w:val="21"/>
        </w:rPr>
        <w:t>款的规定，投标函中应包括无条件折扣及其使用方法。</w:t>
      </w:r>
      <w:r>
        <w:rPr>
          <w:rFonts w:hint="eastAsia" w:ascii="宋体" w:hAnsi="宋体"/>
          <w:szCs w:val="21"/>
        </w:rPr>
        <w:t>计量合同中只接受针对整个投标总价（扣除所有固定金额的暂定金和不可预见费）的一定金额或者比率的折扣。</w:t>
      </w:r>
    </w:p>
    <w:p>
      <w:pPr>
        <w:spacing w:before="120" w:after="120" w:line="240" w:lineRule="atLeast"/>
        <w:ind w:firstLine="420" w:firstLineChars="200"/>
        <w:rPr>
          <w:szCs w:val="21"/>
        </w:rPr>
      </w:pPr>
      <w:r>
        <w:rPr>
          <w:rFonts w:hint="eastAsia"/>
          <w:szCs w:val="21"/>
        </w:rPr>
        <w:t>14.5　除非</w:t>
      </w:r>
      <w:r>
        <w:rPr>
          <w:rFonts w:hint="eastAsia"/>
          <w:b/>
          <w:bCs/>
          <w:szCs w:val="21"/>
        </w:rPr>
        <w:t>“投标资料表”</w:t>
      </w:r>
      <w:r>
        <w:rPr>
          <w:rFonts w:hint="eastAsia"/>
          <w:szCs w:val="21"/>
        </w:rPr>
        <w:t>和合同条款另有规定，投标人的报价是固定的。如果投标人的报价在合同履行期间将根据合同条款的规定进行调整，投标人应在第四章 “投标文件格式”《价格调整表》中列出价格调整公式的指数和权重。业主可以要求投标人说明其指数和权重的合理性。缺少指数或权重数据将与投标人进行澄清。</w:t>
      </w:r>
    </w:p>
    <w:p>
      <w:pPr>
        <w:spacing w:before="120" w:after="120" w:line="240" w:lineRule="atLeast"/>
        <w:ind w:firstLine="420" w:firstLineChars="200"/>
        <w:textAlignment w:val="auto"/>
        <w:rPr>
          <w:szCs w:val="21"/>
        </w:rPr>
      </w:pPr>
      <w:r>
        <w:rPr>
          <w:rFonts w:hint="eastAsia"/>
          <w:szCs w:val="21"/>
        </w:rPr>
        <w:t>1</w:t>
      </w:r>
      <w:r>
        <w:rPr>
          <w:szCs w:val="21"/>
        </w:rPr>
        <w:t xml:space="preserve">4.6    </w:t>
      </w:r>
      <w:r>
        <w:rPr>
          <w:rFonts w:hint="eastAsia"/>
          <w:szCs w:val="21"/>
        </w:rPr>
        <w:t>如果“投标人须知”第1.1款允许，投标人可以针对</w:t>
      </w:r>
      <w:r>
        <w:rPr>
          <w:rFonts w:hint="eastAsia" w:ascii="宋体" w:hAnsi="宋体"/>
          <w:szCs w:val="21"/>
        </w:rPr>
        <w:t>一个或任何一个以上的合同（包）组合进行投标。</w:t>
      </w:r>
      <w:r>
        <w:rPr>
          <w:rFonts w:hint="eastAsia" w:hAnsi="宋体"/>
          <w:szCs w:val="21"/>
        </w:rPr>
        <w:t>希望就授予一个以上合同而提供价格折扣的投标人应在其投标文件中明确每一个包的价格折扣，或者一批合同中每个合同的价格折扣。如果所有合同是在同一时间递交和开标的，降价和折扣应按照“投标人须知”第14.4款递交</w:t>
      </w:r>
      <w:r>
        <w:rPr>
          <w:rFonts w:hint="eastAsia"/>
          <w:szCs w:val="21"/>
        </w:rPr>
        <w:t>。</w:t>
      </w:r>
    </w:p>
    <w:p>
      <w:pPr>
        <w:spacing w:before="120" w:after="120" w:line="240" w:lineRule="atLeast"/>
        <w:ind w:firstLine="420" w:firstLineChars="200"/>
        <w:textAlignment w:val="auto"/>
        <w:rPr>
          <w:szCs w:val="21"/>
        </w:rPr>
      </w:pPr>
      <w:r>
        <w:rPr>
          <w:rFonts w:hint="eastAsia"/>
          <w:szCs w:val="21"/>
        </w:rPr>
        <w:t>14.</w:t>
      </w:r>
      <w:r>
        <w:rPr>
          <w:szCs w:val="21"/>
        </w:rPr>
        <w:t>7</w:t>
      </w:r>
      <w:r>
        <w:rPr>
          <w:rFonts w:hint="eastAsia"/>
          <w:szCs w:val="21"/>
        </w:rPr>
        <w:t>　在投标截止时间28天前已经生效的、应由投标人以合同款项支付的，或为了其它目的而支付的所有关税、税款和其它税费都应包括在投标人递交的单价、价格和投标总价中。</w:t>
      </w:r>
    </w:p>
    <w:p>
      <w:pPr>
        <w:pStyle w:val="5"/>
      </w:pPr>
      <w:bookmarkStart w:id="331" w:name="_Toc171063072"/>
      <w:bookmarkStart w:id="332" w:name="_Toc171061161"/>
      <w:bookmarkStart w:id="333" w:name="_Toc110262675"/>
      <w:bookmarkStart w:id="334" w:name="_Toc110263869"/>
      <w:bookmarkStart w:id="335" w:name="_Toc110264330"/>
      <w:bookmarkStart w:id="336" w:name="_Toc110267603"/>
      <w:bookmarkStart w:id="337" w:name="_Toc324772164"/>
      <w:bookmarkStart w:id="338" w:name="_Toc391287295"/>
      <w:bookmarkStart w:id="339" w:name="_Toc169103209"/>
      <w:bookmarkStart w:id="340" w:name="_Toc128391172"/>
      <w:bookmarkStart w:id="341" w:name="_Toc168753150"/>
      <w:bookmarkStart w:id="342" w:name="_Toc128396298"/>
      <w:bookmarkStart w:id="343" w:name="_Toc128391425"/>
      <w:bookmarkStart w:id="344" w:name="_Toc128391525"/>
      <w:bookmarkStart w:id="345" w:name="_Toc79668218"/>
      <w:bookmarkStart w:id="346" w:name="_Toc79667240"/>
      <w:r>
        <w:rPr>
          <w:rFonts w:hint="eastAsia"/>
        </w:rPr>
        <w:t>第</w:t>
      </w:r>
      <w:r>
        <w:t>1</w:t>
      </w:r>
      <w:r>
        <w:rPr>
          <w:rFonts w:hint="eastAsia"/>
        </w:rPr>
        <w:t>5条　投标货币</w:t>
      </w:r>
      <w:bookmarkEnd w:id="331"/>
      <w:bookmarkEnd w:id="332"/>
      <w:bookmarkEnd w:id="333"/>
      <w:bookmarkEnd w:id="334"/>
      <w:bookmarkEnd w:id="335"/>
      <w:bookmarkEnd w:id="336"/>
      <w:bookmarkEnd w:id="337"/>
      <w:bookmarkEnd w:id="338"/>
      <w:bookmarkEnd w:id="339"/>
    </w:p>
    <w:bookmarkEnd w:id="340"/>
    <w:bookmarkEnd w:id="341"/>
    <w:bookmarkEnd w:id="342"/>
    <w:bookmarkEnd w:id="343"/>
    <w:bookmarkEnd w:id="344"/>
    <w:bookmarkEnd w:id="345"/>
    <w:bookmarkEnd w:id="346"/>
    <w:p>
      <w:pPr>
        <w:spacing w:before="120" w:after="120" w:line="240" w:lineRule="atLeast"/>
        <w:ind w:firstLine="420" w:firstLineChars="200"/>
        <w:textAlignment w:val="auto"/>
        <w:rPr>
          <w:szCs w:val="21"/>
        </w:rPr>
      </w:pPr>
      <w:r>
        <w:rPr>
          <w:rFonts w:hint="eastAsia"/>
          <w:szCs w:val="21"/>
        </w:rPr>
        <w:t>15.1　投标人应以人民币报价。</w:t>
      </w:r>
    </w:p>
    <w:p>
      <w:pPr>
        <w:pStyle w:val="5"/>
      </w:pPr>
      <w:bookmarkStart w:id="347" w:name="_Toc324772165"/>
      <w:bookmarkStart w:id="348" w:name="_Toc171061162"/>
      <w:bookmarkStart w:id="349" w:name="_Toc110267604"/>
      <w:bookmarkStart w:id="350" w:name="_Toc110262676"/>
      <w:bookmarkStart w:id="351" w:name="_Toc110263870"/>
      <w:bookmarkStart w:id="352" w:name="_Toc169103210"/>
      <w:bookmarkStart w:id="353" w:name="_Toc391287296"/>
      <w:bookmarkStart w:id="354" w:name="_Toc110264331"/>
      <w:bookmarkStart w:id="355" w:name="_Toc171063073"/>
      <w:r>
        <w:rPr>
          <w:rFonts w:hint="eastAsia"/>
        </w:rPr>
        <w:t>第16条　构成技术建议</w:t>
      </w:r>
      <w:r>
        <w:rPr>
          <w:rFonts w:hint="eastAsia"/>
          <w:lang w:eastAsia="zh-CN"/>
        </w:rPr>
        <w:t>书</w:t>
      </w:r>
      <w:r>
        <w:rPr>
          <w:rFonts w:hint="eastAsia"/>
        </w:rPr>
        <w:t>的文件</w:t>
      </w:r>
      <w:bookmarkEnd w:id="347"/>
      <w:bookmarkEnd w:id="348"/>
      <w:bookmarkEnd w:id="349"/>
      <w:bookmarkEnd w:id="350"/>
      <w:bookmarkEnd w:id="351"/>
      <w:bookmarkEnd w:id="352"/>
      <w:bookmarkEnd w:id="353"/>
      <w:bookmarkEnd w:id="354"/>
      <w:bookmarkEnd w:id="355"/>
    </w:p>
    <w:p>
      <w:pPr>
        <w:spacing w:before="120" w:after="120" w:line="240" w:lineRule="atLeast"/>
        <w:ind w:firstLine="420" w:firstLineChars="200"/>
        <w:textAlignment w:val="auto"/>
        <w:rPr>
          <w:szCs w:val="21"/>
        </w:rPr>
      </w:pPr>
      <w:r>
        <w:rPr>
          <w:rFonts w:hint="eastAsia"/>
          <w:szCs w:val="21"/>
        </w:rPr>
        <w:t>16.1　投标人应递交一份技术建议书，用第四章规定的格式说明施工方案、设备、人员、进度计划、环境-社会-健康-安全行为准则和其它内容。建议书应详细说明投标人的建议足以满足工程和完工日期的要求。</w:t>
      </w:r>
    </w:p>
    <w:p>
      <w:pPr>
        <w:pStyle w:val="5"/>
      </w:pPr>
      <w:bookmarkStart w:id="356" w:name="_Toc110263871"/>
      <w:bookmarkStart w:id="357" w:name="_Toc110267605"/>
      <w:bookmarkStart w:id="358" w:name="_Toc110264332"/>
      <w:bookmarkStart w:id="359" w:name="_Toc171061163"/>
      <w:bookmarkStart w:id="360" w:name="_Toc324772166"/>
      <w:bookmarkStart w:id="361" w:name="_Toc169103211"/>
      <w:bookmarkStart w:id="362" w:name="_Toc391287297"/>
      <w:bookmarkStart w:id="363" w:name="_Toc171063074"/>
      <w:bookmarkStart w:id="364" w:name="_Toc110262677"/>
      <w:bookmarkStart w:id="365" w:name="_Toc128391426"/>
      <w:bookmarkStart w:id="366" w:name="_Toc79667241"/>
      <w:bookmarkStart w:id="367" w:name="_Toc79668219"/>
      <w:bookmarkStart w:id="368" w:name="_Toc168753151"/>
      <w:bookmarkStart w:id="369" w:name="_Toc128391526"/>
      <w:bookmarkStart w:id="370" w:name="_Toc128396299"/>
      <w:bookmarkStart w:id="371" w:name="_Toc128391173"/>
      <w:r>
        <w:rPr>
          <w:rFonts w:hint="eastAsia"/>
        </w:rPr>
        <w:t>第</w:t>
      </w:r>
      <w:r>
        <w:t>1</w:t>
      </w:r>
      <w:r>
        <w:rPr>
          <w:rFonts w:hint="eastAsia"/>
        </w:rPr>
        <w:t>7条　证明投标人合格性的文件</w:t>
      </w:r>
      <w:bookmarkEnd w:id="356"/>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pPr>
        <w:spacing w:before="120" w:after="120" w:line="240" w:lineRule="atLeast"/>
        <w:ind w:firstLine="420" w:firstLineChars="200"/>
        <w:textAlignment w:val="auto"/>
        <w:rPr>
          <w:szCs w:val="21"/>
        </w:rPr>
      </w:pPr>
      <w:r>
        <w:rPr>
          <w:rFonts w:hint="eastAsia"/>
          <w:szCs w:val="21"/>
        </w:rPr>
        <w:t>17.1　为证明其符合“投标人须知”第4条规定的合格性，投标人应：</w:t>
      </w:r>
    </w:p>
    <w:p>
      <w:pPr>
        <w:spacing w:before="120" w:after="120" w:line="240" w:lineRule="atLeast"/>
        <w:ind w:left="936" w:hanging="576"/>
        <w:jc w:val="left"/>
        <w:textAlignment w:val="auto"/>
        <w:rPr>
          <w:szCs w:val="21"/>
        </w:rPr>
      </w:pPr>
      <w:r>
        <w:rPr>
          <w:rFonts w:hint="eastAsia"/>
          <w:szCs w:val="21"/>
        </w:rPr>
        <w:t>（1）提供本招标文件第四章中信息表所要求的相应信息；</w:t>
      </w:r>
    </w:p>
    <w:p>
      <w:pPr>
        <w:spacing w:before="120" w:after="120" w:line="240" w:lineRule="atLeast"/>
        <w:ind w:left="936" w:hanging="576"/>
        <w:jc w:val="left"/>
        <w:textAlignment w:val="auto"/>
        <w:rPr>
          <w:szCs w:val="21"/>
        </w:rPr>
      </w:pPr>
      <w:r>
        <w:rPr>
          <w:rFonts w:hint="eastAsia"/>
          <w:szCs w:val="21"/>
        </w:rPr>
        <w:t>（2）</w:t>
      </w:r>
      <w:r>
        <w:rPr>
          <w:szCs w:val="21"/>
        </w:rPr>
        <w:t>根据</w:t>
      </w:r>
      <w:r>
        <w:rPr>
          <w:rFonts w:hint="eastAsia"/>
          <w:szCs w:val="21"/>
        </w:rPr>
        <w:t>“</w:t>
      </w:r>
      <w:r>
        <w:rPr>
          <w:szCs w:val="21"/>
        </w:rPr>
        <w:t>投标人须知</w:t>
      </w:r>
      <w:r>
        <w:rPr>
          <w:rFonts w:hint="eastAsia"/>
          <w:szCs w:val="21"/>
        </w:rPr>
        <w:t>”</w:t>
      </w:r>
      <w:r>
        <w:rPr>
          <w:szCs w:val="21"/>
        </w:rPr>
        <w:t>第4.1款的规定，如果投标人是业已存在的联合体或将要成立的联合体，投标人应提供联合协议或将要组成联合体的意向协议。有关文件应由所有联合体或将要成立的联合体全体成员的法定代表人签字。</w:t>
      </w:r>
    </w:p>
    <w:p>
      <w:pPr>
        <w:pStyle w:val="5"/>
      </w:pPr>
      <w:bookmarkStart w:id="372" w:name="_Toc110267606"/>
      <w:bookmarkStart w:id="373" w:name="_Toc79667245"/>
      <w:bookmarkStart w:id="374" w:name="_Toc171063075"/>
      <w:bookmarkStart w:id="375" w:name="_Toc110263872"/>
      <w:bookmarkStart w:id="376" w:name="_Toc171061164"/>
      <w:bookmarkStart w:id="377" w:name="_Toc169103212"/>
      <w:bookmarkStart w:id="378" w:name="_Toc128391430"/>
      <w:bookmarkStart w:id="379" w:name="_Toc79668223"/>
      <w:bookmarkStart w:id="380" w:name="_Toc128391177"/>
      <w:bookmarkStart w:id="381" w:name="_Toc110262678"/>
      <w:bookmarkStart w:id="382" w:name="_Toc324772167"/>
      <w:bookmarkStart w:id="383" w:name="_Toc128396303"/>
      <w:bookmarkStart w:id="384" w:name="_Toc110264333"/>
      <w:bookmarkStart w:id="385" w:name="_Toc168753155"/>
      <w:bookmarkStart w:id="386" w:name="_Toc128391530"/>
      <w:bookmarkStart w:id="387" w:name="_Toc391287298"/>
      <w:r>
        <w:rPr>
          <w:rFonts w:hint="eastAsia"/>
        </w:rPr>
        <w:t>第18条　投标有效期</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spacing w:before="120" w:after="120" w:line="240" w:lineRule="atLeast"/>
        <w:ind w:firstLine="420" w:firstLineChars="200"/>
        <w:textAlignment w:val="auto"/>
        <w:rPr>
          <w:szCs w:val="21"/>
        </w:rPr>
      </w:pPr>
      <w:r>
        <w:rPr>
          <w:rFonts w:hint="eastAsia"/>
          <w:szCs w:val="21"/>
        </w:rPr>
        <w:t>18</w:t>
      </w:r>
      <w:r>
        <w:rPr>
          <w:szCs w:val="21"/>
        </w:rPr>
        <w:t>.1</w:t>
      </w:r>
      <w:r>
        <w:rPr>
          <w:rFonts w:hint="eastAsia"/>
          <w:szCs w:val="21"/>
        </w:rPr>
        <w:t>　投标文件应在业主规定的投标截止时间之后在</w:t>
      </w:r>
      <w:r>
        <w:rPr>
          <w:rFonts w:hint="eastAsia"/>
          <w:b/>
          <w:szCs w:val="21"/>
        </w:rPr>
        <w:t>“投标资料表”</w:t>
      </w:r>
      <w:r>
        <w:rPr>
          <w:rFonts w:hint="eastAsia"/>
          <w:szCs w:val="21"/>
        </w:rPr>
        <w:t>规定的期限内保持有效。投标有效期短于规定有效期的，投标将被业主视为不响应招标文件而拒绝。</w:t>
      </w:r>
    </w:p>
    <w:p>
      <w:pPr>
        <w:spacing w:before="120" w:after="120" w:line="240" w:lineRule="atLeast"/>
        <w:ind w:firstLine="420" w:firstLineChars="200"/>
        <w:jc w:val="left"/>
        <w:textAlignment w:val="auto"/>
        <w:rPr>
          <w:szCs w:val="21"/>
        </w:rPr>
      </w:pPr>
      <w:r>
        <w:rPr>
          <w:rFonts w:hint="eastAsia"/>
          <w:szCs w:val="21"/>
        </w:rPr>
        <w:t>18</w:t>
      </w:r>
      <w:r>
        <w:rPr>
          <w:szCs w:val="21"/>
        </w:rPr>
        <w:t>.2</w:t>
      </w:r>
      <w:r>
        <w:rPr>
          <w:rFonts w:hint="eastAsia"/>
          <w:szCs w:val="21"/>
        </w:rPr>
        <w:t>　在特殊情况下，在投标有效期期满之前，业主可以要求投标人延长其投标有效期。延长投标有效期的要求与答复均应使用书面形式。同时，投标保证金的有效期也应相应地延长。投标人可拒绝业主的延长投标有效期的要求，而其投标保证金不会被没收。除非“投标人须知”第</w:t>
      </w:r>
      <w:r>
        <w:rPr>
          <w:szCs w:val="21"/>
        </w:rPr>
        <w:t>18.3</w:t>
      </w:r>
      <w:r>
        <w:rPr>
          <w:rFonts w:hint="eastAsia"/>
          <w:szCs w:val="21"/>
        </w:rPr>
        <w:t>款另有规定，业主既不能要求也不能允许同意延长投标有效期的投标人修改其投标文件。</w:t>
      </w:r>
    </w:p>
    <w:p>
      <w:pPr>
        <w:spacing w:before="120" w:after="120" w:line="240" w:lineRule="atLeast"/>
        <w:ind w:firstLine="420" w:firstLineChars="200"/>
        <w:textAlignment w:val="auto"/>
        <w:rPr>
          <w:szCs w:val="21"/>
        </w:rPr>
      </w:pPr>
      <w:r>
        <w:rPr>
          <w:rFonts w:hint="eastAsia"/>
          <w:szCs w:val="21"/>
        </w:rPr>
        <w:t>18.3　对于固定价合同，如果授予合同的时间超过原定的投标有效期</w:t>
      </w:r>
      <w:r>
        <w:rPr>
          <w:szCs w:val="21"/>
        </w:rPr>
        <w:t>56</w:t>
      </w:r>
      <w:r>
        <w:rPr>
          <w:rFonts w:hint="eastAsia"/>
          <w:szCs w:val="21"/>
        </w:rPr>
        <w:t>天以上，合同价格将按照</w:t>
      </w:r>
      <w:r>
        <w:rPr>
          <w:rFonts w:hint="eastAsia"/>
          <w:b/>
          <w:bCs/>
          <w:szCs w:val="21"/>
        </w:rPr>
        <w:t>“投标资料表”</w:t>
      </w:r>
      <w:r>
        <w:rPr>
          <w:rFonts w:hint="eastAsia"/>
          <w:szCs w:val="21"/>
        </w:rPr>
        <w:t>中规定的系数进行调整。</w:t>
      </w:r>
      <w:r>
        <w:rPr>
          <w:rFonts w:hint="eastAsia"/>
        </w:rPr>
        <w:t>除非</w:t>
      </w:r>
      <w:r>
        <w:rPr>
          <w:rFonts w:hint="eastAsia"/>
          <w:b/>
        </w:rPr>
        <w:t>“投标资料表”</w:t>
      </w:r>
      <w:r>
        <w:rPr>
          <w:rFonts w:hint="eastAsia"/>
        </w:rPr>
        <w:t>另有规定，</w:t>
      </w:r>
      <w:r>
        <w:rPr>
          <w:rFonts w:hint="eastAsia"/>
          <w:szCs w:val="21"/>
        </w:rPr>
        <w:t>投标文件的评审应以投标价为基础，而不考虑上述的调整。</w:t>
      </w:r>
    </w:p>
    <w:p>
      <w:pPr>
        <w:pStyle w:val="5"/>
      </w:pPr>
      <w:bookmarkStart w:id="388" w:name="_Toc110263873"/>
      <w:bookmarkStart w:id="389" w:name="_Toc169103213"/>
      <w:bookmarkStart w:id="390" w:name="_Toc391287299"/>
      <w:bookmarkStart w:id="391" w:name="_Toc79668224"/>
      <w:bookmarkStart w:id="392" w:name="_Toc128396304"/>
      <w:bookmarkStart w:id="393" w:name="_Toc110262679"/>
      <w:bookmarkStart w:id="394" w:name="_Toc324772168"/>
      <w:bookmarkStart w:id="395" w:name="_Toc128391531"/>
      <w:bookmarkStart w:id="396" w:name="_Toc110264334"/>
      <w:bookmarkStart w:id="397" w:name="_Toc128391431"/>
      <w:bookmarkStart w:id="398" w:name="_Toc168753156"/>
      <w:bookmarkStart w:id="399" w:name="_Toc79667246"/>
      <w:bookmarkStart w:id="400" w:name="_Toc110267607"/>
      <w:bookmarkStart w:id="401" w:name="_Toc128391178"/>
      <w:bookmarkStart w:id="402" w:name="_Toc171061165"/>
      <w:bookmarkStart w:id="403" w:name="_Toc171063076"/>
      <w:r>
        <w:rPr>
          <w:rFonts w:hint="eastAsia"/>
        </w:rPr>
        <w:t>第19条　投标保证金</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spacing w:before="120" w:after="120" w:line="240" w:lineRule="atLeast"/>
        <w:ind w:firstLine="420" w:firstLineChars="200"/>
        <w:textAlignment w:val="auto"/>
        <w:rPr>
          <w:szCs w:val="21"/>
        </w:rPr>
      </w:pPr>
      <w:r>
        <w:rPr>
          <w:rFonts w:hint="eastAsia"/>
          <w:szCs w:val="21"/>
        </w:rPr>
        <w:t>19.1　作为投标文件的一部分，投标人应递交投标保证金原件，其人民币金额在</w:t>
      </w:r>
      <w:r>
        <w:rPr>
          <w:rFonts w:hint="eastAsia"/>
          <w:b/>
          <w:szCs w:val="21"/>
        </w:rPr>
        <w:t>“投标资料表”</w:t>
      </w:r>
      <w:r>
        <w:rPr>
          <w:rFonts w:hint="eastAsia"/>
          <w:szCs w:val="21"/>
        </w:rPr>
        <w:t>中规定。</w:t>
      </w:r>
    </w:p>
    <w:p>
      <w:pPr>
        <w:spacing w:before="120" w:after="120" w:line="240" w:lineRule="atLeast"/>
        <w:ind w:firstLine="420" w:firstLineChars="200"/>
        <w:textAlignment w:val="auto"/>
        <w:rPr>
          <w:szCs w:val="21"/>
        </w:rPr>
      </w:pPr>
      <w:r>
        <w:rPr>
          <w:szCs w:val="21"/>
        </w:rPr>
        <w:t>1</w:t>
      </w:r>
      <w:r>
        <w:rPr>
          <w:rFonts w:hint="eastAsia"/>
          <w:szCs w:val="21"/>
        </w:rPr>
        <w:t>9.2　投标保证金可根据投标人的选择，采用以下任何形式：</w:t>
      </w:r>
    </w:p>
    <w:p>
      <w:pPr>
        <w:spacing w:before="120" w:after="120" w:line="240" w:lineRule="atLeast"/>
        <w:ind w:left="936" w:hanging="576"/>
        <w:jc w:val="left"/>
        <w:textAlignment w:val="auto"/>
        <w:rPr>
          <w:szCs w:val="21"/>
        </w:rPr>
      </w:pPr>
      <w:r>
        <w:rPr>
          <w:rFonts w:hint="eastAsia"/>
          <w:szCs w:val="21"/>
        </w:rPr>
        <w:t>（1）中国境内信誉良好银行出具的无条件保函；</w:t>
      </w:r>
    </w:p>
    <w:p>
      <w:pPr>
        <w:spacing w:before="120" w:after="120" w:line="240" w:lineRule="atLeast"/>
        <w:ind w:left="936" w:hanging="576"/>
        <w:jc w:val="left"/>
        <w:textAlignment w:val="auto"/>
        <w:rPr>
          <w:szCs w:val="21"/>
        </w:rPr>
      </w:pPr>
      <w:r>
        <w:rPr>
          <w:rFonts w:hint="eastAsia"/>
          <w:szCs w:val="21"/>
        </w:rPr>
        <w:t>（2）银行本票或者保兑支票；或</w:t>
      </w:r>
    </w:p>
    <w:p>
      <w:pPr>
        <w:spacing w:before="120" w:after="120" w:line="240" w:lineRule="atLeast"/>
        <w:ind w:left="936" w:hanging="576"/>
        <w:jc w:val="left"/>
        <w:textAlignment w:val="auto"/>
        <w:rPr>
          <w:szCs w:val="21"/>
        </w:rPr>
      </w:pPr>
      <w:r>
        <w:rPr>
          <w:rFonts w:hint="eastAsia"/>
          <w:szCs w:val="21"/>
        </w:rPr>
        <w:t>（3）</w:t>
      </w:r>
      <w:r>
        <w:rPr>
          <w:rFonts w:hint="eastAsia" w:ascii="宋体" w:hAnsi="宋体"/>
          <w:szCs w:val="21"/>
        </w:rPr>
        <w:t>“</w:t>
      </w:r>
      <w:r>
        <w:rPr>
          <w:rFonts w:hint="eastAsia" w:ascii="宋体" w:hAnsi="宋体"/>
          <w:b/>
          <w:szCs w:val="21"/>
        </w:rPr>
        <w:t>投标资料表”</w:t>
      </w:r>
      <w:r>
        <w:rPr>
          <w:rFonts w:hint="eastAsia" w:ascii="宋体" w:hAnsi="宋体"/>
          <w:szCs w:val="21"/>
        </w:rPr>
        <w:t>允许的其它形式，如银行电汇。</w:t>
      </w:r>
    </w:p>
    <w:p>
      <w:pPr>
        <w:spacing w:before="120" w:after="120" w:line="240" w:lineRule="atLeast"/>
        <w:ind w:firstLine="420" w:firstLineChars="200"/>
        <w:textAlignment w:val="auto"/>
        <w:rPr>
          <w:szCs w:val="21"/>
        </w:rPr>
      </w:pPr>
      <w:r>
        <w:rPr>
          <w:rFonts w:hint="eastAsia"/>
          <w:szCs w:val="21"/>
        </w:rPr>
        <w:t>对于银行保函，投标保证金应使用第四章规定的投标保证金（银行保函）格式。投标保证金的有效期应超过投标有效期</w:t>
      </w:r>
      <w:r>
        <w:rPr>
          <w:szCs w:val="21"/>
        </w:rPr>
        <w:t>28</w:t>
      </w:r>
      <w:r>
        <w:rPr>
          <w:rFonts w:hint="eastAsia"/>
          <w:szCs w:val="21"/>
        </w:rPr>
        <w:t>天，或根据“投标人须知”第</w:t>
      </w:r>
      <w:r>
        <w:rPr>
          <w:szCs w:val="21"/>
        </w:rPr>
        <w:t>18.2</w:t>
      </w:r>
      <w:r>
        <w:rPr>
          <w:rFonts w:hint="eastAsia"/>
          <w:szCs w:val="21"/>
        </w:rPr>
        <w:t>款的规定延长了的投标有效期之后</w:t>
      </w:r>
      <w:r>
        <w:rPr>
          <w:szCs w:val="21"/>
        </w:rPr>
        <w:t>28</w:t>
      </w:r>
      <w:r>
        <w:rPr>
          <w:rFonts w:hint="eastAsia"/>
          <w:szCs w:val="21"/>
        </w:rPr>
        <w:t>天。</w:t>
      </w:r>
    </w:p>
    <w:p>
      <w:pPr>
        <w:spacing w:before="120" w:after="120" w:line="240" w:lineRule="atLeast"/>
        <w:ind w:firstLine="420" w:firstLineChars="200"/>
        <w:textAlignment w:val="auto"/>
        <w:rPr>
          <w:szCs w:val="21"/>
        </w:rPr>
      </w:pPr>
      <w:r>
        <w:rPr>
          <w:rFonts w:hint="eastAsia"/>
          <w:szCs w:val="21"/>
        </w:rPr>
        <w:t>19.3　凡没有按“投标人须知”第</w:t>
      </w:r>
      <w:r>
        <w:rPr>
          <w:szCs w:val="21"/>
        </w:rPr>
        <w:t>19.1</w:t>
      </w:r>
      <w:r>
        <w:rPr>
          <w:rFonts w:hint="eastAsia"/>
          <w:szCs w:val="21"/>
        </w:rPr>
        <w:t>款的规定包括投标保证金的投标文件，将被业主视为不响应招标文件而被拒绝。</w:t>
      </w:r>
    </w:p>
    <w:p>
      <w:pPr>
        <w:spacing w:before="120" w:after="120" w:line="240" w:lineRule="atLeast"/>
        <w:ind w:firstLine="420" w:firstLineChars="200"/>
        <w:textAlignment w:val="auto"/>
        <w:rPr>
          <w:szCs w:val="21"/>
        </w:rPr>
      </w:pPr>
      <w:r>
        <w:rPr>
          <w:rFonts w:hint="eastAsia"/>
          <w:szCs w:val="21"/>
        </w:rPr>
        <w:t>19.4　未中标人的投标保证金，业主将根据“投标人须知”第</w:t>
      </w:r>
      <w:r>
        <w:rPr>
          <w:szCs w:val="21"/>
        </w:rPr>
        <w:t>39</w:t>
      </w:r>
      <w:r>
        <w:rPr>
          <w:rFonts w:hint="eastAsia"/>
          <w:szCs w:val="21"/>
        </w:rPr>
        <w:t>条的规定，在中标的投标人签署了合同协议书并根据第4</w:t>
      </w:r>
      <w:r>
        <w:rPr>
          <w:szCs w:val="21"/>
        </w:rPr>
        <w:t>1</w:t>
      </w:r>
      <w:r>
        <w:rPr>
          <w:rFonts w:hint="eastAsia"/>
          <w:szCs w:val="21"/>
        </w:rPr>
        <w:t>条递交了履约保证金</w:t>
      </w:r>
      <w:r>
        <w:rPr>
          <w:rFonts w:hint="eastAsia" w:ascii="宋体" w:hAnsi="宋体"/>
          <w:szCs w:val="21"/>
        </w:rPr>
        <w:t>以及环境-社会-健康-安全保证金（如</w:t>
      </w:r>
      <w:r>
        <w:rPr>
          <w:rFonts w:hint="eastAsia" w:ascii="宋体" w:hAnsi="宋体"/>
          <w:b/>
          <w:bCs/>
          <w:szCs w:val="21"/>
        </w:rPr>
        <w:t>“投标资料表”</w:t>
      </w:r>
      <w:r>
        <w:rPr>
          <w:rFonts w:hint="eastAsia" w:ascii="宋体" w:hAnsi="宋体"/>
          <w:szCs w:val="21"/>
        </w:rPr>
        <w:t>要求）</w:t>
      </w:r>
      <w:r>
        <w:rPr>
          <w:rFonts w:hint="eastAsia"/>
          <w:szCs w:val="21"/>
        </w:rPr>
        <w:t>后立即退还。</w:t>
      </w:r>
    </w:p>
    <w:p>
      <w:pPr>
        <w:spacing w:before="120" w:after="120" w:line="240" w:lineRule="atLeast"/>
        <w:ind w:firstLine="420" w:firstLineChars="200"/>
        <w:textAlignment w:val="auto"/>
        <w:rPr>
          <w:szCs w:val="21"/>
        </w:rPr>
      </w:pPr>
      <w:r>
        <w:rPr>
          <w:rFonts w:hint="eastAsia"/>
          <w:szCs w:val="21"/>
        </w:rPr>
        <w:t>19.5　中标人的投标保证金，业主将在中标人签署了合同并根据第4</w:t>
      </w:r>
      <w:r>
        <w:rPr>
          <w:szCs w:val="21"/>
        </w:rPr>
        <w:t>1</w:t>
      </w:r>
      <w:r>
        <w:rPr>
          <w:rFonts w:hint="eastAsia"/>
          <w:szCs w:val="21"/>
        </w:rPr>
        <w:t>条递交了所要求的履约保证金</w:t>
      </w:r>
      <w:r>
        <w:rPr>
          <w:rFonts w:hint="eastAsia" w:ascii="宋体" w:hAnsi="宋体"/>
          <w:szCs w:val="21"/>
        </w:rPr>
        <w:t>以及环境-社会-健康-安全保证金（如</w:t>
      </w:r>
      <w:r>
        <w:rPr>
          <w:rFonts w:hint="eastAsia" w:ascii="宋体" w:hAnsi="宋体"/>
          <w:b/>
          <w:bCs/>
          <w:szCs w:val="21"/>
        </w:rPr>
        <w:t>“投标资料表”</w:t>
      </w:r>
      <w:r>
        <w:rPr>
          <w:rFonts w:hint="eastAsia" w:ascii="宋体" w:hAnsi="宋体"/>
          <w:szCs w:val="21"/>
        </w:rPr>
        <w:t>要求）</w:t>
      </w:r>
      <w:r>
        <w:rPr>
          <w:rFonts w:hint="eastAsia"/>
          <w:szCs w:val="21"/>
        </w:rPr>
        <w:t>后尽快退还。</w:t>
      </w:r>
    </w:p>
    <w:p>
      <w:pPr>
        <w:spacing w:before="120" w:after="120" w:line="240" w:lineRule="atLeast"/>
        <w:ind w:firstLine="420" w:firstLineChars="200"/>
        <w:textAlignment w:val="auto"/>
        <w:rPr>
          <w:szCs w:val="21"/>
        </w:rPr>
      </w:pPr>
      <w:r>
        <w:rPr>
          <w:rFonts w:hint="eastAsia"/>
          <w:szCs w:val="21"/>
        </w:rPr>
        <w:t>19.6　如果发生下列任何一种情况，投标保证金将被没收：</w:t>
      </w:r>
    </w:p>
    <w:p>
      <w:pPr>
        <w:spacing w:before="120" w:after="120" w:line="240" w:lineRule="atLeast"/>
        <w:ind w:left="900" w:hanging="540"/>
        <w:jc w:val="left"/>
        <w:textAlignment w:val="auto"/>
        <w:rPr>
          <w:szCs w:val="21"/>
        </w:rPr>
      </w:pPr>
      <w:r>
        <w:rPr>
          <w:rFonts w:hint="eastAsia"/>
          <w:szCs w:val="21"/>
        </w:rPr>
        <w:t>（1）除“投标人须知”第</w:t>
      </w:r>
      <w:r>
        <w:rPr>
          <w:szCs w:val="21"/>
        </w:rPr>
        <w:t>18.2</w:t>
      </w:r>
      <w:r>
        <w:rPr>
          <w:rFonts w:hint="eastAsia"/>
          <w:szCs w:val="21"/>
        </w:rPr>
        <w:t>款规定的情况外，投标人在投标函中所规定的投标有效期内撤回其投标文件；</w:t>
      </w:r>
    </w:p>
    <w:p>
      <w:pPr>
        <w:spacing w:before="120" w:after="120" w:line="240" w:lineRule="atLeast"/>
        <w:ind w:left="900" w:hanging="540"/>
        <w:jc w:val="left"/>
        <w:textAlignment w:val="auto"/>
        <w:rPr>
          <w:szCs w:val="21"/>
        </w:rPr>
      </w:pPr>
      <w:r>
        <w:rPr>
          <w:rFonts w:hint="eastAsia"/>
          <w:szCs w:val="21"/>
        </w:rPr>
        <w:t>（2）中标人在规定期限内未能：</w:t>
      </w:r>
    </w:p>
    <w:p>
      <w:pPr>
        <w:pStyle w:val="102"/>
        <w:numPr>
          <w:ilvl w:val="0"/>
          <w:numId w:val="18"/>
        </w:numPr>
        <w:spacing w:before="120" w:after="120" w:line="240" w:lineRule="atLeast"/>
        <w:ind w:hanging="210" w:firstLineChars="0"/>
        <w:jc w:val="left"/>
        <w:rPr>
          <w:szCs w:val="21"/>
        </w:rPr>
      </w:pPr>
      <w:r>
        <w:rPr>
          <w:rFonts w:hint="eastAsia"/>
          <w:szCs w:val="21"/>
        </w:rPr>
        <w:t>根据“投标人须知”第</w:t>
      </w:r>
      <w:r>
        <w:rPr>
          <w:szCs w:val="21"/>
        </w:rPr>
        <w:t>40</w:t>
      </w:r>
      <w:r>
        <w:rPr>
          <w:rFonts w:hint="eastAsia"/>
          <w:szCs w:val="21"/>
        </w:rPr>
        <w:t>条的规定签订合同；</w:t>
      </w:r>
    </w:p>
    <w:p>
      <w:pPr>
        <w:pStyle w:val="102"/>
        <w:numPr>
          <w:ilvl w:val="0"/>
          <w:numId w:val="18"/>
        </w:numPr>
        <w:spacing w:before="120" w:after="120" w:line="240" w:lineRule="atLeast"/>
        <w:ind w:hanging="210" w:firstLineChars="0"/>
        <w:jc w:val="left"/>
        <w:rPr>
          <w:szCs w:val="21"/>
        </w:rPr>
      </w:pPr>
      <w:r>
        <w:rPr>
          <w:rFonts w:hint="eastAsia"/>
          <w:szCs w:val="21"/>
        </w:rPr>
        <w:t>根据“投标人须知”第</w:t>
      </w:r>
      <w:r>
        <w:rPr>
          <w:szCs w:val="21"/>
        </w:rPr>
        <w:t>41</w:t>
      </w:r>
      <w:r>
        <w:rPr>
          <w:rFonts w:hint="eastAsia"/>
          <w:szCs w:val="21"/>
        </w:rPr>
        <w:t>条的规定递交履约保证金</w:t>
      </w:r>
      <w:r>
        <w:rPr>
          <w:rFonts w:hint="eastAsia" w:ascii="宋体" w:hAnsi="宋体"/>
          <w:szCs w:val="21"/>
        </w:rPr>
        <w:t>以及环境-社会-健康-安全保证金（如</w:t>
      </w:r>
      <w:r>
        <w:rPr>
          <w:rFonts w:hint="eastAsia" w:ascii="宋体" w:hAnsi="宋体"/>
          <w:b/>
          <w:bCs/>
          <w:szCs w:val="21"/>
        </w:rPr>
        <w:t>“投标资料表”</w:t>
      </w:r>
      <w:r>
        <w:rPr>
          <w:rFonts w:hint="eastAsia" w:ascii="宋体" w:hAnsi="宋体"/>
          <w:szCs w:val="21"/>
        </w:rPr>
        <w:t>要求）</w:t>
      </w:r>
      <w:r>
        <w:rPr>
          <w:rFonts w:hint="eastAsia"/>
          <w:szCs w:val="21"/>
        </w:rPr>
        <w:t>。</w:t>
      </w:r>
    </w:p>
    <w:p>
      <w:pPr>
        <w:spacing w:before="120" w:after="120" w:line="240" w:lineRule="atLeast"/>
        <w:ind w:firstLine="420" w:firstLineChars="200"/>
        <w:textAlignment w:val="auto"/>
        <w:rPr>
          <w:szCs w:val="21"/>
        </w:rPr>
      </w:pPr>
      <w:r>
        <w:rPr>
          <w:rFonts w:hint="eastAsia"/>
          <w:szCs w:val="21"/>
        </w:rPr>
        <w:t>19.7　除非“</w:t>
      </w:r>
      <w:r>
        <w:rPr>
          <w:rFonts w:hint="eastAsia"/>
          <w:b/>
          <w:szCs w:val="21"/>
        </w:rPr>
        <w:t>投标资料表</w:t>
      </w:r>
      <w:r>
        <w:rPr>
          <w:rFonts w:hint="eastAsia"/>
          <w:szCs w:val="21"/>
        </w:rPr>
        <w:t>”另有规定，联合体的投标保证金必须以递交投标文件的联合体的名义递交。如果在递交投标文件时该联合体尚未在法律上成立，联合体的投标保证金则必须以本招标文件第四章中投标人信息表第</w:t>
      </w:r>
      <w:r>
        <w:rPr>
          <w:szCs w:val="21"/>
        </w:rPr>
        <w:t>7</w:t>
      </w:r>
      <w:r>
        <w:rPr>
          <w:rFonts w:hint="eastAsia"/>
          <w:szCs w:val="21"/>
        </w:rPr>
        <w:t>项所提及的联合意向协议中的全体联合体成员的名义递交。</w:t>
      </w:r>
    </w:p>
    <w:p>
      <w:pPr>
        <w:pStyle w:val="5"/>
      </w:pPr>
      <w:bookmarkStart w:id="404" w:name="_Toc79667247"/>
      <w:bookmarkStart w:id="405" w:name="_Toc110263874"/>
      <w:bookmarkStart w:id="406" w:name="_Toc171063077"/>
      <w:bookmarkStart w:id="407" w:name="_Toc391287300"/>
      <w:bookmarkStart w:id="408" w:name="_Toc128396305"/>
      <w:bookmarkStart w:id="409" w:name="_Toc324772169"/>
      <w:bookmarkStart w:id="410" w:name="_Toc128391532"/>
      <w:bookmarkStart w:id="411" w:name="_Toc169103214"/>
      <w:bookmarkStart w:id="412" w:name="_Toc168753157"/>
      <w:bookmarkStart w:id="413" w:name="_Toc79668225"/>
      <w:bookmarkStart w:id="414" w:name="_Toc171061166"/>
      <w:bookmarkStart w:id="415" w:name="_Toc110262680"/>
      <w:bookmarkStart w:id="416" w:name="_Toc128391179"/>
      <w:bookmarkStart w:id="417" w:name="_Toc110264335"/>
      <w:bookmarkStart w:id="418" w:name="_Toc128391432"/>
      <w:bookmarkStart w:id="419" w:name="_Toc110267608"/>
      <w:r>
        <w:rPr>
          <w:rFonts w:hint="eastAsia"/>
        </w:rPr>
        <w:t>第20条　投标文件的式样和签署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spacing w:before="120" w:after="120" w:line="240" w:lineRule="atLeast"/>
        <w:ind w:firstLine="420" w:firstLineChars="200"/>
        <w:textAlignment w:val="auto"/>
        <w:rPr>
          <w:szCs w:val="21"/>
        </w:rPr>
      </w:pPr>
      <w:r>
        <w:rPr>
          <w:rFonts w:hint="eastAsia"/>
          <w:szCs w:val="21"/>
        </w:rPr>
        <w:t>20.1　投标人应编制一套包括“投标人须知”第</w:t>
      </w:r>
      <w:r>
        <w:rPr>
          <w:szCs w:val="21"/>
        </w:rPr>
        <w:t>11</w:t>
      </w:r>
      <w:r>
        <w:rPr>
          <w:rFonts w:hint="eastAsia"/>
          <w:szCs w:val="21"/>
        </w:rPr>
        <w:t>条规定文件在内的投标文件正本一份，并清楚地标明“正本”字样。如果“投标人须知”第</w:t>
      </w:r>
      <w:r>
        <w:rPr>
          <w:szCs w:val="21"/>
        </w:rPr>
        <w:t>13</w:t>
      </w:r>
      <w:r>
        <w:rPr>
          <w:rFonts w:hint="eastAsia"/>
          <w:szCs w:val="21"/>
        </w:rPr>
        <w:t>条允许，替代方案投标文件应清楚地标明“替代方案”字样。另外，投标人还应递交</w:t>
      </w:r>
      <w:r>
        <w:rPr>
          <w:rFonts w:hint="eastAsia"/>
          <w:b/>
          <w:szCs w:val="21"/>
        </w:rPr>
        <w:t>“投标资料表”</w:t>
      </w:r>
      <w:r>
        <w:rPr>
          <w:rFonts w:hint="eastAsia"/>
          <w:szCs w:val="21"/>
        </w:rPr>
        <w:t>规定数量的副本，并且在每一份副本上清楚地标明“副本”字样。正本与副本内容不相符时，以正本为准。</w:t>
      </w:r>
    </w:p>
    <w:p>
      <w:pPr>
        <w:spacing w:before="120" w:after="120" w:line="240" w:lineRule="atLeast"/>
        <w:ind w:firstLine="420" w:firstLineChars="200"/>
        <w:textAlignment w:val="auto"/>
        <w:rPr>
          <w:szCs w:val="21"/>
        </w:rPr>
      </w:pPr>
      <w:r>
        <w:rPr>
          <w:rFonts w:hint="eastAsia"/>
          <w:szCs w:val="21"/>
        </w:rPr>
        <w:t>20.2　投标文件的正本和所有的副本均应打印或用不退色墨水书写，由被正式授权的人员代表投标人签字。签字人的姓名与职务还应同时使用正楷书写或打印在签字的下方。该授权应包括</w:t>
      </w:r>
      <w:r>
        <w:rPr>
          <w:rFonts w:hint="eastAsia"/>
          <w:b/>
          <w:szCs w:val="21"/>
        </w:rPr>
        <w:t>“投标资料表”</w:t>
      </w:r>
      <w:r>
        <w:rPr>
          <w:rFonts w:hint="eastAsia"/>
          <w:szCs w:val="21"/>
        </w:rPr>
        <w:t>规定的书面确认书，且应包括在投标文件之中。</w:t>
      </w:r>
    </w:p>
    <w:p>
      <w:pPr>
        <w:spacing w:before="120" w:after="120" w:line="240" w:lineRule="atLeast"/>
        <w:ind w:firstLine="420" w:firstLineChars="200"/>
        <w:textAlignment w:val="auto"/>
        <w:rPr>
          <w:szCs w:val="21"/>
        </w:rPr>
      </w:pPr>
      <w:r>
        <w:rPr>
          <w:rFonts w:hint="eastAsia"/>
          <w:szCs w:val="21"/>
        </w:rPr>
        <w:t>20.3　任何通过行间插字、删除和改写所做的涂改均应经投标文件签字人签字方才有效。</w:t>
      </w:r>
    </w:p>
    <w:p>
      <w:pPr>
        <w:pStyle w:val="4"/>
        <w:rPr>
          <w:lang w:val="en-US"/>
        </w:rPr>
      </w:pPr>
      <w:bookmarkStart w:id="420" w:name="_Toc128391533"/>
      <w:bookmarkStart w:id="421" w:name="_Toc110267609"/>
      <w:bookmarkStart w:id="422" w:name="_Toc110268515"/>
      <w:bookmarkStart w:id="423" w:name="_Toc110263875"/>
      <w:bookmarkStart w:id="424" w:name="_Toc171061167"/>
      <w:bookmarkStart w:id="425" w:name="_Toc110272049"/>
      <w:bookmarkStart w:id="426" w:name="_Toc324772170"/>
      <w:bookmarkStart w:id="427" w:name="_Toc128391433"/>
      <w:bookmarkStart w:id="428" w:name="_Toc171063078"/>
      <w:bookmarkStart w:id="429" w:name="_Toc128391180"/>
      <w:bookmarkStart w:id="430" w:name="_Toc79668226"/>
      <w:bookmarkStart w:id="431" w:name="_Toc110262681"/>
      <w:bookmarkStart w:id="432" w:name="_Toc128396306"/>
      <w:bookmarkStart w:id="433" w:name="_Toc168753158"/>
      <w:bookmarkStart w:id="434" w:name="_Toc79667248"/>
      <w:bookmarkStart w:id="435" w:name="_Toc110264725"/>
      <w:bookmarkStart w:id="436" w:name="_Toc110264778"/>
      <w:bookmarkStart w:id="437" w:name="_Toc110265178"/>
      <w:bookmarkStart w:id="438" w:name="_Toc110264336"/>
      <w:bookmarkStart w:id="439" w:name="_Toc110264942"/>
      <w:bookmarkStart w:id="440" w:name="_Toc391287301"/>
      <w:bookmarkStart w:id="441" w:name="_Toc169103215"/>
      <w:r>
        <w:rPr>
          <w:rFonts w:hint="eastAsia"/>
        </w:rPr>
        <w:t>第四节　投标文件的递交和开启</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5"/>
      </w:pPr>
      <w:bookmarkStart w:id="442" w:name="_Toc110263876"/>
      <w:bookmarkStart w:id="443" w:name="_Toc128396307"/>
      <w:bookmarkStart w:id="444" w:name="_Toc168753159"/>
      <w:bookmarkStart w:id="445" w:name="_Toc128391534"/>
      <w:bookmarkStart w:id="446" w:name="_Toc110262682"/>
      <w:bookmarkStart w:id="447" w:name="_Toc171063079"/>
      <w:bookmarkStart w:id="448" w:name="_Toc110264337"/>
      <w:bookmarkStart w:id="449" w:name="_Toc79668227"/>
      <w:bookmarkStart w:id="450" w:name="_Toc169103216"/>
      <w:bookmarkStart w:id="451" w:name="_Toc128391181"/>
      <w:bookmarkStart w:id="452" w:name="_Toc171061168"/>
      <w:bookmarkStart w:id="453" w:name="_Toc128391434"/>
      <w:bookmarkStart w:id="454" w:name="_Toc110267610"/>
      <w:bookmarkStart w:id="455" w:name="_Toc324772171"/>
      <w:bookmarkStart w:id="456" w:name="_Toc391287302"/>
      <w:bookmarkStart w:id="457" w:name="_Toc79667249"/>
      <w:r>
        <w:rPr>
          <w:rFonts w:hint="eastAsia"/>
        </w:rPr>
        <w:t>第21条　投标文件的递交、密封和标记</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spacing w:before="120" w:after="120" w:line="240" w:lineRule="atLeast"/>
        <w:ind w:firstLine="420" w:firstLineChars="200"/>
        <w:textAlignment w:val="auto"/>
        <w:rPr>
          <w:szCs w:val="21"/>
        </w:rPr>
      </w:pPr>
      <w:r>
        <w:rPr>
          <w:rFonts w:hint="eastAsia"/>
          <w:szCs w:val="21"/>
        </w:rPr>
        <w:t>21.1　除非“投标资料表”允许投标人选用电子方式递交投标文件，投标人应采用邮寄或人员递交的方式递交投标文件。投标文件的递交、密封和标记方式如下：</w:t>
      </w:r>
    </w:p>
    <w:p>
      <w:pPr>
        <w:spacing w:before="120" w:after="120" w:line="240" w:lineRule="atLeast"/>
        <w:ind w:left="936" w:hanging="576"/>
        <w:jc w:val="left"/>
        <w:textAlignment w:val="auto"/>
        <w:rPr>
          <w:szCs w:val="21"/>
        </w:rPr>
      </w:pPr>
      <w:r>
        <w:rPr>
          <w:rFonts w:hint="eastAsia"/>
          <w:szCs w:val="21"/>
        </w:rPr>
        <w:t>（1）采用邮寄或人员递交方式递交投标文件的投标人，应将投标文件正本和每一份副本（如果“投标人须知”第</w:t>
      </w:r>
      <w:r>
        <w:rPr>
          <w:szCs w:val="21"/>
        </w:rPr>
        <w:t>13</w:t>
      </w:r>
      <w:r>
        <w:rPr>
          <w:rFonts w:hint="eastAsia"/>
          <w:szCs w:val="21"/>
        </w:rPr>
        <w:t>条允许，还应包括替代方案投标文件）分别密封装在单独的信封中，且在信封上标明“正本”、“副本”或“替代方案”字样。然后，再将所有包含正本、副本和替代方案的信封装在另一个信封中。其它的程序应是满足“投标人须知”第</w:t>
      </w:r>
      <w:r>
        <w:rPr>
          <w:szCs w:val="21"/>
        </w:rPr>
        <w:t>2</w:t>
      </w:r>
      <w:r>
        <w:rPr>
          <w:rFonts w:hint="eastAsia"/>
          <w:szCs w:val="21"/>
        </w:rPr>
        <w:t>1</w:t>
      </w:r>
      <w:r>
        <w:rPr>
          <w:szCs w:val="21"/>
        </w:rPr>
        <w:t>.2</w:t>
      </w:r>
      <w:r>
        <w:rPr>
          <w:rFonts w:hint="eastAsia"/>
          <w:szCs w:val="21"/>
        </w:rPr>
        <w:t>款</w:t>
      </w:r>
      <w:r>
        <w:rPr>
          <w:szCs w:val="21"/>
        </w:rPr>
        <w:t>和第2</w:t>
      </w:r>
      <w:r>
        <w:rPr>
          <w:rFonts w:hint="eastAsia"/>
          <w:szCs w:val="21"/>
        </w:rPr>
        <w:t>1</w:t>
      </w:r>
      <w:r>
        <w:rPr>
          <w:szCs w:val="21"/>
        </w:rPr>
        <w:t>.3</w:t>
      </w:r>
      <w:r>
        <w:rPr>
          <w:rFonts w:hint="eastAsia"/>
          <w:szCs w:val="21"/>
        </w:rPr>
        <w:t>款</w:t>
      </w:r>
      <w:r>
        <w:rPr>
          <w:szCs w:val="21"/>
        </w:rPr>
        <w:t>的要求。</w:t>
      </w:r>
    </w:p>
    <w:p>
      <w:pPr>
        <w:spacing w:before="120" w:after="120" w:line="240" w:lineRule="atLeast"/>
        <w:ind w:left="936" w:hanging="576"/>
        <w:jc w:val="left"/>
        <w:textAlignment w:val="auto"/>
        <w:rPr>
          <w:szCs w:val="21"/>
        </w:rPr>
      </w:pPr>
      <w:r>
        <w:rPr>
          <w:rFonts w:hint="eastAsia"/>
          <w:szCs w:val="21"/>
        </w:rPr>
        <w:t>（2）如果允许使用电子方式递交投标文件，投标人应遵循</w:t>
      </w:r>
      <w:r>
        <w:rPr>
          <w:rFonts w:hint="eastAsia"/>
          <w:b/>
          <w:bCs/>
          <w:szCs w:val="21"/>
        </w:rPr>
        <w:t>“投标资料表”</w:t>
      </w:r>
      <w:r>
        <w:rPr>
          <w:rFonts w:hint="eastAsia"/>
          <w:szCs w:val="21"/>
        </w:rPr>
        <w:t>规定的电子方式递交投标文件的程序。</w:t>
      </w:r>
    </w:p>
    <w:p>
      <w:pPr>
        <w:spacing w:before="120" w:after="120" w:line="240" w:lineRule="atLeast"/>
        <w:ind w:firstLine="420" w:firstLineChars="200"/>
        <w:textAlignment w:val="auto"/>
        <w:rPr>
          <w:szCs w:val="21"/>
        </w:rPr>
      </w:pPr>
      <w:r>
        <w:rPr>
          <w:rFonts w:hint="eastAsia"/>
          <w:szCs w:val="21"/>
        </w:rPr>
        <w:t>21.2　内外信封均应：</w:t>
      </w:r>
    </w:p>
    <w:p>
      <w:pPr>
        <w:spacing w:before="120" w:after="120" w:line="240" w:lineRule="atLeast"/>
        <w:ind w:left="900" w:hanging="540"/>
        <w:jc w:val="left"/>
        <w:textAlignment w:val="auto"/>
        <w:rPr>
          <w:szCs w:val="21"/>
        </w:rPr>
      </w:pPr>
      <w:r>
        <w:rPr>
          <w:rFonts w:hint="eastAsia"/>
          <w:szCs w:val="21"/>
        </w:rPr>
        <w:t>（1）注明投标人的名称和地址；</w:t>
      </w:r>
    </w:p>
    <w:p>
      <w:pPr>
        <w:spacing w:before="120" w:after="120" w:line="240" w:lineRule="atLeast"/>
        <w:ind w:left="900" w:hanging="540"/>
        <w:jc w:val="left"/>
        <w:textAlignment w:val="auto"/>
        <w:rPr>
          <w:szCs w:val="21"/>
        </w:rPr>
      </w:pPr>
      <w:r>
        <w:rPr>
          <w:rFonts w:hint="eastAsia"/>
          <w:szCs w:val="21"/>
        </w:rPr>
        <w:t>（2）根据“投标人须知”第22.1款的规定，写明业主地址；</w:t>
      </w:r>
    </w:p>
    <w:p>
      <w:pPr>
        <w:spacing w:before="120" w:after="120" w:line="240" w:lineRule="atLeast"/>
        <w:ind w:left="900" w:hanging="540"/>
        <w:jc w:val="left"/>
        <w:textAlignment w:val="auto"/>
        <w:rPr>
          <w:szCs w:val="21"/>
        </w:rPr>
      </w:pPr>
      <w:r>
        <w:rPr>
          <w:rFonts w:hint="eastAsia"/>
          <w:szCs w:val="21"/>
        </w:rPr>
        <w:t>（3）注明“投标人须知”第1.1款规定的特别标识和</w:t>
      </w:r>
      <w:r>
        <w:rPr>
          <w:rFonts w:hint="eastAsia"/>
          <w:b/>
          <w:bCs/>
          <w:szCs w:val="21"/>
        </w:rPr>
        <w:t>“投标资料表”</w:t>
      </w:r>
      <w:r>
        <w:rPr>
          <w:rFonts w:hint="eastAsia"/>
          <w:szCs w:val="21"/>
        </w:rPr>
        <w:t>规定的其它标识；</w:t>
      </w:r>
    </w:p>
    <w:p>
      <w:pPr>
        <w:spacing w:before="120" w:after="120" w:line="240" w:lineRule="atLeast"/>
        <w:ind w:left="900" w:hanging="540"/>
        <w:jc w:val="left"/>
        <w:textAlignment w:val="auto"/>
        <w:rPr>
          <w:szCs w:val="21"/>
        </w:rPr>
      </w:pPr>
      <w:r>
        <w:rPr>
          <w:rFonts w:hint="eastAsia"/>
          <w:szCs w:val="21"/>
        </w:rPr>
        <w:t>（4）注明“投标人须知”第25.1款规定的开标时间之前不得启封的警告字样。</w:t>
      </w:r>
    </w:p>
    <w:p>
      <w:pPr>
        <w:spacing w:before="120" w:after="120" w:line="240" w:lineRule="atLeast"/>
        <w:ind w:firstLine="420" w:firstLineChars="200"/>
        <w:textAlignment w:val="auto"/>
        <w:rPr>
          <w:szCs w:val="21"/>
        </w:rPr>
      </w:pPr>
      <w:r>
        <w:rPr>
          <w:szCs w:val="21"/>
        </w:rPr>
        <w:t>2</w:t>
      </w:r>
      <w:r>
        <w:rPr>
          <w:rFonts w:hint="eastAsia"/>
          <w:szCs w:val="21"/>
        </w:rPr>
        <w:t>1</w:t>
      </w:r>
      <w:r>
        <w:rPr>
          <w:szCs w:val="21"/>
        </w:rPr>
        <w:t>.3</w:t>
      </w:r>
      <w:r>
        <w:rPr>
          <w:rFonts w:hint="eastAsia"/>
          <w:szCs w:val="21"/>
        </w:rPr>
        <w:t>　如果全部信封未按要求密封和加注标记，业主对误投或过早启封概不负责。</w:t>
      </w:r>
    </w:p>
    <w:p>
      <w:pPr>
        <w:pStyle w:val="5"/>
      </w:pPr>
      <w:bookmarkStart w:id="458" w:name="_Toc168753160"/>
      <w:bookmarkStart w:id="459" w:name="_Toc79667250"/>
      <w:bookmarkStart w:id="460" w:name="_Toc128391182"/>
      <w:bookmarkStart w:id="461" w:name="_Toc128391535"/>
      <w:bookmarkStart w:id="462" w:name="_Toc128391435"/>
      <w:bookmarkStart w:id="463" w:name="_Toc79668228"/>
      <w:bookmarkStart w:id="464" w:name="_Toc128396308"/>
      <w:bookmarkStart w:id="465" w:name="_Toc171063080"/>
      <w:bookmarkStart w:id="466" w:name="_Toc110264338"/>
      <w:bookmarkStart w:id="467" w:name="_Toc391287303"/>
      <w:bookmarkStart w:id="468" w:name="_Toc324772172"/>
      <w:bookmarkStart w:id="469" w:name="_Toc110262683"/>
      <w:bookmarkStart w:id="470" w:name="_Toc169103217"/>
      <w:bookmarkStart w:id="471" w:name="_Toc171061169"/>
      <w:bookmarkStart w:id="472" w:name="_Toc110267611"/>
      <w:bookmarkStart w:id="473" w:name="_Toc110263877"/>
      <w:r>
        <w:rPr>
          <w:rFonts w:hint="eastAsia"/>
        </w:rPr>
        <w:t>第22条　</w:t>
      </w:r>
      <w:bookmarkEnd w:id="458"/>
      <w:bookmarkEnd w:id="459"/>
      <w:bookmarkEnd w:id="460"/>
      <w:bookmarkEnd w:id="461"/>
      <w:bookmarkEnd w:id="462"/>
      <w:bookmarkEnd w:id="463"/>
      <w:bookmarkEnd w:id="464"/>
      <w:r>
        <w:rPr>
          <w:rFonts w:hint="eastAsia"/>
        </w:rPr>
        <w:t>投标截止时间</w:t>
      </w:r>
      <w:bookmarkEnd w:id="465"/>
      <w:bookmarkEnd w:id="466"/>
      <w:bookmarkEnd w:id="467"/>
      <w:bookmarkEnd w:id="468"/>
      <w:bookmarkEnd w:id="469"/>
      <w:bookmarkEnd w:id="470"/>
      <w:bookmarkEnd w:id="471"/>
      <w:bookmarkEnd w:id="472"/>
      <w:bookmarkEnd w:id="473"/>
    </w:p>
    <w:p>
      <w:pPr>
        <w:spacing w:before="120" w:after="120" w:line="240" w:lineRule="atLeast"/>
        <w:ind w:firstLine="420" w:firstLineChars="200"/>
        <w:textAlignment w:val="auto"/>
        <w:rPr>
          <w:szCs w:val="21"/>
        </w:rPr>
      </w:pPr>
      <w:r>
        <w:rPr>
          <w:rFonts w:hint="eastAsia"/>
          <w:szCs w:val="21"/>
        </w:rPr>
        <w:t>22.1　投标人应使业主在</w:t>
      </w:r>
      <w:r>
        <w:rPr>
          <w:rFonts w:hint="eastAsia"/>
          <w:b/>
          <w:szCs w:val="21"/>
        </w:rPr>
        <w:t>“投标资料表”</w:t>
      </w:r>
      <w:r>
        <w:rPr>
          <w:rFonts w:hint="eastAsia"/>
          <w:szCs w:val="21"/>
        </w:rPr>
        <w:t>规定的地址和投标截止时间之前收到投标文件。</w:t>
      </w:r>
    </w:p>
    <w:p>
      <w:pPr>
        <w:spacing w:before="120" w:after="120" w:line="240" w:lineRule="atLeast"/>
        <w:ind w:firstLine="420" w:firstLineChars="200"/>
        <w:textAlignment w:val="auto"/>
        <w:rPr>
          <w:szCs w:val="21"/>
        </w:rPr>
      </w:pPr>
      <w:r>
        <w:rPr>
          <w:rFonts w:hint="eastAsia"/>
          <w:szCs w:val="21"/>
        </w:rPr>
        <w:t>22.2　业主可以根据“投标人须知”第</w:t>
      </w:r>
      <w:r>
        <w:rPr>
          <w:szCs w:val="21"/>
        </w:rPr>
        <w:t>8</w:t>
      </w:r>
      <w:r>
        <w:rPr>
          <w:rFonts w:hint="eastAsia"/>
          <w:szCs w:val="21"/>
        </w:rPr>
        <w:t>条的规定，自行决定通过修改招标文件而延后投标截止时间。在此情况下，业主和投标人与前一投标截止时间相关的权利和义务均应相应延续至新的投标截止时间。</w:t>
      </w:r>
    </w:p>
    <w:p>
      <w:pPr>
        <w:pStyle w:val="5"/>
      </w:pPr>
      <w:bookmarkStart w:id="474" w:name="_Toc168753161"/>
      <w:bookmarkStart w:id="475" w:name="_Toc79668229"/>
      <w:bookmarkStart w:id="476" w:name="_Toc128391436"/>
      <w:bookmarkStart w:id="477" w:name="_Toc79667251"/>
      <w:bookmarkStart w:id="478" w:name="_Toc128391183"/>
      <w:bookmarkStart w:id="479" w:name="_Toc128396309"/>
      <w:bookmarkStart w:id="480" w:name="_Toc128391536"/>
      <w:bookmarkStart w:id="481" w:name="_Toc391287304"/>
      <w:bookmarkStart w:id="482" w:name="_Toc171063081"/>
      <w:bookmarkStart w:id="483" w:name="_Toc110267612"/>
      <w:bookmarkStart w:id="484" w:name="_Toc110262684"/>
      <w:bookmarkStart w:id="485" w:name="_Toc324772173"/>
      <w:bookmarkStart w:id="486" w:name="_Toc110264339"/>
      <w:bookmarkStart w:id="487" w:name="_Toc169103218"/>
      <w:bookmarkStart w:id="488" w:name="_Toc171061170"/>
      <w:bookmarkStart w:id="489" w:name="_Toc110263878"/>
      <w:r>
        <w:rPr>
          <w:rFonts w:hint="eastAsia"/>
        </w:rPr>
        <w:t>第</w:t>
      </w:r>
      <w:r>
        <w:t>2</w:t>
      </w:r>
      <w:r>
        <w:rPr>
          <w:rFonts w:hint="eastAsia"/>
        </w:rPr>
        <w:t>3条　迟交的</w:t>
      </w:r>
      <w:bookmarkEnd w:id="474"/>
      <w:bookmarkEnd w:id="475"/>
      <w:bookmarkEnd w:id="476"/>
      <w:bookmarkEnd w:id="477"/>
      <w:bookmarkEnd w:id="478"/>
      <w:bookmarkEnd w:id="479"/>
      <w:bookmarkEnd w:id="480"/>
      <w:r>
        <w:rPr>
          <w:rFonts w:hint="eastAsia"/>
        </w:rPr>
        <w:t>投标文件</w:t>
      </w:r>
      <w:bookmarkEnd w:id="481"/>
      <w:bookmarkEnd w:id="482"/>
      <w:bookmarkEnd w:id="483"/>
      <w:bookmarkEnd w:id="484"/>
      <w:bookmarkEnd w:id="485"/>
      <w:bookmarkEnd w:id="486"/>
      <w:bookmarkEnd w:id="487"/>
      <w:bookmarkEnd w:id="488"/>
      <w:bookmarkEnd w:id="489"/>
    </w:p>
    <w:p>
      <w:pPr>
        <w:spacing w:before="120" w:after="120" w:line="240" w:lineRule="atLeast"/>
        <w:ind w:firstLine="420" w:firstLineChars="200"/>
        <w:textAlignment w:val="auto"/>
        <w:rPr>
          <w:szCs w:val="21"/>
        </w:rPr>
      </w:pPr>
      <w:r>
        <w:rPr>
          <w:rFonts w:hint="eastAsia"/>
          <w:szCs w:val="21"/>
        </w:rPr>
        <w:t>23.1　根据“投标人须知”第</w:t>
      </w:r>
      <w:r>
        <w:rPr>
          <w:szCs w:val="21"/>
        </w:rPr>
        <w:t>2</w:t>
      </w:r>
      <w:r>
        <w:rPr>
          <w:rFonts w:hint="eastAsia"/>
          <w:szCs w:val="21"/>
        </w:rPr>
        <w:t>2条的规定，业主将不再考虑投标截止时间之后收到的投标文件。在规定的投标截止时间之后收到的任何投标文件都将被宣布为递交迟到而被拒绝接受，并原封退还给投标人。</w:t>
      </w:r>
    </w:p>
    <w:p>
      <w:pPr>
        <w:pStyle w:val="5"/>
      </w:pPr>
      <w:bookmarkStart w:id="490" w:name="_Toc128391437"/>
      <w:bookmarkStart w:id="491" w:name="_Toc110262685"/>
      <w:bookmarkStart w:id="492" w:name="_Toc391287305"/>
      <w:bookmarkStart w:id="493" w:name="_Toc168753162"/>
      <w:bookmarkStart w:id="494" w:name="_Toc128391537"/>
      <w:bookmarkStart w:id="495" w:name="_Toc128396310"/>
      <w:bookmarkStart w:id="496" w:name="_Toc171061171"/>
      <w:bookmarkStart w:id="497" w:name="_Toc169103219"/>
      <w:bookmarkStart w:id="498" w:name="_Toc79667252"/>
      <w:bookmarkStart w:id="499" w:name="_Toc110263879"/>
      <w:bookmarkStart w:id="500" w:name="_Toc110264340"/>
      <w:bookmarkStart w:id="501" w:name="_Toc79668230"/>
      <w:bookmarkStart w:id="502" w:name="_Toc110267613"/>
      <w:bookmarkStart w:id="503" w:name="_Toc171063082"/>
      <w:bookmarkStart w:id="504" w:name="_Toc324772174"/>
      <w:bookmarkStart w:id="505" w:name="_Toc128391184"/>
      <w:r>
        <w:rPr>
          <w:rFonts w:hint="eastAsia"/>
        </w:rPr>
        <w:t>第24条　投标文件的修改、替换和撤回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spacing w:before="120" w:after="120" w:line="240" w:lineRule="atLeast"/>
        <w:ind w:firstLine="420" w:firstLineChars="200"/>
        <w:textAlignment w:val="auto"/>
        <w:rPr>
          <w:szCs w:val="21"/>
        </w:rPr>
      </w:pPr>
      <w:r>
        <w:rPr>
          <w:rFonts w:hint="eastAsia"/>
          <w:szCs w:val="21"/>
        </w:rPr>
        <w:t>24.1　投标人在递交投标文件后，可根据“投标人须知”第</w:t>
      </w:r>
      <w:r>
        <w:rPr>
          <w:szCs w:val="21"/>
        </w:rPr>
        <w:t>21</w:t>
      </w:r>
      <w:r>
        <w:rPr>
          <w:rFonts w:hint="eastAsia"/>
          <w:szCs w:val="21"/>
        </w:rPr>
        <w:t>款的规定，通过递交书面通知修改、替换或撤回其投标文件。该书面通知应由授权代表签字，并附有“投标人须知”第</w:t>
      </w:r>
      <w:r>
        <w:rPr>
          <w:szCs w:val="21"/>
        </w:rPr>
        <w:t>2</w:t>
      </w:r>
      <w:r>
        <w:rPr>
          <w:rFonts w:hint="eastAsia"/>
          <w:szCs w:val="21"/>
        </w:rPr>
        <w:t>0</w:t>
      </w:r>
      <w:r>
        <w:rPr>
          <w:szCs w:val="21"/>
        </w:rPr>
        <w:t>.2</w:t>
      </w:r>
      <w:r>
        <w:rPr>
          <w:rFonts w:hint="eastAsia"/>
          <w:szCs w:val="21"/>
        </w:rPr>
        <w:t>款要求的授权书（撤回通知无需副本）。投标文件的替换或修改必须附有书面通知。所有通知都应：</w:t>
      </w:r>
    </w:p>
    <w:p>
      <w:pPr>
        <w:spacing w:before="120" w:after="120" w:line="240" w:lineRule="atLeast"/>
        <w:ind w:left="936" w:hanging="576"/>
        <w:jc w:val="left"/>
        <w:textAlignment w:val="auto"/>
        <w:rPr>
          <w:szCs w:val="21"/>
        </w:rPr>
      </w:pPr>
      <w:r>
        <w:rPr>
          <w:rFonts w:hint="eastAsia"/>
          <w:szCs w:val="21"/>
        </w:rPr>
        <w:t>（1）根据“投标人须知”第</w:t>
      </w:r>
      <w:r>
        <w:rPr>
          <w:szCs w:val="21"/>
        </w:rPr>
        <w:t>2</w:t>
      </w:r>
      <w:r>
        <w:rPr>
          <w:rFonts w:hint="eastAsia"/>
          <w:szCs w:val="21"/>
        </w:rPr>
        <w:t>0条</w:t>
      </w:r>
      <w:r>
        <w:rPr>
          <w:szCs w:val="21"/>
        </w:rPr>
        <w:t>和</w:t>
      </w:r>
      <w:r>
        <w:rPr>
          <w:rFonts w:hint="eastAsia"/>
          <w:szCs w:val="21"/>
        </w:rPr>
        <w:t>第</w:t>
      </w:r>
      <w:r>
        <w:rPr>
          <w:szCs w:val="21"/>
        </w:rPr>
        <w:t>2</w:t>
      </w:r>
      <w:r>
        <w:rPr>
          <w:rFonts w:hint="eastAsia"/>
          <w:szCs w:val="21"/>
        </w:rPr>
        <w:t>1条的规定准备和递交。此外，有关的信封必须清楚地标明“撤回”、“替换”或“修改”的字样；</w:t>
      </w:r>
    </w:p>
    <w:p>
      <w:pPr>
        <w:spacing w:before="120" w:after="120" w:line="240" w:lineRule="atLeast"/>
        <w:ind w:left="936" w:hanging="576"/>
        <w:jc w:val="left"/>
        <w:textAlignment w:val="auto"/>
        <w:rPr>
          <w:szCs w:val="21"/>
        </w:rPr>
      </w:pPr>
      <w:r>
        <w:rPr>
          <w:rFonts w:hint="eastAsia"/>
          <w:szCs w:val="21"/>
        </w:rPr>
        <w:t>（2）使业主在“投标人须知”第</w:t>
      </w:r>
      <w:r>
        <w:rPr>
          <w:szCs w:val="21"/>
        </w:rPr>
        <w:t>2</w:t>
      </w:r>
      <w:r>
        <w:rPr>
          <w:rFonts w:hint="eastAsia"/>
          <w:szCs w:val="21"/>
        </w:rPr>
        <w:t>2条规定的投标截止时间之前收到。</w:t>
      </w:r>
    </w:p>
    <w:p>
      <w:pPr>
        <w:spacing w:before="120" w:after="120" w:line="240" w:lineRule="atLeast"/>
        <w:ind w:firstLine="420" w:firstLineChars="200"/>
        <w:textAlignment w:val="auto"/>
        <w:rPr>
          <w:szCs w:val="21"/>
        </w:rPr>
      </w:pPr>
      <w:r>
        <w:rPr>
          <w:rFonts w:hint="eastAsia"/>
          <w:szCs w:val="21"/>
        </w:rPr>
        <w:t>24.2　根据“投标人须知”第</w:t>
      </w:r>
      <w:r>
        <w:rPr>
          <w:szCs w:val="21"/>
        </w:rPr>
        <w:t>2</w:t>
      </w:r>
      <w:r>
        <w:rPr>
          <w:rFonts w:hint="eastAsia"/>
          <w:szCs w:val="21"/>
        </w:rPr>
        <w:t>4</w:t>
      </w:r>
      <w:r>
        <w:rPr>
          <w:szCs w:val="21"/>
        </w:rPr>
        <w:t>.1</w:t>
      </w:r>
      <w:r>
        <w:rPr>
          <w:rFonts w:hint="eastAsia"/>
          <w:szCs w:val="21"/>
        </w:rPr>
        <w:t>款的规定而撤回的投标文件应原封退还给投标人。</w:t>
      </w:r>
    </w:p>
    <w:p>
      <w:pPr>
        <w:spacing w:before="120" w:after="120" w:line="240" w:lineRule="atLeast"/>
        <w:ind w:firstLine="420" w:firstLineChars="200"/>
        <w:textAlignment w:val="auto"/>
        <w:rPr>
          <w:szCs w:val="21"/>
        </w:rPr>
      </w:pPr>
      <w:r>
        <w:rPr>
          <w:rFonts w:hint="eastAsia"/>
          <w:szCs w:val="21"/>
        </w:rPr>
        <w:t>24.3　从投标截止时间至投标人在投标函中确定的投标有效期期满之前的这段时间内或延后的时间内，投标人不得撤回、替换或修改其投标文件。</w:t>
      </w:r>
    </w:p>
    <w:p>
      <w:pPr>
        <w:pStyle w:val="5"/>
      </w:pPr>
      <w:bookmarkStart w:id="506" w:name="_Toc128391185"/>
      <w:bookmarkStart w:id="507" w:name="_Toc128391438"/>
      <w:bookmarkStart w:id="508" w:name="_Toc391287306"/>
      <w:bookmarkStart w:id="509" w:name="_Toc110263880"/>
      <w:bookmarkStart w:id="510" w:name="_Toc169103220"/>
      <w:bookmarkStart w:id="511" w:name="_Toc171063083"/>
      <w:bookmarkStart w:id="512" w:name="_Toc168753163"/>
      <w:bookmarkStart w:id="513" w:name="_Toc79667253"/>
      <w:bookmarkStart w:id="514" w:name="_Toc171061172"/>
      <w:bookmarkStart w:id="515" w:name="_Toc128391538"/>
      <w:bookmarkStart w:id="516" w:name="_Toc128396311"/>
      <w:bookmarkStart w:id="517" w:name="_Toc110262686"/>
      <w:bookmarkStart w:id="518" w:name="_Toc110267614"/>
      <w:bookmarkStart w:id="519" w:name="_Toc324772175"/>
      <w:bookmarkStart w:id="520" w:name="_Toc110264341"/>
      <w:bookmarkStart w:id="521" w:name="_Toc79668231"/>
      <w:r>
        <w:rPr>
          <w:rFonts w:hint="eastAsia"/>
        </w:rPr>
        <w:t>第25条　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pacing w:before="120" w:after="120" w:line="240" w:lineRule="atLeast"/>
        <w:ind w:firstLine="420" w:firstLineChars="200"/>
        <w:textAlignment w:val="auto"/>
        <w:rPr>
          <w:szCs w:val="21"/>
        </w:rPr>
      </w:pPr>
      <w:r>
        <w:rPr>
          <w:rFonts w:hint="eastAsia"/>
          <w:szCs w:val="21"/>
        </w:rPr>
        <w:t>25.</w:t>
      </w:r>
      <w:r>
        <w:rPr>
          <w:szCs w:val="21"/>
        </w:rPr>
        <w:t>1</w:t>
      </w:r>
      <w:r>
        <w:rPr>
          <w:rFonts w:hint="eastAsia"/>
          <w:szCs w:val="21"/>
        </w:rPr>
        <w:t>　业主将在</w:t>
      </w:r>
      <w:r>
        <w:rPr>
          <w:rFonts w:hint="eastAsia"/>
          <w:b/>
          <w:szCs w:val="21"/>
        </w:rPr>
        <w:t>“投标资料表”</w:t>
      </w:r>
      <w:r>
        <w:rPr>
          <w:rFonts w:hint="eastAsia"/>
          <w:szCs w:val="21"/>
        </w:rPr>
        <w:t>规定的地点、日期和时间公开开标。如果“投标人须知”第</w:t>
      </w:r>
      <w:r>
        <w:rPr>
          <w:szCs w:val="21"/>
        </w:rPr>
        <w:t>2</w:t>
      </w:r>
      <w:r>
        <w:rPr>
          <w:rFonts w:hint="eastAsia"/>
          <w:szCs w:val="21"/>
        </w:rPr>
        <w:t>1</w:t>
      </w:r>
      <w:r>
        <w:rPr>
          <w:szCs w:val="21"/>
        </w:rPr>
        <w:t>.1</w:t>
      </w:r>
      <w:r>
        <w:rPr>
          <w:rFonts w:hint="eastAsia"/>
          <w:szCs w:val="21"/>
        </w:rPr>
        <w:t>款允许电子投标，业主将按照</w:t>
      </w:r>
      <w:r>
        <w:rPr>
          <w:rFonts w:hint="eastAsia"/>
          <w:b/>
          <w:szCs w:val="21"/>
        </w:rPr>
        <w:t>“投标资料表”</w:t>
      </w:r>
      <w:r>
        <w:rPr>
          <w:rFonts w:hint="eastAsia"/>
          <w:szCs w:val="21"/>
        </w:rPr>
        <w:t>规定的电子开标程序开标。</w:t>
      </w:r>
    </w:p>
    <w:p>
      <w:pPr>
        <w:spacing w:before="120" w:after="120" w:line="240" w:lineRule="atLeast"/>
        <w:ind w:firstLine="420" w:firstLineChars="200"/>
        <w:textAlignment w:val="auto"/>
        <w:rPr>
          <w:szCs w:val="21"/>
        </w:rPr>
      </w:pPr>
      <w:r>
        <w:rPr>
          <w:rFonts w:hint="eastAsia"/>
          <w:szCs w:val="21"/>
        </w:rPr>
        <w:t>25.2　首先，打开标有“撤回”字样的信封并宣读。装有相应投标文件的信封将不开启并原封退还投标人。如果收到的撤回书面通知中没有“授权书”证明签字是经授权代表投标人的，其投标文件将被启封。除非收到的撤回书面通知中包含有效的“授权书”并在开标时当众宣读，否则，不允许任何投标人撤回其投标文件。其次，打开标有“替换”字样的信封并宣读、记录和替换原来的投标文件。被替换的投标文件的信封将不开启并原封退还投标人。除非收到的替换书面通知中包含有效的“授权书”并在开标时当众宣读，否则，不允许任何投标人替换其投标文件。标有“修改”字样的信封将被打开并和原来的投标文件一起宣读和记录。除非收到的修改书面通知中包含有效的“授权书”并在开标时当众宣读和记录，否则，不允许任何投标人修改其投标文件。</w:t>
      </w:r>
      <w:r>
        <w:rPr>
          <w:rFonts w:hint="eastAsia" w:ascii="宋体" w:hAnsi="宋体"/>
          <w:szCs w:val="21"/>
        </w:rPr>
        <w:t>对投标文件包括投标价格的修改除非是装在单独的信封内并标识以“修改”，否则这种修改将不被考虑。</w:t>
      </w:r>
      <w:r>
        <w:rPr>
          <w:rFonts w:hint="eastAsia"/>
          <w:szCs w:val="21"/>
        </w:rPr>
        <w:t>只有在开标时启封、宣读和记录的投标文件才能在评标时给予考虑。</w:t>
      </w:r>
    </w:p>
    <w:p>
      <w:pPr>
        <w:spacing w:before="120" w:after="120" w:line="240" w:lineRule="atLeast"/>
        <w:ind w:firstLine="420" w:firstLineChars="200"/>
        <w:textAlignment w:val="auto"/>
        <w:rPr>
          <w:szCs w:val="21"/>
        </w:rPr>
      </w:pPr>
      <w:r>
        <w:rPr>
          <w:rFonts w:hint="eastAsia"/>
          <w:szCs w:val="21"/>
        </w:rPr>
        <w:t>25.</w:t>
      </w:r>
      <w:r>
        <w:rPr>
          <w:szCs w:val="21"/>
        </w:rPr>
        <w:t>3</w:t>
      </w:r>
      <w:r>
        <w:rPr>
          <w:rFonts w:hint="eastAsia"/>
          <w:szCs w:val="21"/>
        </w:rPr>
        <w:t>　其它投标文件将依次逐一启封、宣读，包括投标人名称及是否有修改；投标报价，包括折扣和替代报价；是否递交投标保证金；以及业主认为适当的其它细节。只有在开标时宣读和记录的折扣和替代报价才能在评标时给予进考虑。除根据“投标人须知”第</w:t>
      </w:r>
      <w:r>
        <w:rPr>
          <w:szCs w:val="21"/>
        </w:rPr>
        <w:t>2</w:t>
      </w:r>
      <w:r>
        <w:rPr>
          <w:rFonts w:hint="eastAsia"/>
          <w:szCs w:val="21"/>
        </w:rPr>
        <w:t>3</w:t>
      </w:r>
      <w:r>
        <w:rPr>
          <w:szCs w:val="21"/>
        </w:rPr>
        <w:t>.1</w:t>
      </w:r>
      <w:r>
        <w:rPr>
          <w:rFonts w:hint="eastAsia"/>
          <w:szCs w:val="21"/>
        </w:rPr>
        <w:t>款的规定拒绝迟到的投标文件外，开标时不得拒绝任何投标文件。</w:t>
      </w:r>
    </w:p>
    <w:p>
      <w:pPr>
        <w:keepNext/>
        <w:keepLines/>
        <w:spacing w:before="120" w:after="120" w:line="240" w:lineRule="atLeast"/>
        <w:ind w:firstLine="420" w:firstLineChars="200"/>
        <w:textAlignment w:val="auto"/>
        <w:rPr>
          <w:szCs w:val="21"/>
        </w:rPr>
      </w:pPr>
      <w:r>
        <w:rPr>
          <w:rFonts w:hint="eastAsia"/>
          <w:szCs w:val="21"/>
        </w:rPr>
        <w:t>25.4　业主应准备一份开标记录。开标记录至少应包括下列信息：投标人名称及是否有撤回、替换或修改；投标报价（如有可能，应按合同列出），包括折扣和允许的替代报价；是否递交了投标保证金。应要求参加开标的投标人代表在开标记录上签名。没有投标人签名的开标记录并不影响所记录的内容和其有效性。开标记录副本应送达全部</w:t>
      </w:r>
      <w:r>
        <w:rPr>
          <w:rFonts w:hint="eastAsia" w:ascii="宋体" w:hAnsi="宋体"/>
          <w:szCs w:val="21"/>
        </w:rPr>
        <w:t>按时投标的</w:t>
      </w:r>
      <w:r>
        <w:rPr>
          <w:rFonts w:hint="eastAsia"/>
          <w:szCs w:val="21"/>
        </w:rPr>
        <w:t>投标人。</w:t>
      </w:r>
    </w:p>
    <w:p>
      <w:pPr>
        <w:pStyle w:val="4"/>
      </w:pPr>
      <w:bookmarkStart w:id="522" w:name="_Toc79667254"/>
      <w:bookmarkStart w:id="523" w:name="_Toc391287307"/>
      <w:bookmarkStart w:id="524" w:name="_Toc168753164"/>
      <w:bookmarkStart w:id="525" w:name="_Toc128396312"/>
      <w:bookmarkStart w:id="526" w:name="_Toc110262687"/>
      <w:bookmarkStart w:id="527" w:name="_Toc110267615"/>
      <w:bookmarkStart w:id="528" w:name="_Toc169103221"/>
      <w:bookmarkStart w:id="529" w:name="_Toc110263881"/>
      <w:bookmarkStart w:id="530" w:name="_Toc110264726"/>
      <w:bookmarkStart w:id="531" w:name="_Toc110264943"/>
      <w:bookmarkStart w:id="532" w:name="_Toc171061173"/>
      <w:bookmarkStart w:id="533" w:name="_Toc324772176"/>
      <w:bookmarkStart w:id="534" w:name="_Toc128391539"/>
      <w:bookmarkStart w:id="535" w:name="_Toc110264342"/>
      <w:bookmarkStart w:id="536" w:name="_Toc128391186"/>
      <w:bookmarkStart w:id="537" w:name="_Toc110265179"/>
      <w:bookmarkStart w:id="538" w:name="_Toc110272050"/>
      <w:bookmarkStart w:id="539" w:name="_Toc171063084"/>
      <w:bookmarkStart w:id="540" w:name="_Toc79668232"/>
      <w:bookmarkStart w:id="541" w:name="_Toc110268516"/>
      <w:bookmarkStart w:id="542" w:name="_Toc128391439"/>
      <w:bookmarkStart w:id="543" w:name="_Toc110264779"/>
      <w:r>
        <w:rPr>
          <w:rFonts w:hint="eastAsia"/>
        </w:rPr>
        <w:t>第五节　投标文件的评审和比较</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5"/>
      </w:pPr>
      <w:bookmarkStart w:id="544" w:name="_Toc128391440"/>
      <w:bookmarkStart w:id="545" w:name="_Toc110264343"/>
      <w:bookmarkStart w:id="546" w:name="_Toc79668233"/>
      <w:bookmarkStart w:id="547" w:name="_Toc110263882"/>
      <w:bookmarkStart w:id="548" w:name="_Toc171063085"/>
      <w:bookmarkStart w:id="549" w:name="_Toc128391187"/>
      <w:bookmarkStart w:id="550" w:name="_Toc128391540"/>
      <w:bookmarkStart w:id="551" w:name="_Toc110267616"/>
      <w:bookmarkStart w:id="552" w:name="_Toc169103222"/>
      <w:bookmarkStart w:id="553" w:name="_Toc128396313"/>
      <w:bookmarkStart w:id="554" w:name="_Toc324772177"/>
      <w:bookmarkStart w:id="555" w:name="_Toc171061174"/>
      <w:bookmarkStart w:id="556" w:name="_Toc168753165"/>
      <w:bookmarkStart w:id="557" w:name="_Toc391287308"/>
      <w:bookmarkStart w:id="558" w:name="_Toc79667255"/>
      <w:bookmarkStart w:id="559" w:name="_Toc110262688"/>
      <w:r>
        <w:rPr>
          <w:rFonts w:hint="eastAsia"/>
        </w:rPr>
        <w:t>第</w:t>
      </w:r>
      <w:r>
        <w:t>2</w:t>
      </w:r>
      <w:r>
        <w:rPr>
          <w:rFonts w:hint="eastAsia"/>
        </w:rPr>
        <w:t>6条　保密</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spacing w:before="120" w:after="120" w:line="240" w:lineRule="atLeast"/>
        <w:ind w:firstLine="420" w:firstLineChars="200"/>
        <w:textAlignment w:val="auto"/>
        <w:rPr>
          <w:szCs w:val="21"/>
        </w:rPr>
      </w:pPr>
      <w:r>
        <w:rPr>
          <w:rFonts w:hint="eastAsia"/>
          <w:szCs w:val="21"/>
        </w:rPr>
        <w:t>26.1　在公布向中标人授予合同的决定之前，任何与投标文件的审查、评审和比较有关的、与对投标人的资格审查有关的、与合同授予建议有关的信息均不得向投标人或与该过程无关的其它人员披露。</w:t>
      </w:r>
    </w:p>
    <w:p>
      <w:pPr>
        <w:spacing w:before="120" w:after="120" w:line="240" w:lineRule="atLeast"/>
        <w:ind w:firstLine="420" w:firstLineChars="200"/>
        <w:textAlignment w:val="auto"/>
        <w:rPr>
          <w:szCs w:val="21"/>
        </w:rPr>
      </w:pPr>
      <w:r>
        <w:rPr>
          <w:rFonts w:hint="eastAsia"/>
          <w:szCs w:val="21"/>
        </w:rPr>
        <w:t>26.2　投标人试图在投标文件审查、评审和比较方面、在投标人资格审查方面或在授予合同决定等方面影响业主的行为均可能导致其投标被拒绝。</w:t>
      </w:r>
    </w:p>
    <w:p>
      <w:pPr>
        <w:spacing w:before="120" w:after="120" w:line="240" w:lineRule="atLeast"/>
        <w:ind w:firstLine="420" w:firstLineChars="200"/>
        <w:textAlignment w:val="auto"/>
        <w:rPr>
          <w:szCs w:val="21"/>
        </w:rPr>
      </w:pPr>
      <w:r>
        <w:rPr>
          <w:rFonts w:hint="eastAsia"/>
          <w:szCs w:val="21"/>
        </w:rPr>
        <w:t>26.3　尽管有“投标人须知”第</w:t>
      </w:r>
      <w:r>
        <w:rPr>
          <w:szCs w:val="21"/>
        </w:rPr>
        <w:t>2</w:t>
      </w:r>
      <w:r>
        <w:rPr>
          <w:rFonts w:hint="eastAsia"/>
          <w:szCs w:val="21"/>
        </w:rPr>
        <w:t>6</w:t>
      </w:r>
      <w:r>
        <w:rPr>
          <w:szCs w:val="21"/>
        </w:rPr>
        <w:t>.2</w:t>
      </w:r>
      <w:r>
        <w:rPr>
          <w:rFonts w:hint="eastAsia"/>
          <w:szCs w:val="21"/>
        </w:rPr>
        <w:t>款的规定，从开标至授予合同这段期间内，如果投标人希望就招投标过程中的有关问题与业主联系，投标人应以书面形式进行。</w:t>
      </w:r>
    </w:p>
    <w:p>
      <w:pPr>
        <w:pStyle w:val="5"/>
      </w:pPr>
      <w:bookmarkStart w:id="560" w:name="_Toc128391188"/>
      <w:bookmarkStart w:id="561" w:name="_Toc391287309"/>
      <w:bookmarkStart w:id="562" w:name="_Toc171063086"/>
      <w:bookmarkStart w:id="563" w:name="_Toc128396314"/>
      <w:bookmarkStart w:id="564" w:name="_Toc128391441"/>
      <w:bookmarkStart w:id="565" w:name="_Toc171061175"/>
      <w:bookmarkStart w:id="566" w:name="_Toc128391541"/>
      <w:bookmarkStart w:id="567" w:name="_Toc79667256"/>
      <w:bookmarkStart w:id="568" w:name="_Toc110267617"/>
      <w:bookmarkStart w:id="569" w:name="_Toc110264344"/>
      <w:bookmarkStart w:id="570" w:name="_Toc79668234"/>
      <w:bookmarkStart w:id="571" w:name="_Toc169103223"/>
      <w:bookmarkStart w:id="572" w:name="_Toc110262689"/>
      <w:bookmarkStart w:id="573" w:name="_Toc110263883"/>
      <w:bookmarkStart w:id="574" w:name="_Toc168753166"/>
      <w:bookmarkStart w:id="575" w:name="_Toc324772178"/>
      <w:r>
        <w:rPr>
          <w:rFonts w:hint="eastAsia"/>
        </w:rPr>
        <w:t>第</w:t>
      </w:r>
      <w:r>
        <w:t>2</w:t>
      </w:r>
      <w:r>
        <w:rPr>
          <w:rFonts w:hint="eastAsia"/>
        </w:rPr>
        <w:t>7条　投标文件的澄清</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before="120" w:after="120" w:line="240" w:lineRule="atLeast"/>
        <w:ind w:firstLine="420" w:firstLineChars="200"/>
        <w:textAlignment w:val="auto"/>
        <w:rPr>
          <w:szCs w:val="21"/>
        </w:rPr>
      </w:pPr>
      <w:r>
        <w:rPr>
          <w:szCs w:val="21"/>
        </w:rPr>
        <w:t>2</w:t>
      </w:r>
      <w:r>
        <w:rPr>
          <w:rFonts w:hint="eastAsia"/>
          <w:szCs w:val="21"/>
        </w:rPr>
        <w:t>7</w:t>
      </w:r>
      <w:r>
        <w:rPr>
          <w:szCs w:val="21"/>
        </w:rPr>
        <w:t>.1</w:t>
      </w:r>
      <w:r>
        <w:rPr>
          <w:rFonts w:hint="eastAsia"/>
          <w:szCs w:val="21"/>
        </w:rPr>
        <w:t>　为了协助对投标文件进行审查、评审和比较以及进行资格审查，业主可以自行决定，要求投标人对其投标文件进行澄清。投标人递交的、非应业主要求的澄清一概不予考虑。业主有关澄清的要求和投标人的回复均应采用书面形式。除根据“投标人须知”第</w:t>
      </w:r>
      <w:r>
        <w:rPr>
          <w:szCs w:val="21"/>
        </w:rPr>
        <w:t>31</w:t>
      </w:r>
      <w:r>
        <w:rPr>
          <w:rFonts w:hint="eastAsia"/>
          <w:szCs w:val="21"/>
        </w:rPr>
        <w:t>条的规定，对业主在投标文件评审时发现的计算错误进行更正外，不得寻求、提供或允许对投标报价或实质性内容做任何更改。</w:t>
      </w:r>
    </w:p>
    <w:p>
      <w:pPr>
        <w:spacing w:before="120" w:after="120" w:line="240" w:lineRule="atLeast"/>
        <w:ind w:firstLine="420" w:firstLineChars="200"/>
        <w:textAlignment w:val="auto"/>
        <w:rPr>
          <w:szCs w:val="21"/>
        </w:rPr>
      </w:pPr>
      <w:r>
        <w:rPr>
          <w:rFonts w:hint="eastAsia"/>
          <w:szCs w:val="21"/>
        </w:rPr>
        <w:t>27.2　如果投标人没有在业主的澄清要求所规定的时间内提供澄清所需的资料，其投标可被拒绝。</w:t>
      </w:r>
    </w:p>
    <w:p>
      <w:pPr>
        <w:pStyle w:val="5"/>
      </w:pPr>
      <w:bookmarkStart w:id="576" w:name="_Toc110267618"/>
      <w:bookmarkStart w:id="577" w:name="_Toc110263884"/>
      <w:bookmarkStart w:id="578" w:name="_Toc110264345"/>
      <w:bookmarkStart w:id="579" w:name="_Toc169103224"/>
      <w:bookmarkStart w:id="580" w:name="_Toc110262690"/>
      <w:bookmarkStart w:id="581" w:name="_Toc171063087"/>
      <w:bookmarkStart w:id="582" w:name="_Toc171061176"/>
      <w:bookmarkStart w:id="583" w:name="_Toc391287310"/>
      <w:bookmarkStart w:id="584" w:name="_Toc324772179"/>
      <w:bookmarkStart w:id="585" w:name="_Toc168753167"/>
      <w:bookmarkStart w:id="586" w:name="_Toc79667257"/>
      <w:bookmarkStart w:id="587" w:name="_Toc128396315"/>
      <w:bookmarkStart w:id="588" w:name="_Toc128391442"/>
      <w:bookmarkStart w:id="589" w:name="_Toc128391189"/>
      <w:bookmarkStart w:id="590" w:name="_Toc128391542"/>
      <w:bookmarkStart w:id="591" w:name="_Toc79668235"/>
      <w:r>
        <w:rPr>
          <w:rFonts w:hint="eastAsia"/>
        </w:rPr>
        <w:t>第28条　</w:t>
      </w:r>
      <w:bookmarkStart w:id="592" w:name="_Toc151866729"/>
      <w:r>
        <w:rPr>
          <w:rFonts w:hint="eastAsia"/>
        </w:rPr>
        <w:t>偏差、保留和遗漏</w:t>
      </w:r>
      <w:bookmarkEnd w:id="576"/>
      <w:bookmarkEnd w:id="577"/>
      <w:bookmarkEnd w:id="578"/>
      <w:bookmarkEnd w:id="579"/>
      <w:bookmarkEnd w:id="580"/>
      <w:bookmarkEnd w:id="581"/>
      <w:bookmarkEnd w:id="582"/>
      <w:bookmarkEnd w:id="583"/>
      <w:bookmarkEnd w:id="584"/>
      <w:bookmarkEnd w:id="592"/>
    </w:p>
    <w:p>
      <w:pPr>
        <w:spacing w:before="120" w:after="120" w:line="240" w:lineRule="atLeast"/>
        <w:ind w:firstLine="420" w:firstLineChars="200"/>
        <w:textAlignment w:val="auto"/>
        <w:rPr>
          <w:szCs w:val="21"/>
        </w:rPr>
      </w:pPr>
      <w:r>
        <w:rPr>
          <w:rFonts w:hint="eastAsia"/>
          <w:szCs w:val="21"/>
        </w:rPr>
        <w:t>28.1　在评标过程中，以下词语定义如下：</w:t>
      </w:r>
    </w:p>
    <w:p>
      <w:pPr>
        <w:spacing w:before="120" w:after="120" w:line="240" w:lineRule="atLeast"/>
        <w:ind w:left="936" w:hanging="576"/>
        <w:jc w:val="left"/>
        <w:textAlignment w:val="auto"/>
        <w:rPr>
          <w:szCs w:val="21"/>
        </w:rPr>
      </w:pPr>
      <w:r>
        <w:rPr>
          <w:rFonts w:hint="eastAsia"/>
          <w:szCs w:val="21"/>
        </w:rPr>
        <w:t>（1）“</w:t>
      </w:r>
      <w:r>
        <w:rPr>
          <w:szCs w:val="21"/>
        </w:rPr>
        <w:t>偏差</w:t>
      </w:r>
      <w:r>
        <w:rPr>
          <w:rFonts w:hint="eastAsia"/>
          <w:szCs w:val="21"/>
        </w:rPr>
        <w:t>”系</w:t>
      </w:r>
      <w:r>
        <w:rPr>
          <w:szCs w:val="21"/>
        </w:rPr>
        <w:t>指偏离招标文件</w:t>
      </w:r>
      <w:r>
        <w:rPr>
          <w:rFonts w:hint="eastAsia"/>
          <w:szCs w:val="21"/>
        </w:rPr>
        <w:t>的</w:t>
      </w:r>
      <w:r>
        <w:rPr>
          <w:szCs w:val="21"/>
        </w:rPr>
        <w:t>要求；</w:t>
      </w:r>
    </w:p>
    <w:p>
      <w:pPr>
        <w:spacing w:before="120" w:after="120" w:line="240" w:lineRule="atLeast"/>
        <w:ind w:left="936" w:hanging="576"/>
        <w:jc w:val="left"/>
        <w:textAlignment w:val="auto"/>
        <w:rPr>
          <w:szCs w:val="21"/>
        </w:rPr>
      </w:pPr>
      <w:r>
        <w:rPr>
          <w:rFonts w:hint="eastAsia"/>
          <w:szCs w:val="21"/>
        </w:rPr>
        <w:t>（2）“</w:t>
      </w:r>
      <w:r>
        <w:rPr>
          <w:szCs w:val="21"/>
        </w:rPr>
        <w:t>保留</w:t>
      </w:r>
      <w:r>
        <w:rPr>
          <w:rFonts w:hint="eastAsia"/>
          <w:szCs w:val="21"/>
        </w:rPr>
        <w:t>”系</w:t>
      </w:r>
      <w:r>
        <w:rPr>
          <w:szCs w:val="21"/>
        </w:rPr>
        <w:t>指</w:t>
      </w:r>
      <w:r>
        <w:rPr>
          <w:rFonts w:hint="eastAsia"/>
          <w:szCs w:val="21"/>
        </w:rPr>
        <w:t>有限制条件的</w:t>
      </w:r>
      <w:r>
        <w:rPr>
          <w:szCs w:val="21"/>
        </w:rPr>
        <w:t>接受</w:t>
      </w:r>
      <w:r>
        <w:rPr>
          <w:rFonts w:hint="eastAsia"/>
          <w:szCs w:val="21"/>
        </w:rPr>
        <w:t>或并非</w:t>
      </w:r>
      <w:r>
        <w:rPr>
          <w:szCs w:val="21"/>
        </w:rPr>
        <w:t>全部接受招标文件的要求</w:t>
      </w:r>
      <w:r>
        <w:rPr>
          <w:rFonts w:hint="eastAsia"/>
          <w:szCs w:val="21"/>
        </w:rPr>
        <w:t>；</w:t>
      </w:r>
    </w:p>
    <w:p>
      <w:pPr>
        <w:spacing w:before="120" w:after="120" w:line="240" w:lineRule="atLeast"/>
        <w:ind w:left="936" w:hanging="576"/>
        <w:jc w:val="left"/>
        <w:textAlignment w:val="auto"/>
        <w:rPr>
          <w:szCs w:val="21"/>
        </w:rPr>
      </w:pPr>
      <w:r>
        <w:rPr>
          <w:rFonts w:hint="eastAsia"/>
          <w:szCs w:val="21"/>
        </w:rPr>
        <w:t>（3）“</w:t>
      </w:r>
      <w:r>
        <w:rPr>
          <w:szCs w:val="21"/>
        </w:rPr>
        <w:t>遗漏</w:t>
      </w:r>
      <w:r>
        <w:rPr>
          <w:rFonts w:hint="eastAsia"/>
          <w:szCs w:val="21"/>
        </w:rPr>
        <w:t>”系</w:t>
      </w:r>
      <w:r>
        <w:rPr>
          <w:szCs w:val="21"/>
        </w:rPr>
        <w:t>指</w:t>
      </w:r>
      <w:r>
        <w:rPr>
          <w:rFonts w:hint="eastAsia"/>
          <w:szCs w:val="21"/>
        </w:rPr>
        <w:t>未能提交部分或全部</w:t>
      </w:r>
      <w:r>
        <w:rPr>
          <w:szCs w:val="21"/>
        </w:rPr>
        <w:t>招标文件要求</w:t>
      </w:r>
      <w:r>
        <w:rPr>
          <w:rFonts w:hint="eastAsia"/>
          <w:szCs w:val="21"/>
        </w:rPr>
        <w:t>的信息或文件。</w:t>
      </w:r>
    </w:p>
    <w:p>
      <w:pPr>
        <w:pStyle w:val="5"/>
      </w:pPr>
      <w:bookmarkStart w:id="593" w:name="_Toc391287311"/>
      <w:bookmarkStart w:id="594" w:name="_Toc324772180"/>
      <w:bookmarkStart w:id="595" w:name="_Toc169103225"/>
      <w:bookmarkStart w:id="596" w:name="_Toc171061177"/>
      <w:bookmarkStart w:id="597" w:name="_Toc110263885"/>
      <w:bookmarkStart w:id="598" w:name="_Toc171063088"/>
      <w:bookmarkStart w:id="599" w:name="_Toc110262691"/>
      <w:bookmarkStart w:id="600" w:name="_Toc110267619"/>
      <w:bookmarkStart w:id="601" w:name="_Toc110264346"/>
      <w:r>
        <w:rPr>
          <w:rFonts w:hint="eastAsia"/>
        </w:rPr>
        <w:t>第29条　投标的响应性</w:t>
      </w:r>
      <w:bookmarkEnd w:id="585"/>
      <w:bookmarkEnd w:id="586"/>
      <w:bookmarkEnd w:id="587"/>
      <w:bookmarkEnd w:id="588"/>
      <w:bookmarkEnd w:id="589"/>
      <w:bookmarkEnd w:id="590"/>
      <w:bookmarkEnd w:id="591"/>
      <w:bookmarkEnd w:id="593"/>
      <w:bookmarkEnd w:id="594"/>
      <w:bookmarkEnd w:id="595"/>
      <w:bookmarkEnd w:id="596"/>
      <w:bookmarkEnd w:id="597"/>
      <w:bookmarkEnd w:id="598"/>
      <w:bookmarkEnd w:id="599"/>
      <w:bookmarkEnd w:id="600"/>
      <w:bookmarkEnd w:id="601"/>
    </w:p>
    <w:p>
      <w:pPr>
        <w:spacing w:before="120" w:after="120" w:line="240" w:lineRule="atLeast"/>
        <w:ind w:firstLine="420" w:firstLineChars="200"/>
        <w:textAlignment w:val="auto"/>
        <w:rPr>
          <w:szCs w:val="21"/>
        </w:rPr>
      </w:pPr>
      <w:r>
        <w:rPr>
          <w:rFonts w:hint="eastAsia"/>
          <w:szCs w:val="21"/>
        </w:rPr>
        <w:t>29.1　业主只能依据“投标人须知”第</w:t>
      </w:r>
      <w:r>
        <w:rPr>
          <w:szCs w:val="21"/>
        </w:rPr>
        <w:t>11</w:t>
      </w:r>
      <w:r>
        <w:rPr>
          <w:rFonts w:hint="eastAsia"/>
          <w:szCs w:val="21"/>
        </w:rPr>
        <w:t>条规定的投标文件本身的内容确定投标的响应性。</w:t>
      </w:r>
    </w:p>
    <w:p>
      <w:pPr>
        <w:spacing w:before="120" w:after="120" w:line="240" w:lineRule="atLeast"/>
        <w:ind w:firstLine="420" w:firstLineChars="200"/>
        <w:textAlignment w:val="auto"/>
        <w:rPr>
          <w:szCs w:val="21"/>
        </w:rPr>
      </w:pPr>
      <w:r>
        <w:rPr>
          <w:rFonts w:hint="eastAsia"/>
          <w:szCs w:val="21"/>
        </w:rPr>
        <w:t>29.2　实质性响应的投标应与本招标文件要求的全部条款、条件和技术规格相符，没有实质性偏差、保留或遗漏。实质性偏差、保留或遗漏是指：</w:t>
      </w:r>
    </w:p>
    <w:p>
      <w:pPr>
        <w:spacing w:before="120" w:after="120" w:line="240" w:lineRule="atLeast"/>
        <w:ind w:left="936" w:hanging="576"/>
        <w:jc w:val="left"/>
        <w:textAlignment w:val="auto"/>
        <w:rPr>
          <w:szCs w:val="21"/>
        </w:rPr>
      </w:pPr>
      <w:r>
        <w:rPr>
          <w:szCs w:val="21"/>
        </w:rPr>
        <w:t>（1）</w:t>
      </w:r>
      <w:r>
        <w:rPr>
          <w:rFonts w:hint="eastAsia"/>
          <w:szCs w:val="21"/>
        </w:rPr>
        <w:t>实质上影响了本招标文件第六章规定的工程范围、质量或性能；</w:t>
      </w:r>
    </w:p>
    <w:p>
      <w:pPr>
        <w:spacing w:before="120" w:after="120" w:line="240" w:lineRule="atLeast"/>
        <w:ind w:left="936" w:hanging="576"/>
        <w:jc w:val="left"/>
        <w:textAlignment w:val="auto"/>
        <w:rPr>
          <w:szCs w:val="21"/>
        </w:rPr>
      </w:pPr>
      <w:r>
        <w:rPr>
          <w:rFonts w:hint="eastAsia"/>
          <w:szCs w:val="21"/>
        </w:rPr>
        <w:t>（2） 实质上限制了合同所规定的业主权利或投标人义务，并与本招标文件的规定不一致。</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w:t>
      </w:r>
      <w:r>
        <w:rPr>
          <w:szCs w:val="21"/>
        </w:rPr>
        <w:t>如果进行</w:t>
      </w:r>
      <w:r>
        <w:rPr>
          <w:rFonts w:hint="eastAsia"/>
          <w:szCs w:val="21"/>
        </w:rPr>
        <w:t>更</w:t>
      </w:r>
      <w:r>
        <w:rPr>
          <w:szCs w:val="21"/>
        </w:rPr>
        <w:t>改</w:t>
      </w:r>
      <w:r>
        <w:rPr>
          <w:rFonts w:hint="eastAsia"/>
          <w:szCs w:val="21"/>
        </w:rPr>
        <w:t>，</w:t>
      </w:r>
      <w:r>
        <w:rPr>
          <w:szCs w:val="21"/>
        </w:rPr>
        <w:t>将不公平地影响</w:t>
      </w:r>
      <w:r>
        <w:rPr>
          <w:rFonts w:hint="eastAsia"/>
          <w:szCs w:val="21"/>
        </w:rPr>
        <w:t>到</w:t>
      </w:r>
      <w:r>
        <w:rPr>
          <w:szCs w:val="21"/>
        </w:rPr>
        <w:t>递交了实质</w:t>
      </w:r>
      <w:r>
        <w:rPr>
          <w:rFonts w:hint="eastAsia"/>
          <w:szCs w:val="21"/>
        </w:rPr>
        <w:t>性</w:t>
      </w:r>
      <w:r>
        <w:rPr>
          <w:szCs w:val="21"/>
        </w:rPr>
        <w:t>响应投标的</w:t>
      </w:r>
      <w:r>
        <w:rPr>
          <w:rFonts w:hint="eastAsia"/>
          <w:szCs w:val="21"/>
        </w:rPr>
        <w:t>其它</w:t>
      </w:r>
      <w:r>
        <w:rPr>
          <w:szCs w:val="21"/>
        </w:rPr>
        <w:t>投</w:t>
      </w:r>
      <w:r>
        <w:rPr>
          <w:rFonts w:hint="eastAsia"/>
          <w:szCs w:val="21"/>
        </w:rPr>
        <w:t>标人的竞争地位。</w:t>
      </w:r>
    </w:p>
    <w:p>
      <w:pPr>
        <w:spacing w:before="120" w:after="120" w:line="240" w:lineRule="atLeast"/>
        <w:ind w:firstLine="420" w:firstLineChars="200"/>
        <w:textAlignment w:val="auto"/>
        <w:rPr>
          <w:szCs w:val="21"/>
        </w:rPr>
      </w:pPr>
      <w:r>
        <w:rPr>
          <w:rFonts w:hint="eastAsia"/>
          <w:szCs w:val="21"/>
        </w:rPr>
        <w:t>29.3　业主应对投标文件的技术建议书进行评审以确认本招标文件第六章所提出的要求全部得已满足，不存在实质性的偏差、保留或遗漏。</w:t>
      </w:r>
    </w:p>
    <w:p>
      <w:pPr>
        <w:spacing w:before="120" w:after="120" w:line="240" w:lineRule="atLeast"/>
        <w:ind w:firstLine="420" w:firstLineChars="200"/>
        <w:textAlignment w:val="auto"/>
        <w:rPr>
          <w:szCs w:val="21"/>
        </w:rPr>
      </w:pPr>
      <w:r>
        <w:rPr>
          <w:rFonts w:hint="eastAsia"/>
          <w:szCs w:val="21"/>
        </w:rPr>
        <w:t>29.4　如果投标没有实质性响应本招标文件的要求，它将被业主拒绝。投标人不得通过修正其实质性偏差、保留或遗漏从而使其成为实质性响应投标。</w:t>
      </w:r>
    </w:p>
    <w:p>
      <w:pPr>
        <w:pStyle w:val="5"/>
      </w:pPr>
      <w:bookmarkStart w:id="602" w:name="_Toc79668236"/>
      <w:bookmarkStart w:id="603" w:name="_Toc128391190"/>
      <w:bookmarkStart w:id="604" w:name="_Toc79667258"/>
      <w:bookmarkStart w:id="605" w:name="_Toc110264347"/>
      <w:bookmarkStart w:id="606" w:name="_Toc391287312"/>
      <w:bookmarkStart w:id="607" w:name="_Toc324772181"/>
      <w:bookmarkStart w:id="608" w:name="_Toc169103226"/>
      <w:bookmarkStart w:id="609" w:name="_Toc171061178"/>
      <w:bookmarkStart w:id="610" w:name="_Toc168753168"/>
      <w:bookmarkStart w:id="611" w:name="_Toc171063089"/>
      <w:bookmarkStart w:id="612" w:name="_Toc110263886"/>
      <w:bookmarkStart w:id="613" w:name="_Toc128396316"/>
      <w:bookmarkStart w:id="614" w:name="_Toc110267620"/>
      <w:bookmarkStart w:id="615" w:name="_Toc128391443"/>
      <w:bookmarkStart w:id="616" w:name="_Toc128391543"/>
      <w:bookmarkStart w:id="617" w:name="_Toc110262692"/>
      <w:r>
        <w:rPr>
          <w:rFonts w:hint="eastAsia"/>
        </w:rPr>
        <w:t>第30条　不一致、错误和遗漏</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before="120" w:after="120" w:line="240" w:lineRule="atLeast"/>
        <w:ind w:firstLine="420" w:firstLineChars="200"/>
        <w:textAlignment w:val="auto"/>
        <w:rPr>
          <w:szCs w:val="21"/>
        </w:rPr>
      </w:pPr>
      <w:r>
        <w:rPr>
          <w:rFonts w:hint="eastAsia"/>
          <w:szCs w:val="21"/>
        </w:rPr>
        <w:t>30.1　只有投标作出了实质性响应，业主才可能接受投标文件中任何不构成实质性偏离、保留的不一致或遗漏。</w:t>
      </w:r>
    </w:p>
    <w:p>
      <w:pPr>
        <w:spacing w:before="120" w:after="120" w:line="240" w:lineRule="atLeast"/>
        <w:ind w:firstLine="420" w:firstLineChars="200"/>
        <w:textAlignment w:val="auto"/>
        <w:rPr>
          <w:szCs w:val="21"/>
        </w:rPr>
      </w:pPr>
      <w:r>
        <w:rPr>
          <w:rFonts w:hint="eastAsia"/>
          <w:szCs w:val="21"/>
        </w:rPr>
        <w:t>30.2　只有投标作出了实质性响应，业主才可能要求投标人在合理的时间内递交必要的信息或文件，更正其投标文件中与招标文件要求有关的非实质性的不一致或遗漏。与该不一致有关的信息或文件不应与投标报价有关。不能满足这一要求的投标人，其投标可能被拒绝。</w:t>
      </w:r>
    </w:p>
    <w:p>
      <w:pPr>
        <w:spacing w:before="120" w:after="120" w:line="240" w:lineRule="atLeast"/>
        <w:ind w:firstLine="420" w:firstLineChars="200"/>
        <w:textAlignment w:val="auto"/>
        <w:rPr>
          <w:szCs w:val="21"/>
        </w:rPr>
      </w:pPr>
      <w:r>
        <w:rPr>
          <w:rFonts w:hint="eastAsia"/>
          <w:szCs w:val="21"/>
        </w:rPr>
        <w:t>30.3　只有投标作出了实质性响应，业主才可能修改可量化的与投标报价有关的非实质性不一致或遗漏。为此，投标报价需要进行调整，以反映遗漏或不一致之处的价格，其目的仅在于对投标报价进行比较。价格调整应按照本招标文件第三章中规定的方法进行。</w:t>
      </w:r>
    </w:p>
    <w:p>
      <w:pPr>
        <w:pStyle w:val="5"/>
      </w:pPr>
      <w:bookmarkStart w:id="618" w:name="_Toc110267621"/>
      <w:bookmarkStart w:id="619" w:name="_Toc171061179"/>
      <w:bookmarkStart w:id="620" w:name="_Toc324772182"/>
      <w:bookmarkStart w:id="621" w:name="_Toc110262693"/>
      <w:bookmarkStart w:id="622" w:name="_Toc169103227"/>
      <w:bookmarkStart w:id="623" w:name="_Toc391287313"/>
      <w:bookmarkStart w:id="624" w:name="_Toc171063090"/>
      <w:bookmarkStart w:id="625" w:name="_Toc110263887"/>
      <w:bookmarkStart w:id="626" w:name="_Toc110264348"/>
      <w:r>
        <w:rPr>
          <w:rFonts w:hint="eastAsia"/>
        </w:rPr>
        <w:t>第</w:t>
      </w:r>
      <w:r>
        <w:t>31</w:t>
      </w:r>
      <w:r>
        <w:rPr>
          <w:rFonts w:hint="eastAsia"/>
        </w:rPr>
        <w:t>条　算术错误的更正</w:t>
      </w:r>
      <w:bookmarkEnd w:id="618"/>
      <w:bookmarkEnd w:id="619"/>
      <w:bookmarkEnd w:id="620"/>
      <w:bookmarkEnd w:id="621"/>
      <w:bookmarkEnd w:id="622"/>
      <w:bookmarkEnd w:id="623"/>
      <w:bookmarkEnd w:id="624"/>
      <w:bookmarkEnd w:id="625"/>
      <w:bookmarkEnd w:id="626"/>
    </w:p>
    <w:p>
      <w:pPr>
        <w:spacing w:before="120" w:after="120" w:line="240" w:lineRule="atLeast"/>
        <w:ind w:firstLine="420" w:firstLineChars="200"/>
        <w:textAlignment w:val="auto"/>
        <w:rPr>
          <w:szCs w:val="21"/>
        </w:rPr>
      </w:pPr>
      <w:r>
        <w:rPr>
          <w:rFonts w:hint="eastAsia"/>
          <w:szCs w:val="21"/>
        </w:rPr>
        <w:t>31.1　只有实质性响应的投标，业主才会按以下方法更正投标文件中的算术错误：</w:t>
      </w:r>
    </w:p>
    <w:p>
      <w:pPr>
        <w:spacing w:before="120" w:after="120" w:line="240" w:lineRule="atLeast"/>
        <w:ind w:left="900" w:hanging="540"/>
        <w:jc w:val="left"/>
        <w:textAlignment w:val="auto"/>
        <w:rPr>
          <w:szCs w:val="21"/>
        </w:rPr>
      </w:pPr>
      <w:r>
        <w:rPr>
          <w:rFonts w:hint="eastAsia"/>
          <w:szCs w:val="21"/>
        </w:rPr>
        <w:t>（1）对于计量合同，如果单价与数量之积与该品目的合价不一致，则以单价为准修改合价；除非业主认为单价中有明显的小数点错位，则以该品目的合价为准，修改单价。</w:t>
      </w:r>
    </w:p>
    <w:p>
      <w:pPr>
        <w:spacing w:before="120" w:after="120" w:line="240" w:lineRule="atLeast"/>
        <w:ind w:left="900" w:hanging="540"/>
        <w:jc w:val="left"/>
        <w:textAlignment w:val="auto"/>
        <w:rPr>
          <w:szCs w:val="21"/>
        </w:rPr>
      </w:pPr>
      <w:r>
        <w:rPr>
          <w:rFonts w:hint="eastAsia"/>
          <w:szCs w:val="21"/>
        </w:rPr>
        <w:t>（</w:t>
      </w:r>
      <w:r>
        <w:rPr>
          <w:szCs w:val="21"/>
        </w:rPr>
        <w:t>2</w:t>
      </w:r>
      <w:r>
        <w:rPr>
          <w:rFonts w:hint="eastAsia"/>
          <w:szCs w:val="21"/>
        </w:rPr>
        <w:t>）如果总价与合价之和不一致，则以合价为准修改总价。</w:t>
      </w:r>
    </w:p>
    <w:p>
      <w:pPr>
        <w:spacing w:before="120" w:after="120" w:line="240" w:lineRule="atLeast"/>
        <w:ind w:left="900" w:hanging="540"/>
        <w:jc w:val="left"/>
        <w:textAlignment w:val="auto"/>
        <w:rPr>
          <w:szCs w:val="21"/>
        </w:rPr>
      </w:pPr>
      <w:r>
        <w:rPr>
          <w:rFonts w:hint="eastAsia"/>
          <w:szCs w:val="21"/>
        </w:rPr>
        <w:t xml:space="preserve">（3） </w:t>
      </w:r>
      <w:r>
        <w:rPr>
          <w:rFonts w:hint="eastAsia" w:ascii="宋体" w:hAnsi="宋体"/>
          <w:szCs w:val="21"/>
        </w:rPr>
        <w:t>如果汇总工程量清单中的投标价格和投标函第（3）项中的投标价格不一致，则以汇总工程量清单中的投标价格为准，修改投标函第（3）项中的投标价格。</w:t>
      </w:r>
    </w:p>
    <w:p>
      <w:pPr>
        <w:spacing w:before="120" w:after="120" w:line="240" w:lineRule="atLeast"/>
        <w:ind w:left="900" w:hanging="540"/>
        <w:jc w:val="left"/>
        <w:textAlignment w:val="auto"/>
        <w:rPr>
          <w:szCs w:val="21"/>
        </w:rPr>
      </w:pPr>
      <w:r>
        <w:rPr>
          <w:rFonts w:hint="eastAsia"/>
          <w:szCs w:val="21"/>
        </w:rPr>
        <w:t>（</w:t>
      </w:r>
      <w:r>
        <w:rPr>
          <w:szCs w:val="21"/>
        </w:rPr>
        <w:t>4</w:t>
      </w:r>
      <w:r>
        <w:rPr>
          <w:rFonts w:hint="eastAsia"/>
          <w:szCs w:val="21"/>
        </w:rPr>
        <w:t>）如果用文字表示的数值与用数字表示的数值不一致，则以文字表示的数值为准，除非用文字表示的数值与计算错误有关，在满足上述第（</w:t>
      </w:r>
      <w:r>
        <w:rPr>
          <w:szCs w:val="21"/>
        </w:rPr>
        <w:t>1</w:t>
      </w:r>
      <w:r>
        <w:rPr>
          <w:rFonts w:hint="eastAsia"/>
          <w:szCs w:val="21"/>
        </w:rPr>
        <w:t>）项</w:t>
      </w:r>
      <w:r>
        <w:rPr>
          <w:szCs w:val="21"/>
        </w:rPr>
        <w:t>和</w:t>
      </w:r>
      <w:r>
        <w:rPr>
          <w:rFonts w:hint="eastAsia"/>
          <w:szCs w:val="21"/>
        </w:rPr>
        <w:t>第（</w:t>
      </w:r>
      <w:r>
        <w:rPr>
          <w:szCs w:val="21"/>
        </w:rPr>
        <w:t>2</w:t>
      </w:r>
      <w:r>
        <w:rPr>
          <w:rFonts w:hint="eastAsia"/>
          <w:szCs w:val="21"/>
        </w:rPr>
        <w:t>）项的前提下，可以数字表示的数值为准。</w:t>
      </w:r>
    </w:p>
    <w:p>
      <w:pPr>
        <w:spacing w:before="120" w:after="120" w:line="240" w:lineRule="atLeast"/>
        <w:ind w:firstLine="420" w:firstLineChars="200"/>
        <w:textAlignment w:val="auto"/>
        <w:rPr>
          <w:szCs w:val="21"/>
        </w:rPr>
      </w:pPr>
      <w:r>
        <w:rPr>
          <w:rFonts w:hint="eastAsia"/>
          <w:szCs w:val="21"/>
        </w:rPr>
        <w:t>31.2　如果递交了最低评标价的投标人不接受对其错误的更正，其投标将被拒绝。</w:t>
      </w:r>
    </w:p>
    <w:p>
      <w:pPr>
        <w:pStyle w:val="5"/>
      </w:pPr>
      <w:bookmarkStart w:id="627" w:name="_Toc79667261"/>
      <w:bookmarkStart w:id="628" w:name="_Toc168753171"/>
      <w:bookmarkStart w:id="629" w:name="_Toc128391546"/>
      <w:bookmarkStart w:id="630" w:name="_Toc79668239"/>
      <w:bookmarkStart w:id="631" w:name="_Toc128391193"/>
      <w:bookmarkStart w:id="632" w:name="_Toc128396319"/>
      <w:bookmarkStart w:id="633" w:name="_Toc128391446"/>
      <w:bookmarkStart w:id="634" w:name="_Toc171061180"/>
      <w:bookmarkStart w:id="635" w:name="_Toc110263888"/>
      <w:bookmarkStart w:id="636" w:name="_Toc169103228"/>
      <w:bookmarkStart w:id="637" w:name="_Toc171063091"/>
      <w:bookmarkStart w:id="638" w:name="_Toc110264349"/>
      <w:bookmarkStart w:id="639" w:name="_Toc110267622"/>
      <w:bookmarkStart w:id="640" w:name="_Toc324772183"/>
      <w:bookmarkStart w:id="641" w:name="_Toc110262694"/>
      <w:bookmarkStart w:id="642" w:name="_Toc391287314"/>
      <w:r>
        <w:rPr>
          <w:rFonts w:hint="eastAsia"/>
        </w:rPr>
        <w:t>第32条　</w:t>
      </w:r>
      <w:bookmarkEnd w:id="627"/>
      <w:bookmarkEnd w:id="628"/>
      <w:bookmarkEnd w:id="629"/>
      <w:bookmarkEnd w:id="630"/>
      <w:bookmarkEnd w:id="631"/>
      <w:bookmarkEnd w:id="632"/>
      <w:bookmarkEnd w:id="633"/>
      <w:bookmarkStart w:id="643" w:name="_Toc79668241"/>
      <w:bookmarkStart w:id="644" w:name="_Toc128391195"/>
      <w:bookmarkStart w:id="645" w:name="_Toc128391548"/>
      <w:bookmarkStart w:id="646" w:name="_Toc168753173"/>
      <w:bookmarkStart w:id="647" w:name="_Toc79667263"/>
      <w:bookmarkStart w:id="648" w:name="_Toc128396321"/>
      <w:bookmarkStart w:id="649" w:name="_Toc128391448"/>
      <w:r>
        <w:rPr>
          <w:rFonts w:hint="eastAsia"/>
        </w:rPr>
        <w:t>评</w:t>
      </w:r>
      <w:bookmarkEnd w:id="643"/>
      <w:bookmarkEnd w:id="644"/>
      <w:bookmarkEnd w:id="645"/>
      <w:bookmarkEnd w:id="646"/>
      <w:bookmarkEnd w:id="647"/>
      <w:bookmarkEnd w:id="648"/>
      <w:bookmarkEnd w:id="649"/>
      <w:r>
        <w:rPr>
          <w:rFonts w:hint="eastAsia"/>
        </w:rPr>
        <w:t>标</w:t>
      </w:r>
      <w:bookmarkEnd w:id="634"/>
      <w:bookmarkEnd w:id="635"/>
      <w:bookmarkEnd w:id="636"/>
      <w:bookmarkEnd w:id="637"/>
      <w:bookmarkEnd w:id="638"/>
      <w:bookmarkEnd w:id="639"/>
      <w:bookmarkEnd w:id="640"/>
      <w:bookmarkEnd w:id="641"/>
      <w:bookmarkEnd w:id="642"/>
    </w:p>
    <w:p>
      <w:pPr>
        <w:spacing w:before="120" w:after="120" w:line="240" w:lineRule="atLeast"/>
        <w:ind w:firstLine="420" w:firstLineChars="200"/>
        <w:textAlignment w:val="auto"/>
        <w:rPr>
          <w:szCs w:val="21"/>
        </w:rPr>
      </w:pPr>
      <w:r>
        <w:rPr>
          <w:rFonts w:hint="eastAsia"/>
          <w:szCs w:val="21"/>
        </w:rPr>
        <w:t>32.1　业主将只使用本条规定的标准和方法对投标文件进行评审，而不考虑其它的标准或方法。</w:t>
      </w:r>
    </w:p>
    <w:p>
      <w:pPr>
        <w:spacing w:before="120" w:after="120" w:line="240" w:lineRule="atLeast"/>
        <w:ind w:firstLine="420" w:firstLineChars="200"/>
        <w:textAlignment w:val="auto"/>
        <w:rPr>
          <w:szCs w:val="21"/>
        </w:rPr>
      </w:pPr>
      <w:r>
        <w:rPr>
          <w:rFonts w:hint="eastAsia"/>
          <w:szCs w:val="21"/>
        </w:rPr>
        <w:t>32.2　评审投标文件时，业主将考虑下列因素：</w:t>
      </w:r>
    </w:p>
    <w:p>
      <w:pPr>
        <w:spacing w:before="120" w:after="120" w:line="240" w:lineRule="atLeast"/>
        <w:ind w:left="900" w:hanging="540"/>
        <w:jc w:val="left"/>
        <w:textAlignment w:val="auto"/>
        <w:rPr>
          <w:szCs w:val="21"/>
        </w:rPr>
      </w:pPr>
      <w:r>
        <w:rPr>
          <w:rFonts w:hint="eastAsia"/>
          <w:szCs w:val="21"/>
        </w:rPr>
        <w:t>（1）投标报价，不包括计量合同工程量清单汇总表中的或单项工程价单中的暂定金和不可预见费，但包括有竞争性报价的计日工；</w:t>
      </w:r>
    </w:p>
    <w:p>
      <w:pPr>
        <w:spacing w:before="120" w:after="120" w:line="240" w:lineRule="atLeast"/>
        <w:ind w:left="900" w:hanging="540"/>
        <w:jc w:val="left"/>
        <w:textAlignment w:val="auto"/>
        <w:rPr>
          <w:szCs w:val="21"/>
        </w:rPr>
      </w:pPr>
      <w:r>
        <w:rPr>
          <w:rFonts w:hint="eastAsia"/>
          <w:szCs w:val="21"/>
        </w:rPr>
        <w:t>（</w:t>
      </w:r>
      <w:r>
        <w:rPr>
          <w:szCs w:val="21"/>
        </w:rPr>
        <w:t>2</w:t>
      </w:r>
      <w:r>
        <w:rPr>
          <w:rFonts w:hint="eastAsia"/>
          <w:szCs w:val="21"/>
        </w:rPr>
        <w:t>）根据“投标人须知”第</w:t>
      </w:r>
      <w:r>
        <w:rPr>
          <w:szCs w:val="21"/>
        </w:rPr>
        <w:t>31.</w:t>
      </w:r>
      <w:r>
        <w:rPr>
          <w:rFonts w:hint="eastAsia"/>
          <w:szCs w:val="21"/>
        </w:rPr>
        <w:t>1款所更正的算术错误对投标报价所做的价格调整；</w:t>
      </w:r>
    </w:p>
    <w:p>
      <w:pPr>
        <w:spacing w:before="120" w:after="120" w:line="240" w:lineRule="atLeast"/>
        <w:ind w:left="900" w:hanging="540"/>
        <w:jc w:val="left"/>
        <w:textAlignment w:val="auto"/>
        <w:rPr>
          <w:szCs w:val="21"/>
        </w:rPr>
      </w:pPr>
      <w:r>
        <w:rPr>
          <w:rFonts w:hint="eastAsia"/>
          <w:szCs w:val="21"/>
        </w:rPr>
        <w:t>（</w:t>
      </w:r>
      <w:r>
        <w:rPr>
          <w:szCs w:val="21"/>
        </w:rPr>
        <w:t>3</w:t>
      </w:r>
      <w:r>
        <w:rPr>
          <w:rFonts w:hint="eastAsia"/>
          <w:szCs w:val="21"/>
        </w:rPr>
        <w:t>）根据“投标人须知”第</w:t>
      </w:r>
      <w:r>
        <w:rPr>
          <w:szCs w:val="21"/>
        </w:rPr>
        <w:t>14.4</w:t>
      </w:r>
      <w:r>
        <w:rPr>
          <w:rFonts w:hint="eastAsia"/>
          <w:szCs w:val="21"/>
        </w:rPr>
        <w:t>款所报折扣对投标报价所做的价格调整；</w:t>
      </w:r>
    </w:p>
    <w:p>
      <w:pPr>
        <w:spacing w:before="120" w:after="120" w:line="240" w:lineRule="atLeast"/>
        <w:ind w:left="900" w:hanging="540"/>
        <w:jc w:val="left"/>
        <w:textAlignment w:val="auto"/>
        <w:rPr>
          <w:szCs w:val="21"/>
        </w:rPr>
      </w:pPr>
      <w:r>
        <w:rPr>
          <w:rFonts w:hint="eastAsia"/>
          <w:szCs w:val="21"/>
        </w:rPr>
        <w:t>（</w:t>
      </w:r>
      <w:r>
        <w:rPr>
          <w:szCs w:val="21"/>
        </w:rPr>
        <w:t>4</w:t>
      </w:r>
      <w:r>
        <w:rPr>
          <w:rFonts w:hint="eastAsia"/>
          <w:szCs w:val="21"/>
        </w:rPr>
        <w:t>）根据“投标人须知”第</w:t>
      </w:r>
      <w:r>
        <w:rPr>
          <w:szCs w:val="21"/>
        </w:rPr>
        <w:t>30.3</w:t>
      </w:r>
      <w:r>
        <w:rPr>
          <w:rFonts w:hint="eastAsia"/>
          <w:szCs w:val="21"/>
        </w:rPr>
        <w:t>款针对不一致处所做的调整；</w:t>
      </w:r>
    </w:p>
    <w:p>
      <w:pPr>
        <w:spacing w:before="120" w:after="120" w:line="240" w:lineRule="atLeast"/>
        <w:ind w:left="900" w:hanging="540"/>
        <w:jc w:val="left"/>
        <w:textAlignment w:val="auto"/>
        <w:rPr>
          <w:szCs w:val="21"/>
        </w:rPr>
      </w:pPr>
      <w:r>
        <w:rPr>
          <w:rFonts w:hint="eastAsia"/>
          <w:szCs w:val="21"/>
        </w:rPr>
        <w:t>（</w:t>
      </w:r>
      <w:r>
        <w:rPr>
          <w:szCs w:val="21"/>
        </w:rPr>
        <w:t>5</w:t>
      </w:r>
      <w:r>
        <w:rPr>
          <w:rFonts w:hint="eastAsia"/>
          <w:szCs w:val="21"/>
        </w:rPr>
        <w:t>）根据“投标人须知”第33条对是否为异常低价投标的评估和3</w:t>
      </w:r>
      <w:r>
        <w:rPr>
          <w:szCs w:val="21"/>
        </w:rPr>
        <w:t>4</w:t>
      </w:r>
      <w:r>
        <w:rPr>
          <w:rFonts w:hint="eastAsia"/>
          <w:szCs w:val="21"/>
        </w:rPr>
        <w:t>条对是否为不平衡报价或报价前置的投标的评估；</w:t>
      </w:r>
    </w:p>
    <w:p>
      <w:pPr>
        <w:spacing w:before="120" w:after="120" w:line="240" w:lineRule="atLeast"/>
        <w:ind w:left="900" w:hanging="540"/>
        <w:jc w:val="left"/>
        <w:textAlignment w:val="auto"/>
        <w:rPr>
          <w:szCs w:val="21"/>
        </w:rPr>
      </w:pPr>
      <w:r>
        <w:rPr>
          <w:rFonts w:hint="eastAsia"/>
          <w:szCs w:val="21"/>
        </w:rPr>
        <w:t>（6）根据本招标文件第三章中的评审标准所作的调整。</w:t>
      </w:r>
    </w:p>
    <w:p>
      <w:pPr>
        <w:spacing w:before="120" w:after="120" w:line="240" w:lineRule="atLeast"/>
        <w:ind w:firstLine="420" w:firstLineChars="200"/>
        <w:textAlignment w:val="auto"/>
        <w:rPr>
          <w:szCs w:val="21"/>
        </w:rPr>
      </w:pPr>
      <w:r>
        <w:rPr>
          <w:rFonts w:hint="eastAsia"/>
          <w:szCs w:val="21"/>
        </w:rPr>
        <w:t>32.3　评审投标文件时，适用于合同履行期间的价格调整条款所造成的影响不予考虑。</w:t>
      </w:r>
    </w:p>
    <w:p>
      <w:pPr>
        <w:spacing w:before="120" w:after="120" w:line="240" w:lineRule="atLeast"/>
        <w:ind w:firstLine="420" w:firstLineChars="200"/>
        <w:textAlignment w:val="auto"/>
        <w:rPr>
          <w:szCs w:val="21"/>
        </w:rPr>
      </w:pPr>
      <w:r>
        <w:rPr>
          <w:rFonts w:hint="eastAsia"/>
          <w:szCs w:val="21"/>
        </w:rPr>
        <w:t>32.4　在多个合同同时招标时，如果招标文件允许投标人就一个以上的合同分别投标，并允许将一个以上的合同同时授予一个投标人，或由于一个投标人的资格条件不能在一个以上合同重复使用而只能部分合同推荐授标时，则最低合同组合评标价，包括投标函中的折扣，应按本招标文件第三章的规定进行评审。</w:t>
      </w:r>
    </w:p>
    <w:p>
      <w:pPr>
        <w:spacing w:before="120" w:after="120" w:line="240" w:lineRule="atLeast"/>
        <w:ind w:firstLine="420" w:firstLineChars="200"/>
        <w:textAlignment w:val="auto"/>
        <w:rPr>
          <w:szCs w:val="21"/>
        </w:rPr>
      </w:pPr>
      <w:r>
        <w:rPr>
          <w:szCs w:val="21"/>
        </w:rPr>
        <w:t xml:space="preserve">32.5 </w:t>
      </w:r>
      <w:r>
        <w:rPr>
          <w:rFonts w:hint="eastAsia"/>
          <w:szCs w:val="21"/>
        </w:rPr>
        <w:t>业主将根据“投标人须知”第</w:t>
      </w:r>
      <w:r>
        <w:rPr>
          <w:szCs w:val="21"/>
        </w:rPr>
        <w:t>3</w:t>
      </w:r>
      <w:r>
        <w:rPr>
          <w:rFonts w:hint="eastAsia"/>
          <w:szCs w:val="21"/>
        </w:rPr>
        <w:t>2.2款的规定对实质性响应招标文件要求的所有投标进行比较，以确定最低评标价的投标。</w:t>
      </w:r>
    </w:p>
    <w:p>
      <w:pPr>
        <w:pStyle w:val="5"/>
      </w:pPr>
      <w:bookmarkStart w:id="650" w:name="_Toc168753174"/>
      <w:bookmarkStart w:id="651" w:name="_Toc128391549"/>
      <w:bookmarkStart w:id="652" w:name="_Toc128391449"/>
      <w:bookmarkStart w:id="653" w:name="_Toc324772184"/>
      <w:bookmarkStart w:id="654" w:name="_Toc128391196"/>
      <w:bookmarkStart w:id="655" w:name="_Toc391287315"/>
      <w:bookmarkStart w:id="656" w:name="_Toc128396322"/>
      <w:bookmarkStart w:id="657" w:name="_Toc79667264"/>
      <w:bookmarkStart w:id="658" w:name="_Toc79668242"/>
      <w:bookmarkStart w:id="659" w:name="_Toc171063092"/>
      <w:bookmarkStart w:id="660" w:name="_Toc110262695"/>
      <w:bookmarkStart w:id="661" w:name="_Toc171061181"/>
      <w:bookmarkStart w:id="662" w:name="_Toc110264350"/>
      <w:bookmarkStart w:id="663" w:name="_Toc169103229"/>
      <w:bookmarkStart w:id="664" w:name="_Toc110267623"/>
      <w:bookmarkStart w:id="665" w:name="_Toc110263889"/>
      <w:r>
        <w:rPr>
          <w:rFonts w:hint="eastAsia"/>
        </w:rPr>
        <w:t>第33条　</w:t>
      </w:r>
      <w:bookmarkEnd w:id="650"/>
      <w:bookmarkEnd w:id="651"/>
      <w:bookmarkEnd w:id="652"/>
      <w:bookmarkEnd w:id="653"/>
      <w:bookmarkEnd w:id="654"/>
      <w:bookmarkEnd w:id="655"/>
      <w:bookmarkEnd w:id="656"/>
      <w:bookmarkEnd w:id="657"/>
      <w:bookmarkEnd w:id="658"/>
      <w:r>
        <w:rPr>
          <w:rFonts w:hint="eastAsia"/>
          <w:lang w:eastAsia="zh-CN"/>
        </w:rPr>
        <w:t>异常低价投标</w:t>
      </w:r>
      <w:bookmarkEnd w:id="659"/>
      <w:bookmarkEnd w:id="660"/>
      <w:bookmarkEnd w:id="661"/>
      <w:bookmarkEnd w:id="662"/>
      <w:bookmarkEnd w:id="663"/>
      <w:bookmarkEnd w:id="664"/>
      <w:bookmarkEnd w:id="665"/>
    </w:p>
    <w:p>
      <w:pPr>
        <w:spacing w:before="120" w:after="120" w:line="240" w:lineRule="atLeast"/>
        <w:ind w:firstLine="420" w:firstLineChars="200"/>
        <w:textAlignment w:val="auto"/>
        <w:rPr>
          <w:highlight w:val="none"/>
          <w:lang w:val="zh-CN" w:eastAsia="zh-CN"/>
        </w:rPr>
      </w:pPr>
      <w:r>
        <w:rPr>
          <w:rFonts w:hint="eastAsia"/>
          <w:szCs w:val="21"/>
        </w:rPr>
        <w:t>33.1</w:t>
      </w:r>
      <w:r>
        <w:rPr>
          <w:rFonts w:hint="eastAsia"/>
          <w:szCs w:val="21"/>
        </w:rPr>
        <w:tab/>
      </w:r>
      <w:r>
        <w:rPr>
          <w:lang w:eastAsia="zh-CN"/>
        </w:rPr>
        <w:t xml:space="preserve"> </w:t>
      </w:r>
      <w:r>
        <w:rPr>
          <w:rFonts w:hint="eastAsia"/>
          <w:lang w:val="zh-CN" w:eastAsia="zh-CN"/>
        </w:rPr>
        <w:t>异常低价投标是指综合</w:t>
      </w:r>
      <w:r>
        <w:rPr>
          <w:rFonts w:hint="eastAsia"/>
          <w:lang w:val="zh-CN"/>
        </w:rPr>
        <w:t>考虑</w:t>
      </w:r>
      <w:r>
        <w:rPr>
          <w:rFonts w:hint="eastAsia"/>
          <w:lang w:val="zh-CN" w:eastAsia="zh-CN"/>
        </w:rPr>
        <w:t>投标的其它构成要素，其投标价格显得过低，以致对投标人根据所报价格履行合同的</w:t>
      </w:r>
      <w:r>
        <w:rPr>
          <w:rFonts w:hint="eastAsia"/>
          <w:highlight w:val="none"/>
          <w:lang w:val="zh-CN" w:eastAsia="zh-CN"/>
        </w:rPr>
        <w:t>能力产生疑虑。</w:t>
      </w:r>
    </w:p>
    <w:p>
      <w:pPr>
        <w:spacing w:before="120" w:after="120" w:line="240" w:lineRule="atLeast"/>
        <w:ind w:firstLine="420" w:firstLineChars="200"/>
        <w:textAlignment w:val="auto"/>
        <w:rPr>
          <w:highlight w:val="none"/>
          <w:lang w:val="zh-CN" w:eastAsia="zh-CN"/>
        </w:rPr>
      </w:pPr>
      <w:r>
        <w:rPr>
          <w:rFonts w:hint="eastAsia"/>
          <w:szCs w:val="21"/>
          <w:highlight w:val="none"/>
        </w:rPr>
        <w:t>3</w:t>
      </w:r>
      <w:r>
        <w:rPr>
          <w:szCs w:val="21"/>
          <w:highlight w:val="none"/>
        </w:rPr>
        <w:t>3.2</w:t>
      </w:r>
      <w:r>
        <w:rPr>
          <w:highlight w:val="none"/>
          <w:lang w:eastAsia="zh-CN"/>
        </w:rPr>
        <w:t xml:space="preserve"> </w:t>
      </w:r>
      <w:r>
        <w:rPr>
          <w:rFonts w:hint="eastAsia"/>
          <w:highlight w:val="none"/>
          <w:lang w:val="zh-CN"/>
        </w:rPr>
        <w:t>当投标价格显得</w:t>
      </w:r>
      <w:r>
        <w:rPr>
          <w:rFonts w:hint="eastAsia"/>
          <w:highlight w:val="none"/>
          <w:lang w:val="zh-CN" w:eastAsia="zh-CN"/>
        </w:rPr>
        <w:t>异常</w:t>
      </w:r>
      <w:r>
        <w:rPr>
          <w:rFonts w:hint="eastAsia"/>
          <w:highlight w:val="none"/>
          <w:lang w:val="zh-CN"/>
        </w:rPr>
        <w:t>低时，</w:t>
      </w:r>
      <w:r>
        <w:rPr>
          <w:rFonts w:hint="eastAsia"/>
          <w:highlight w:val="none"/>
        </w:rPr>
        <w:t>业主须</w:t>
      </w:r>
      <w:r>
        <w:rPr>
          <w:rFonts w:hint="eastAsia"/>
          <w:highlight w:val="none"/>
          <w:lang w:val="zh-CN"/>
        </w:rPr>
        <w:t>采取以下三步措施：</w:t>
      </w:r>
    </w:p>
    <w:p>
      <w:pPr>
        <w:spacing w:before="120" w:after="120" w:line="240" w:lineRule="atLeast"/>
        <w:ind w:left="900" w:hanging="540"/>
        <w:jc w:val="left"/>
        <w:textAlignment w:val="auto"/>
        <w:rPr>
          <w:szCs w:val="21"/>
          <w:highlight w:val="none"/>
        </w:rPr>
      </w:pPr>
      <w:r>
        <w:rPr>
          <w:rFonts w:hint="eastAsia"/>
          <w:szCs w:val="21"/>
          <w:highlight w:val="none"/>
        </w:rPr>
        <w:t>（1）通过与工程预算、其他实质响应投标的价格和/或最近签订的类似合同价格相比较，来初步识别异常低的成本和单价；</w:t>
      </w:r>
    </w:p>
    <w:p>
      <w:pPr>
        <w:spacing w:before="120" w:after="120" w:line="240" w:lineRule="atLeast"/>
        <w:ind w:left="900" w:hanging="540"/>
        <w:jc w:val="left"/>
        <w:textAlignment w:val="auto"/>
        <w:rPr>
          <w:szCs w:val="21"/>
          <w:highlight w:val="none"/>
        </w:rPr>
      </w:pPr>
      <w:r>
        <w:rPr>
          <w:rFonts w:hint="eastAsia"/>
          <w:szCs w:val="21"/>
          <w:highlight w:val="none"/>
        </w:rPr>
        <w:t>（2）对投标人的资源投入和定价进行澄清和分析，包括管理费用、不可预见费和利润率；</w:t>
      </w:r>
    </w:p>
    <w:p>
      <w:pPr>
        <w:spacing w:before="120" w:after="120" w:line="240" w:lineRule="atLeast"/>
        <w:ind w:left="900" w:hanging="540"/>
        <w:jc w:val="left"/>
        <w:textAlignment w:val="auto"/>
        <w:rPr>
          <w:szCs w:val="21"/>
          <w:highlight w:val="none"/>
        </w:rPr>
      </w:pPr>
      <w:r>
        <w:rPr>
          <w:rFonts w:hint="eastAsia"/>
          <w:szCs w:val="21"/>
          <w:highlight w:val="none"/>
        </w:rPr>
        <w:t>（3）决定是否接受或拒绝该投标。</w:t>
      </w:r>
    </w:p>
    <w:p>
      <w:pPr>
        <w:spacing w:before="120" w:after="120" w:line="240" w:lineRule="atLeast"/>
        <w:ind w:firstLine="420" w:firstLineChars="200"/>
        <w:textAlignment w:val="auto"/>
        <w:rPr>
          <w:highlight w:val="none"/>
          <w:lang w:val="zh-CN"/>
        </w:rPr>
      </w:pPr>
      <w:r>
        <w:rPr>
          <w:rFonts w:hint="eastAsia"/>
          <w:highlight w:val="none"/>
          <w:lang w:val="zh-CN"/>
        </w:rPr>
        <w:t>3</w:t>
      </w:r>
      <w:r>
        <w:rPr>
          <w:highlight w:val="none"/>
          <w:lang w:val="zh-CN"/>
        </w:rPr>
        <w:t xml:space="preserve">3.3 </w:t>
      </w:r>
      <w:r>
        <w:rPr>
          <w:rFonts w:hint="eastAsia"/>
          <w:highlight w:val="none"/>
          <w:lang w:val="zh-CN" w:eastAsia="zh-CN"/>
        </w:rPr>
        <w:t>涉及以上33.2(2) 款的情形，业主将要求投标人就投标范围、提交的施工方案、进度计划、风险与责任的分配等对其投标报价进行书面解释，包括详细的成本分析和单价分析。这也可能包括有关制造过程中节省开支、所提供的服务或者施工方法、所采用技术解决方案以及任何关于投标人所提供的工程、设备或服务的可用特惠条件方面的信息</w:t>
      </w:r>
      <w:r>
        <w:rPr>
          <w:rFonts w:hint="eastAsia"/>
          <w:highlight w:val="none"/>
          <w:lang w:val="zh-CN"/>
        </w:rPr>
        <w:t>。</w:t>
      </w:r>
    </w:p>
    <w:p>
      <w:pPr>
        <w:spacing w:before="120" w:after="120" w:line="240" w:lineRule="atLeast"/>
        <w:ind w:firstLine="420" w:firstLineChars="200"/>
        <w:textAlignment w:val="auto"/>
        <w:rPr>
          <w:highlight w:val="none"/>
          <w:lang w:val="zh-CN"/>
        </w:rPr>
      </w:pPr>
      <w:r>
        <w:rPr>
          <w:highlight w:val="none"/>
          <w:lang w:val="zh-CN"/>
        </w:rPr>
        <w:t xml:space="preserve">33.4 </w:t>
      </w:r>
      <w:r>
        <w:rPr>
          <w:rFonts w:hint="eastAsia"/>
          <w:highlight w:val="none"/>
          <w:lang w:val="zh-CN"/>
        </w:rPr>
        <w:t>在对投标人提供的解释和详细的价格分析进行审核后，业主可以：</w:t>
      </w:r>
    </w:p>
    <w:p>
      <w:pPr>
        <w:spacing w:before="120" w:after="120" w:line="240" w:lineRule="atLeast"/>
        <w:ind w:left="900" w:hanging="540"/>
        <w:jc w:val="left"/>
        <w:textAlignment w:val="auto"/>
        <w:rPr>
          <w:szCs w:val="21"/>
          <w:highlight w:val="none"/>
        </w:rPr>
      </w:pPr>
      <w:r>
        <w:rPr>
          <w:rFonts w:hint="eastAsia"/>
          <w:szCs w:val="21"/>
          <w:highlight w:val="none"/>
        </w:rPr>
        <w:t>（1）接受该投标，如果所提供的证据充分说明了其低价和低成本的合理性，这种情况下该投标不被视为异常低价投标；或</w:t>
      </w:r>
    </w:p>
    <w:p>
      <w:pPr>
        <w:spacing w:before="120" w:after="120" w:line="240" w:lineRule="atLeast"/>
        <w:ind w:left="900" w:hanging="540"/>
        <w:jc w:val="left"/>
        <w:textAlignment w:val="auto"/>
        <w:rPr>
          <w:szCs w:val="21"/>
          <w:highlight w:val="none"/>
        </w:rPr>
      </w:pPr>
      <w:r>
        <w:rPr>
          <w:rFonts w:hint="eastAsia"/>
          <w:szCs w:val="21"/>
          <w:highlight w:val="none"/>
        </w:rPr>
        <w:t>（2）接受该投标，但要求投标人</w:t>
      </w:r>
      <w:r>
        <w:rPr>
          <w:rFonts w:ascii="宋体" w:hAnsi="宋体"/>
          <w:szCs w:val="21"/>
          <w:highlight w:val="none"/>
        </w:rPr>
        <w:t>自行承担费用</w:t>
      </w:r>
      <w:r>
        <w:rPr>
          <w:rFonts w:hint="eastAsia"/>
          <w:szCs w:val="21"/>
          <w:highlight w:val="none"/>
        </w:rPr>
        <w:t>将其履约保证金的金额增加到足以补偿业主在中标人违约时可能造成的经济损失。履约保证金的金额一般不得超过合同价格的20%。在这种情况下，业主将在评标过程中进行澄清，如果投标人不同意增加履约保证金金额，其投标将被拒绝；或</w:t>
      </w:r>
    </w:p>
    <w:p>
      <w:pPr>
        <w:spacing w:before="120" w:after="120" w:line="240" w:lineRule="atLeast"/>
        <w:ind w:left="900" w:hanging="540"/>
        <w:jc w:val="left"/>
        <w:textAlignment w:val="auto"/>
        <w:rPr>
          <w:szCs w:val="21"/>
          <w:highlight w:val="none"/>
        </w:rPr>
      </w:pPr>
      <w:r>
        <w:rPr>
          <w:rFonts w:hint="eastAsia"/>
          <w:szCs w:val="21"/>
          <w:highlight w:val="none"/>
        </w:rPr>
        <w:t>（3）拒绝该投标，如果所提供的证据不能充分说明其低价和低成本的合理性，则拒绝该投标，并且如有需要，对下一个排名的投标做类似的判定。</w:t>
      </w:r>
    </w:p>
    <w:p>
      <w:pPr>
        <w:pStyle w:val="5"/>
        <w:rPr>
          <w:highlight w:val="none"/>
        </w:rPr>
      </w:pPr>
      <w:bookmarkStart w:id="666" w:name="_Toc169103230"/>
      <w:bookmarkStart w:id="667" w:name="_Toc110262696"/>
      <w:bookmarkStart w:id="668" w:name="_Toc171063093"/>
      <w:bookmarkStart w:id="669" w:name="_Toc171061182"/>
      <w:bookmarkStart w:id="670" w:name="_Toc110263890"/>
      <w:bookmarkStart w:id="671" w:name="_Toc110264351"/>
      <w:bookmarkStart w:id="672" w:name="_Toc110267624"/>
      <w:bookmarkStart w:id="673" w:name="_Toc79667265"/>
      <w:bookmarkStart w:id="674" w:name="_Toc128391197"/>
      <w:bookmarkStart w:id="675" w:name="_Toc79668243"/>
      <w:bookmarkStart w:id="676" w:name="_Toc128396323"/>
      <w:bookmarkStart w:id="677" w:name="_Toc168753175"/>
      <w:bookmarkStart w:id="678" w:name="_Toc128391450"/>
      <w:bookmarkStart w:id="679" w:name="_Toc128391550"/>
      <w:bookmarkStart w:id="680" w:name="_Toc324772185"/>
      <w:bookmarkStart w:id="681" w:name="_Toc391287316"/>
      <w:r>
        <w:rPr>
          <w:rFonts w:hint="eastAsia"/>
          <w:highlight w:val="none"/>
        </w:rPr>
        <w:t>第34条　</w:t>
      </w:r>
      <w:bookmarkStart w:id="682" w:name="_Hlk111559679"/>
      <w:r>
        <w:rPr>
          <w:rFonts w:hint="eastAsia"/>
          <w:highlight w:val="none"/>
        </w:rPr>
        <w:t>不平衡报价或报价前置的投标</w:t>
      </w:r>
      <w:bookmarkEnd w:id="666"/>
      <w:bookmarkEnd w:id="667"/>
      <w:bookmarkEnd w:id="668"/>
      <w:bookmarkEnd w:id="669"/>
      <w:bookmarkEnd w:id="670"/>
      <w:bookmarkEnd w:id="671"/>
      <w:bookmarkEnd w:id="672"/>
      <w:bookmarkEnd w:id="682"/>
    </w:p>
    <w:p>
      <w:pPr>
        <w:spacing w:before="120" w:after="120" w:line="240" w:lineRule="atLeast"/>
        <w:ind w:firstLine="420" w:firstLineChars="200"/>
        <w:textAlignment w:val="auto"/>
        <w:rPr>
          <w:szCs w:val="21"/>
          <w:highlight w:val="none"/>
        </w:rPr>
      </w:pPr>
      <w:r>
        <w:rPr>
          <w:szCs w:val="21"/>
          <w:highlight w:val="none"/>
        </w:rPr>
        <w:t>3</w:t>
      </w:r>
      <w:r>
        <w:rPr>
          <w:rFonts w:hint="eastAsia"/>
          <w:szCs w:val="21"/>
          <w:highlight w:val="none"/>
        </w:rPr>
        <w:t>4.1</w:t>
      </w:r>
      <w:r>
        <w:rPr>
          <w:szCs w:val="21"/>
          <w:highlight w:val="none"/>
        </w:rPr>
        <w:t xml:space="preserve"> </w:t>
      </w:r>
      <w:r>
        <w:rPr>
          <w:rFonts w:hint="eastAsia"/>
          <w:szCs w:val="21"/>
          <w:highlight w:val="none"/>
        </w:rPr>
        <w:t>对于计量合同的最低评标价的投标，如果业主认为其存在严重的不平衡报价或前置报价，业主可要求投标人就工程量清单中的任何或全部项目提供详细的价格分析，以表明该价格与建议的施工方法和时间表之间存在着内在的一致性，以及提供原材料、设备和劳务的计价和来源的分析。</w:t>
      </w:r>
    </w:p>
    <w:p>
      <w:pPr>
        <w:spacing w:before="120" w:after="120" w:line="240" w:lineRule="atLeast"/>
        <w:ind w:firstLine="420" w:firstLineChars="200"/>
        <w:textAlignment w:val="auto"/>
        <w:rPr>
          <w:szCs w:val="21"/>
          <w:highlight w:val="none"/>
        </w:rPr>
      </w:pPr>
      <w:r>
        <w:rPr>
          <w:rFonts w:hint="eastAsia"/>
          <w:szCs w:val="21"/>
          <w:highlight w:val="none"/>
        </w:rPr>
        <w:t>34.2</w:t>
      </w:r>
      <w:r>
        <w:rPr>
          <w:szCs w:val="21"/>
          <w:highlight w:val="none"/>
        </w:rPr>
        <w:t xml:space="preserve"> </w:t>
      </w:r>
      <w:r>
        <w:rPr>
          <w:rFonts w:hint="eastAsia"/>
          <w:szCs w:val="21"/>
          <w:highlight w:val="none"/>
        </w:rPr>
        <w:t>在对投标人提供的信息和详细的价格分析进行审核后，业主可以：</w:t>
      </w:r>
    </w:p>
    <w:p>
      <w:pPr>
        <w:spacing w:before="120" w:after="120" w:line="240" w:lineRule="atLeast"/>
        <w:ind w:left="900" w:hanging="540"/>
        <w:jc w:val="left"/>
        <w:textAlignment w:val="auto"/>
        <w:rPr>
          <w:szCs w:val="21"/>
          <w:highlight w:val="none"/>
        </w:rPr>
      </w:pPr>
      <w:r>
        <w:rPr>
          <w:rFonts w:hint="eastAsia"/>
          <w:szCs w:val="21"/>
          <w:highlight w:val="none"/>
        </w:rPr>
        <w:t>（1）接受该投标；或</w:t>
      </w:r>
    </w:p>
    <w:p>
      <w:pPr>
        <w:spacing w:before="120" w:after="120" w:line="240" w:lineRule="atLeast"/>
        <w:ind w:left="900" w:hanging="540"/>
        <w:jc w:val="left"/>
        <w:textAlignment w:val="auto"/>
        <w:rPr>
          <w:szCs w:val="21"/>
          <w:highlight w:val="none"/>
        </w:rPr>
      </w:pPr>
      <w:r>
        <w:rPr>
          <w:rFonts w:hint="eastAsia"/>
          <w:szCs w:val="21"/>
          <w:highlight w:val="none"/>
        </w:rPr>
        <w:t>（2）接受该投标，但要求投标人自费将其履约保证金的金额增加到足以补偿业主在中标人违约时可能造成的经济损失。履约保证金的金额一般不得超过合同价格的20%。在这种情况下，业主将在评标过程中进行澄清，如果投标人不同意增加履约保证金金额，其投标将被拒绝；或</w:t>
      </w:r>
    </w:p>
    <w:p>
      <w:pPr>
        <w:spacing w:before="120" w:after="120" w:line="240" w:lineRule="atLeast"/>
        <w:ind w:left="900" w:hanging="540"/>
        <w:jc w:val="left"/>
        <w:textAlignment w:val="auto"/>
        <w:rPr>
          <w:szCs w:val="21"/>
          <w:highlight w:val="none"/>
        </w:rPr>
      </w:pPr>
      <w:r>
        <w:rPr>
          <w:rFonts w:hint="eastAsia"/>
          <w:szCs w:val="21"/>
          <w:highlight w:val="none"/>
        </w:rPr>
        <w:t>（3）拒绝该投标，并且如有需要，对下一个排名的投标做类似的判定。</w:t>
      </w:r>
    </w:p>
    <w:p>
      <w:pPr>
        <w:pStyle w:val="5"/>
        <w:rPr>
          <w:highlight w:val="none"/>
          <w:lang w:val="en-US" w:eastAsia="zh-CN"/>
        </w:rPr>
      </w:pPr>
      <w:bookmarkStart w:id="683" w:name="_Toc110264352"/>
      <w:bookmarkStart w:id="684" w:name="_Toc171061183"/>
      <w:bookmarkStart w:id="685" w:name="_Toc169103231"/>
      <w:bookmarkStart w:id="686" w:name="_Toc171063094"/>
      <w:bookmarkStart w:id="687" w:name="_Toc110263891"/>
      <w:bookmarkStart w:id="688" w:name="_Toc110262697"/>
      <w:bookmarkStart w:id="689" w:name="_Toc110267625"/>
      <w:r>
        <w:rPr>
          <w:rFonts w:hint="eastAsia"/>
          <w:highlight w:val="none"/>
        </w:rPr>
        <w:t>第3</w:t>
      </w:r>
      <w:r>
        <w:rPr>
          <w:highlight w:val="none"/>
        </w:rPr>
        <w:t>5</w:t>
      </w:r>
      <w:r>
        <w:rPr>
          <w:rFonts w:hint="eastAsia"/>
          <w:highlight w:val="none"/>
        </w:rPr>
        <w:t>条　对投标人的资格审</w:t>
      </w:r>
      <w:bookmarkEnd w:id="673"/>
      <w:bookmarkEnd w:id="674"/>
      <w:bookmarkEnd w:id="675"/>
      <w:bookmarkEnd w:id="676"/>
      <w:bookmarkEnd w:id="677"/>
      <w:bookmarkEnd w:id="678"/>
      <w:bookmarkEnd w:id="679"/>
      <w:r>
        <w:rPr>
          <w:rFonts w:hint="eastAsia"/>
          <w:highlight w:val="none"/>
        </w:rPr>
        <w:t>查</w:t>
      </w:r>
      <w:bookmarkEnd w:id="680"/>
      <w:bookmarkEnd w:id="681"/>
      <w:bookmarkEnd w:id="683"/>
      <w:bookmarkEnd w:id="684"/>
      <w:bookmarkEnd w:id="685"/>
      <w:bookmarkEnd w:id="686"/>
      <w:bookmarkEnd w:id="687"/>
      <w:bookmarkEnd w:id="688"/>
      <w:bookmarkEnd w:id="689"/>
    </w:p>
    <w:p>
      <w:pPr>
        <w:spacing w:before="120" w:after="120" w:line="240" w:lineRule="atLeast"/>
        <w:ind w:firstLine="420" w:firstLineChars="200"/>
        <w:textAlignment w:val="auto"/>
        <w:rPr>
          <w:szCs w:val="21"/>
          <w:highlight w:val="none"/>
        </w:rPr>
      </w:pPr>
      <w:r>
        <w:rPr>
          <w:rFonts w:hint="eastAsia"/>
          <w:szCs w:val="21"/>
          <w:highlight w:val="none"/>
        </w:rPr>
        <w:t>3</w:t>
      </w:r>
      <w:r>
        <w:rPr>
          <w:szCs w:val="21"/>
          <w:highlight w:val="none"/>
        </w:rPr>
        <w:t>5</w:t>
      </w:r>
      <w:r>
        <w:rPr>
          <w:rFonts w:hint="eastAsia"/>
          <w:szCs w:val="21"/>
          <w:highlight w:val="none"/>
        </w:rPr>
        <w:t>.1　业主将确认递交了实质性响应招标文件的最低评标价的投标人是否能够达到本招标文件第三章规定的资格标准。</w:t>
      </w:r>
    </w:p>
    <w:p>
      <w:pPr>
        <w:spacing w:before="120" w:after="120" w:line="240" w:lineRule="atLeast"/>
        <w:ind w:firstLine="420" w:firstLineChars="200"/>
        <w:textAlignment w:val="auto"/>
        <w:rPr>
          <w:szCs w:val="21"/>
          <w:highlight w:val="none"/>
        </w:rPr>
      </w:pPr>
      <w:r>
        <w:rPr>
          <w:rFonts w:hint="eastAsia"/>
          <w:szCs w:val="21"/>
          <w:highlight w:val="none"/>
        </w:rPr>
        <w:t>3</w:t>
      </w:r>
      <w:r>
        <w:rPr>
          <w:szCs w:val="21"/>
          <w:highlight w:val="none"/>
        </w:rPr>
        <w:t>5</w:t>
      </w:r>
      <w:r>
        <w:rPr>
          <w:rFonts w:hint="eastAsia"/>
          <w:szCs w:val="21"/>
          <w:highlight w:val="none"/>
        </w:rPr>
        <w:t>.2　业主对投标人资格的审查将基于投标人根据“投标人须知”第</w:t>
      </w:r>
      <w:r>
        <w:rPr>
          <w:szCs w:val="21"/>
          <w:highlight w:val="none"/>
        </w:rPr>
        <w:t>1</w:t>
      </w:r>
      <w:r>
        <w:rPr>
          <w:rFonts w:hint="eastAsia"/>
          <w:szCs w:val="21"/>
          <w:highlight w:val="none"/>
        </w:rPr>
        <w:t>7.1款的规定所递交的资格证明文件。资格审查将不考虑其它公司的资格，如投标人的子公司、母公司、关联企业、分包商或任何不同于投标人的其它公司。</w:t>
      </w:r>
    </w:p>
    <w:p>
      <w:pPr>
        <w:spacing w:before="120" w:after="120" w:line="240" w:lineRule="atLeast"/>
        <w:ind w:firstLine="420" w:firstLineChars="200"/>
        <w:textAlignment w:val="auto"/>
        <w:rPr>
          <w:szCs w:val="21"/>
          <w:highlight w:val="none"/>
        </w:rPr>
      </w:pPr>
      <w:r>
        <w:rPr>
          <w:rFonts w:hint="eastAsia"/>
          <w:szCs w:val="21"/>
          <w:highlight w:val="none"/>
        </w:rPr>
        <w:t>3</w:t>
      </w:r>
      <w:r>
        <w:rPr>
          <w:szCs w:val="21"/>
          <w:highlight w:val="none"/>
        </w:rPr>
        <w:t>5</w:t>
      </w:r>
      <w:r>
        <w:rPr>
          <w:rFonts w:hint="eastAsia"/>
          <w:szCs w:val="21"/>
          <w:highlight w:val="none"/>
        </w:rPr>
        <w:t>.3　满足资格要求是授予合同的前提条件。未满足资格要求将导致其投标被拒绝。在此情况下，业主将对报出下一个最低评标价的投标人进行类似的资格审查以确定其是否有履行合同的能力。</w:t>
      </w:r>
    </w:p>
    <w:p>
      <w:pPr>
        <w:spacing w:before="120" w:after="120" w:line="240" w:lineRule="atLeast"/>
        <w:ind w:firstLine="420" w:firstLineChars="200"/>
        <w:textAlignment w:val="auto"/>
        <w:rPr>
          <w:highlight w:val="none"/>
        </w:rPr>
      </w:pPr>
      <w:r>
        <w:rPr>
          <w:szCs w:val="21"/>
          <w:highlight w:val="none"/>
        </w:rPr>
        <w:t>35.4　</w:t>
      </w:r>
      <w:r>
        <w:rPr>
          <w:rFonts w:hint="eastAsia"/>
          <w:highlight w:val="none"/>
        </w:rPr>
        <w:t>报出最低评标价的投标人所建议的制造厂商或分包商应满足本招标文件中所要求的主要设备生产能力或单项工程施工能力的要求。该能力可根据本招标文件第三章规定的标准和方法进行审查，以确定其是否满足要求。必要时，</w:t>
      </w:r>
      <w:r>
        <w:rPr>
          <w:rFonts w:hint="eastAsia"/>
          <w:szCs w:val="21"/>
          <w:highlight w:val="none"/>
        </w:rPr>
        <w:t>制造</w:t>
      </w:r>
      <w:r>
        <w:rPr>
          <w:rFonts w:hint="eastAsia"/>
          <w:highlight w:val="none"/>
        </w:rPr>
        <w:t>厂商或分包商的参与应通过其与投标人之间所签订的意向书予以确认。如果制造厂商或分包商的能力不满足要求，该投标不会被拒绝（除非招标文件第三章“评标与资格标准”另有规定），但投标人应提供其它的制造厂商或分包商进行替代而其投标报价不得改变。</w:t>
      </w:r>
    </w:p>
    <w:p>
      <w:pPr>
        <w:pStyle w:val="5"/>
        <w:rPr>
          <w:highlight w:val="none"/>
        </w:rPr>
      </w:pPr>
      <w:bookmarkStart w:id="690" w:name="_Toc391287317"/>
      <w:bookmarkStart w:id="691" w:name="_Toc110264353"/>
      <w:bookmarkStart w:id="692" w:name="_Toc110262698"/>
      <w:bookmarkStart w:id="693" w:name="_Toc128391198"/>
      <w:bookmarkStart w:id="694" w:name="_Toc128391551"/>
      <w:bookmarkStart w:id="695" w:name="_Toc110263892"/>
      <w:bookmarkStart w:id="696" w:name="_Toc168753176"/>
      <w:bookmarkStart w:id="697" w:name="_Toc79668244"/>
      <w:bookmarkStart w:id="698" w:name="_Toc128391451"/>
      <w:bookmarkStart w:id="699" w:name="_Toc324772186"/>
      <w:bookmarkStart w:id="700" w:name="_Toc171063095"/>
      <w:bookmarkStart w:id="701" w:name="_Toc79667266"/>
      <w:bookmarkStart w:id="702" w:name="_Toc128396324"/>
      <w:bookmarkStart w:id="703" w:name="_Toc110267626"/>
      <w:bookmarkStart w:id="704" w:name="_Toc169103232"/>
      <w:bookmarkStart w:id="705" w:name="_Toc171061184"/>
      <w:r>
        <w:rPr>
          <w:rFonts w:hint="eastAsia"/>
          <w:highlight w:val="none"/>
        </w:rPr>
        <w:t>第3</w:t>
      </w:r>
      <w:r>
        <w:rPr>
          <w:highlight w:val="none"/>
        </w:rPr>
        <w:t>6</w:t>
      </w:r>
      <w:r>
        <w:rPr>
          <w:rFonts w:hint="eastAsia"/>
          <w:highlight w:val="none"/>
        </w:rPr>
        <w:t>条　业主接受和拒绝任何或所有投标的权利</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pPr>
        <w:spacing w:before="120" w:after="120" w:line="240" w:lineRule="atLeast"/>
        <w:ind w:firstLine="420" w:firstLineChars="200"/>
        <w:textAlignment w:val="auto"/>
        <w:rPr>
          <w:szCs w:val="21"/>
          <w:highlight w:val="none"/>
        </w:rPr>
      </w:pPr>
      <w:r>
        <w:rPr>
          <w:rFonts w:hint="eastAsia"/>
          <w:szCs w:val="21"/>
          <w:highlight w:val="none"/>
        </w:rPr>
        <w:t>3</w:t>
      </w:r>
      <w:r>
        <w:rPr>
          <w:szCs w:val="21"/>
          <w:highlight w:val="none"/>
        </w:rPr>
        <w:t>6</w:t>
      </w:r>
      <w:r>
        <w:rPr>
          <w:rFonts w:hint="eastAsia"/>
          <w:szCs w:val="21"/>
          <w:highlight w:val="none"/>
        </w:rPr>
        <w:t>.1　业主保留在授予合同之前的任何时候接受或拒绝任何投标和取消招标程序的权利，而且对受影响的投标人不承担任何责任。在取消招标程序的情况下，所有投标文件，包括投标保证金将立即退还投标人。</w:t>
      </w:r>
    </w:p>
    <w:p>
      <w:pPr>
        <w:pStyle w:val="5"/>
        <w:rPr>
          <w:highlight w:val="none"/>
        </w:rPr>
      </w:pPr>
      <w:bookmarkStart w:id="706" w:name="_Toc169103233"/>
      <w:bookmarkStart w:id="707" w:name="_Toc171061185"/>
      <w:bookmarkStart w:id="708" w:name="_Toc110263893"/>
      <w:bookmarkStart w:id="709" w:name="_Toc110264354"/>
      <w:bookmarkStart w:id="710" w:name="_Toc110262699"/>
      <w:bookmarkStart w:id="711" w:name="_Toc171063096"/>
      <w:bookmarkStart w:id="712" w:name="_Toc110267627"/>
      <w:r>
        <w:rPr>
          <w:rFonts w:hint="eastAsia"/>
          <w:highlight w:val="none"/>
        </w:rPr>
        <w:t>第3</w:t>
      </w:r>
      <w:r>
        <w:rPr>
          <w:highlight w:val="none"/>
        </w:rPr>
        <w:t>7</w:t>
      </w:r>
      <w:r>
        <w:rPr>
          <w:rFonts w:hint="eastAsia"/>
          <w:highlight w:val="none"/>
        </w:rPr>
        <w:t>条　</w:t>
      </w:r>
      <w:r>
        <w:rPr>
          <w:rFonts w:hint="eastAsia"/>
          <w:highlight w:val="none"/>
          <w:lang w:eastAsia="zh-CN"/>
        </w:rPr>
        <w:t>停顿期</w:t>
      </w:r>
      <w:bookmarkEnd w:id="706"/>
      <w:bookmarkEnd w:id="707"/>
      <w:bookmarkEnd w:id="708"/>
      <w:bookmarkEnd w:id="709"/>
      <w:bookmarkEnd w:id="710"/>
      <w:bookmarkEnd w:id="711"/>
      <w:bookmarkEnd w:id="712"/>
    </w:p>
    <w:p>
      <w:pPr>
        <w:spacing w:before="120" w:after="120" w:line="240" w:lineRule="atLeast"/>
        <w:ind w:firstLine="420" w:firstLineChars="200"/>
        <w:textAlignment w:val="auto"/>
        <w:rPr>
          <w:szCs w:val="21"/>
          <w:highlight w:val="none"/>
        </w:rPr>
      </w:pPr>
      <w:r>
        <w:rPr>
          <w:rFonts w:hint="eastAsia"/>
          <w:szCs w:val="21"/>
          <w:highlight w:val="none"/>
        </w:rPr>
        <w:t>3</w:t>
      </w:r>
      <w:r>
        <w:rPr>
          <w:szCs w:val="21"/>
          <w:highlight w:val="none"/>
        </w:rPr>
        <w:t>7.1</w:t>
      </w:r>
      <w:r>
        <w:rPr>
          <w:rFonts w:hint="eastAsia"/>
          <w:szCs w:val="21"/>
          <w:highlight w:val="none"/>
        </w:rPr>
        <w:t>停顿期结束前不允许授标。停顿期从业主公示预授标意向的日期或通知各投标人预授标意向日期较早的时间起算。如果只收到一份投标文件或者招标的合同内容是为亚投行认可的应急处置，停顿期可以不适用。在中标通知书发出前，业主将填写第九章“合同格式”中的预授标意向，根据</w:t>
      </w:r>
      <w:r>
        <w:rPr>
          <w:rFonts w:hint="eastAsia"/>
          <w:b/>
          <w:bCs/>
          <w:szCs w:val="21"/>
          <w:highlight w:val="none"/>
        </w:rPr>
        <w:t>“投标资料表”</w:t>
      </w:r>
      <w:r>
        <w:rPr>
          <w:rFonts w:hint="eastAsia"/>
          <w:szCs w:val="21"/>
          <w:highlight w:val="none"/>
        </w:rPr>
        <w:t>规定以书面形式发给所有投标人或者在媒体或</w:t>
      </w:r>
      <w:r>
        <w:rPr>
          <w:rFonts w:hint="eastAsia"/>
          <w:highlight w:val="none"/>
        </w:rPr>
        <w:t>网站上进行公示。除非</w:t>
      </w:r>
      <w:r>
        <w:rPr>
          <w:rFonts w:hint="eastAsia"/>
          <w:b/>
          <w:bCs/>
          <w:highlight w:val="none"/>
        </w:rPr>
        <w:t>“投标资料表”</w:t>
      </w:r>
      <w:r>
        <w:rPr>
          <w:rFonts w:hint="eastAsia"/>
          <w:highlight w:val="none"/>
        </w:rPr>
        <w:t>中另有规定，停顿</w:t>
      </w:r>
      <w:r>
        <w:rPr>
          <w:rFonts w:hint="eastAsia"/>
          <w:szCs w:val="21"/>
          <w:highlight w:val="none"/>
        </w:rPr>
        <w:t>期应不少于3个工作日。</w:t>
      </w:r>
      <w:r>
        <w:rPr>
          <w:rFonts w:hint="eastAsia"/>
          <w:iCs/>
          <w:szCs w:val="21"/>
          <w:highlight w:val="none"/>
        </w:rPr>
        <w:t>预授标意向内容至少包括：</w:t>
      </w:r>
    </w:p>
    <w:p>
      <w:pPr>
        <w:spacing w:before="120" w:after="120" w:line="240" w:lineRule="atLeast"/>
        <w:ind w:left="900" w:hanging="540"/>
        <w:jc w:val="left"/>
        <w:textAlignment w:val="auto"/>
        <w:rPr>
          <w:szCs w:val="21"/>
          <w:highlight w:val="none"/>
        </w:rPr>
      </w:pPr>
      <w:r>
        <w:rPr>
          <w:rFonts w:hint="eastAsia"/>
          <w:szCs w:val="21"/>
          <w:highlight w:val="none"/>
        </w:rPr>
        <w:t>（1）业主的名称和地址；</w:t>
      </w:r>
    </w:p>
    <w:p>
      <w:pPr>
        <w:spacing w:before="120" w:after="120" w:line="240" w:lineRule="atLeast"/>
        <w:ind w:left="900" w:hanging="540"/>
        <w:jc w:val="left"/>
        <w:textAlignment w:val="auto"/>
        <w:rPr>
          <w:szCs w:val="21"/>
          <w:highlight w:val="none"/>
        </w:rPr>
      </w:pPr>
      <w:r>
        <w:rPr>
          <w:rFonts w:hint="eastAsia"/>
          <w:szCs w:val="21"/>
          <w:highlight w:val="none"/>
        </w:rPr>
        <w:t>（2）被授予合同的名称、编号及所使用的采购方式；</w:t>
      </w:r>
    </w:p>
    <w:p>
      <w:pPr>
        <w:spacing w:before="120" w:after="120" w:line="240" w:lineRule="atLeast"/>
        <w:ind w:left="900" w:hanging="540"/>
        <w:jc w:val="left"/>
        <w:textAlignment w:val="auto"/>
        <w:rPr>
          <w:szCs w:val="21"/>
          <w:highlight w:val="none"/>
        </w:rPr>
      </w:pPr>
      <w:r>
        <w:rPr>
          <w:rFonts w:hint="eastAsia"/>
          <w:szCs w:val="21"/>
          <w:highlight w:val="none"/>
        </w:rPr>
        <w:t>（3）所有投标人的名称、开标时的唱标价及经评审的评标价；</w:t>
      </w:r>
    </w:p>
    <w:p>
      <w:pPr>
        <w:spacing w:before="120" w:after="120" w:line="240" w:lineRule="atLeast"/>
        <w:ind w:left="900" w:hanging="540"/>
        <w:jc w:val="left"/>
        <w:textAlignment w:val="auto"/>
        <w:rPr>
          <w:szCs w:val="21"/>
          <w:highlight w:val="none"/>
        </w:rPr>
      </w:pPr>
      <w:r>
        <w:rPr>
          <w:rFonts w:hint="eastAsia"/>
          <w:szCs w:val="21"/>
          <w:highlight w:val="none"/>
        </w:rPr>
        <w:t>（</w:t>
      </w:r>
      <w:r>
        <w:rPr>
          <w:szCs w:val="21"/>
          <w:highlight w:val="none"/>
        </w:rPr>
        <w:t>4</w:t>
      </w:r>
      <w:r>
        <w:rPr>
          <w:rFonts w:hint="eastAsia"/>
          <w:szCs w:val="21"/>
          <w:highlight w:val="none"/>
        </w:rPr>
        <w:t>）投标文件因不响应、不符合资格标准、或未经评审而被拒绝的投标人的名称及其原因；</w:t>
      </w:r>
    </w:p>
    <w:p>
      <w:pPr>
        <w:spacing w:before="120" w:after="120" w:line="240" w:lineRule="atLeast"/>
        <w:ind w:left="900" w:hanging="540"/>
        <w:jc w:val="left"/>
        <w:textAlignment w:val="auto"/>
        <w:rPr>
          <w:szCs w:val="21"/>
          <w:highlight w:val="none"/>
        </w:rPr>
      </w:pPr>
      <w:r>
        <w:rPr>
          <w:rFonts w:hint="eastAsia"/>
          <w:szCs w:val="21"/>
          <w:highlight w:val="none"/>
        </w:rPr>
        <w:t>（5）推荐中标人的名称和合同价格；</w:t>
      </w:r>
    </w:p>
    <w:p>
      <w:pPr>
        <w:spacing w:before="120" w:after="120" w:line="240" w:lineRule="atLeast"/>
        <w:ind w:firstLine="420" w:firstLineChars="200"/>
        <w:rPr>
          <w:szCs w:val="21"/>
          <w:highlight w:val="none"/>
        </w:rPr>
      </w:pPr>
      <w:r>
        <w:rPr>
          <w:rFonts w:hint="eastAsia"/>
          <w:szCs w:val="21"/>
          <w:highlight w:val="none"/>
        </w:rPr>
        <w:t>（6）停顿期的到期日；</w:t>
      </w:r>
    </w:p>
    <w:p>
      <w:pPr>
        <w:spacing w:before="120" w:after="120" w:line="240" w:lineRule="atLeast"/>
        <w:ind w:firstLine="420" w:firstLineChars="200"/>
        <w:rPr>
          <w:szCs w:val="21"/>
          <w:highlight w:val="none"/>
        </w:rPr>
      </w:pPr>
      <w:r>
        <w:rPr>
          <w:rFonts w:hint="eastAsia"/>
          <w:szCs w:val="21"/>
          <w:highlight w:val="none"/>
        </w:rPr>
        <w:t>（7）在停顿期内提交情况说明和投诉的程序。</w:t>
      </w:r>
    </w:p>
    <w:p>
      <w:pPr>
        <w:spacing w:before="120" w:after="120" w:line="240" w:lineRule="atLeast"/>
        <w:ind w:firstLine="420" w:firstLineChars="200"/>
        <w:textAlignment w:val="auto"/>
        <w:rPr>
          <w:szCs w:val="21"/>
          <w:highlight w:val="none"/>
        </w:rPr>
      </w:pPr>
      <w:r>
        <w:rPr>
          <w:szCs w:val="21"/>
          <w:highlight w:val="none"/>
        </w:rPr>
        <w:t xml:space="preserve">37.2 </w:t>
      </w:r>
      <w:r>
        <w:rPr>
          <w:rFonts w:hint="eastAsia"/>
          <w:szCs w:val="21"/>
          <w:highlight w:val="none"/>
        </w:rPr>
        <w:t>投标人对预授标意向的投诉应在停顿期内提交。若投诉在停顿期结束后提交，停顿期不会延长。业主在收到投诉后3个工作日之内将回复投诉人确认收到投诉，并在收到投诉后7个工作日或者合理时间内就投诉内容答复投诉人。</w:t>
      </w:r>
    </w:p>
    <w:p>
      <w:pPr>
        <w:spacing w:before="120" w:after="120" w:line="240" w:lineRule="atLeast"/>
        <w:ind w:firstLine="420" w:firstLineChars="200"/>
        <w:textAlignment w:val="auto"/>
        <w:rPr>
          <w:szCs w:val="21"/>
          <w:highlight w:val="none"/>
        </w:rPr>
      </w:pPr>
      <w:bookmarkStart w:id="713" w:name="_Toc110262700"/>
      <w:bookmarkStart w:id="714" w:name="_Toc110264355"/>
      <w:bookmarkStart w:id="715" w:name="_Toc110264245"/>
      <w:bookmarkStart w:id="716" w:name="_Toc110261320"/>
      <w:bookmarkStart w:id="717" w:name="_Toc110264022"/>
      <w:bookmarkStart w:id="718" w:name="_Toc110263461"/>
      <w:bookmarkStart w:id="719" w:name="_Toc110263894"/>
      <w:r>
        <w:rPr>
          <w:rFonts w:hint="eastAsia"/>
          <w:szCs w:val="21"/>
          <w:highlight w:val="none"/>
        </w:rPr>
        <w:t>37.</w:t>
      </w:r>
      <w:r>
        <w:rPr>
          <w:szCs w:val="21"/>
          <w:highlight w:val="none"/>
        </w:rPr>
        <w:t>3</w:t>
      </w:r>
      <w:r>
        <w:rPr>
          <w:rFonts w:hint="eastAsia"/>
          <w:szCs w:val="21"/>
          <w:highlight w:val="none"/>
        </w:rPr>
        <w:t>　根据投标人须知第37.1款告知预授标意向后，如果有未中标的投标人提交情况说明，书面要求业主说明未中标的原因，业主必须尽快书面答复该投标人。</w:t>
      </w:r>
      <w:bookmarkEnd w:id="713"/>
      <w:bookmarkEnd w:id="714"/>
      <w:bookmarkEnd w:id="715"/>
      <w:bookmarkEnd w:id="716"/>
      <w:bookmarkEnd w:id="717"/>
      <w:bookmarkEnd w:id="718"/>
      <w:bookmarkEnd w:id="719"/>
    </w:p>
    <w:p>
      <w:pPr>
        <w:pStyle w:val="4"/>
      </w:pPr>
      <w:bookmarkStart w:id="720" w:name="_Toc128391199"/>
      <w:bookmarkStart w:id="721" w:name="_Toc128391452"/>
      <w:bookmarkStart w:id="722" w:name="_Toc168753177"/>
      <w:bookmarkStart w:id="723" w:name="_Toc128396325"/>
      <w:bookmarkStart w:id="724" w:name="_Toc79667267"/>
      <w:bookmarkStart w:id="725" w:name="_Toc79668245"/>
      <w:bookmarkStart w:id="726" w:name="_Toc128391552"/>
      <w:bookmarkStart w:id="727" w:name="_Toc391287318"/>
      <w:bookmarkStart w:id="728" w:name="_Toc110264356"/>
      <w:bookmarkStart w:id="729" w:name="_Toc110264727"/>
      <w:bookmarkStart w:id="730" w:name="_Toc110264944"/>
      <w:bookmarkStart w:id="731" w:name="_Toc171063097"/>
      <w:bookmarkStart w:id="732" w:name="_Toc110268518"/>
      <w:bookmarkStart w:id="733" w:name="_Toc110262701"/>
      <w:bookmarkStart w:id="734" w:name="_Toc110264780"/>
      <w:bookmarkStart w:id="735" w:name="_Toc171061186"/>
      <w:bookmarkStart w:id="736" w:name="_Toc110272052"/>
      <w:bookmarkStart w:id="737" w:name="_Toc169103234"/>
      <w:bookmarkStart w:id="738" w:name="_Toc324772187"/>
      <w:bookmarkStart w:id="739" w:name="_Toc110263895"/>
      <w:bookmarkStart w:id="740" w:name="_Toc110267629"/>
      <w:bookmarkStart w:id="741" w:name="_Toc110265180"/>
      <w:r>
        <w:rPr>
          <w:rFonts w:hint="eastAsia"/>
        </w:rPr>
        <w:t>第六节　合同</w:t>
      </w:r>
      <w:bookmarkEnd w:id="720"/>
      <w:bookmarkEnd w:id="721"/>
      <w:bookmarkEnd w:id="722"/>
      <w:bookmarkEnd w:id="723"/>
      <w:bookmarkEnd w:id="724"/>
      <w:bookmarkEnd w:id="725"/>
      <w:bookmarkEnd w:id="726"/>
      <w:r>
        <w:rPr>
          <w:rFonts w:hint="eastAsia"/>
        </w:rPr>
        <w:t>的授予</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5"/>
      </w:pPr>
      <w:bookmarkStart w:id="742" w:name="_Toc110267630"/>
      <w:bookmarkStart w:id="743" w:name="_Toc168753178"/>
      <w:bookmarkStart w:id="744" w:name="_Toc391287319"/>
      <w:bookmarkStart w:id="745" w:name="_Toc171061187"/>
      <w:bookmarkStart w:id="746" w:name="_Toc79667268"/>
      <w:bookmarkStart w:id="747" w:name="_Toc128391200"/>
      <w:bookmarkStart w:id="748" w:name="_Toc324772188"/>
      <w:bookmarkStart w:id="749" w:name="_Toc110262702"/>
      <w:bookmarkStart w:id="750" w:name="_Toc79668246"/>
      <w:bookmarkStart w:id="751" w:name="_Toc110264357"/>
      <w:bookmarkStart w:id="752" w:name="_Toc128391453"/>
      <w:bookmarkStart w:id="753" w:name="_Toc171063098"/>
      <w:bookmarkStart w:id="754" w:name="_Toc169103235"/>
      <w:bookmarkStart w:id="755" w:name="_Toc110263896"/>
      <w:bookmarkStart w:id="756" w:name="_Toc128391553"/>
      <w:bookmarkStart w:id="757" w:name="_Toc128396326"/>
      <w:r>
        <w:rPr>
          <w:rFonts w:hint="eastAsia"/>
        </w:rPr>
        <w:t>第3</w:t>
      </w:r>
      <w:r>
        <w:t>8</w:t>
      </w:r>
      <w:r>
        <w:rPr>
          <w:rFonts w:hint="eastAsia"/>
        </w:rPr>
        <w:t>条　授予合同的标准</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before="120" w:after="120" w:line="240" w:lineRule="atLeast"/>
        <w:ind w:firstLine="420" w:firstLineChars="200"/>
        <w:jc w:val="left"/>
        <w:textAlignment w:val="auto"/>
        <w:rPr>
          <w:szCs w:val="21"/>
        </w:rPr>
      </w:pPr>
      <w:r>
        <w:rPr>
          <w:rFonts w:hint="eastAsia"/>
          <w:szCs w:val="21"/>
        </w:rPr>
        <w:t>38.1　除非业主决定行使“投标人须知”第3</w:t>
      </w:r>
      <w:r>
        <w:rPr>
          <w:szCs w:val="21"/>
        </w:rPr>
        <w:t>6.1</w:t>
      </w:r>
      <w:r>
        <w:rPr>
          <w:rFonts w:hint="eastAsia"/>
          <w:szCs w:val="21"/>
        </w:rPr>
        <w:t>款赋予的权利，否则业主将把合同授予依照上述“投标人须知”</w:t>
      </w:r>
      <w:r>
        <w:rPr>
          <w:sz w:val="22"/>
          <w:szCs w:val="22"/>
        </w:rPr>
        <w:t xml:space="preserve"> </w:t>
      </w:r>
      <w:r>
        <w:rPr>
          <w:rFonts w:hint="eastAsia"/>
          <w:sz w:val="22"/>
          <w:szCs w:val="22"/>
        </w:rPr>
        <w:t>第</w:t>
      </w:r>
      <w:r>
        <w:rPr>
          <w:sz w:val="22"/>
          <w:szCs w:val="22"/>
        </w:rPr>
        <w:t>32</w:t>
      </w:r>
      <w:r>
        <w:rPr>
          <w:rFonts w:hint="eastAsia"/>
          <w:sz w:val="22"/>
          <w:szCs w:val="22"/>
        </w:rPr>
        <w:t>条至第</w:t>
      </w:r>
      <w:r>
        <w:rPr>
          <w:sz w:val="22"/>
          <w:szCs w:val="22"/>
        </w:rPr>
        <w:t>35</w:t>
      </w:r>
      <w:r>
        <w:rPr>
          <w:rFonts w:hint="eastAsia"/>
          <w:sz w:val="22"/>
          <w:szCs w:val="22"/>
        </w:rPr>
        <w:t>条的规定</w:t>
      </w:r>
      <w:r>
        <w:rPr>
          <w:rFonts w:hint="eastAsia"/>
          <w:szCs w:val="21"/>
        </w:rPr>
        <w:t>被认为递交了最低评标价而又实质性响应招标文件要求，并且满足资格标准要求的投标人。</w:t>
      </w:r>
      <w:bookmarkStart w:id="758" w:name="_Toc128396328"/>
      <w:bookmarkStart w:id="759" w:name="_Toc128391202"/>
      <w:bookmarkStart w:id="760" w:name="_Toc79668248"/>
      <w:bookmarkStart w:id="761" w:name="_Toc324772189"/>
      <w:bookmarkStart w:id="762" w:name="_Toc128391555"/>
      <w:bookmarkStart w:id="763" w:name="_Toc128391455"/>
      <w:bookmarkStart w:id="764" w:name="_Toc168753180"/>
      <w:bookmarkStart w:id="765" w:name="_Toc391287320"/>
      <w:bookmarkStart w:id="766" w:name="_Toc79667270"/>
    </w:p>
    <w:p>
      <w:pPr>
        <w:pStyle w:val="5"/>
      </w:pPr>
      <w:bookmarkStart w:id="767" w:name="_Toc110264358"/>
      <w:bookmarkStart w:id="768" w:name="_Toc110267631"/>
      <w:bookmarkStart w:id="769" w:name="_Toc169103236"/>
      <w:bookmarkStart w:id="770" w:name="_Toc171063099"/>
      <w:bookmarkStart w:id="771" w:name="_Toc110262703"/>
      <w:bookmarkStart w:id="772" w:name="_Toc171061188"/>
      <w:bookmarkStart w:id="773" w:name="_Toc110263897"/>
      <w:r>
        <w:rPr>
          <w:rFonts w:hint="eastAsia"/>
        </w:rPr>
        <w:t>第3</w:t>
      </w:r>
      <w:r>
        <w:t>9</w:t>
      </w:r>
      <w:r>
        <w:rPr>
          <w:rFonts w:hint="eastAsia"/>
        </w:rPr>
        <w:t>条　中标通知书</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spacing w:before="120" w:after="120" w:line="240" w:lineRule="atLeast"/>
        <w:ind w:firstLine="420" w:firstLineChars="200"/>
        <w:jc w:val="left"/>
        <w:textAlignment w:val="auto"/>
        <w:rPr>
          <w:szCs w:val="21"/>
        </w:rPr>
      </w:pPr>
      <w:r>
        <w:rPr>
          <w:szCs w:val="21"/>
          <w:lang w:val="zh-CN"/>
        </w:rPr>
        <w:t>39</w:t>
      </w:r>
      <w:r>
        <w:rPr>
          <w:rFonts w:hint="eastAsia"/>
          <w:szCs w:val="21"/>
        </w:rPr>
        <w:t>.</w:t>
      </w:r>
      <w:r>
        <w:rPr>
          <w:szCs w:val="21"/>
        </w:rPr>
        <w:t>1</w:t>
      </w:r>
      <w:r>
        <w:rPr>
          <w:rFonts w:hint="eastAsia"/>
          <w:szCs w:val="21"/>
        </w:rPr>
        <w:t>　在投标有效期内以及按照“投标人须知”第37.</w:t>
      </w:r>
      <w:r>
        <w:rPr>
          <w:szCs w:val="21"/>
        </w:rPr>
        <w:t>1</w:t>
      </w:r>
      <w:r>
        <w:rPr>
          <w:rFonts w:hint="eastAsia"/>
          <w:szCs w:val="21"/>
        </w:rPr>
        <w:t>款规定的停顿期结束后，且停顿期内提交的投诉已经被圆满解决，业主将使用第九章“合同格式”里中标通知书的格式通知中标人其投标已被接受。</w:t>
      </w:r>
    </w:p>
    <w:p>
      <w:pPr>
        <w:spacing w:before="120" w:after="120" w:line="240" w:lineRule="atLeast"/>
        <w:ind w:firstLine="420" w:firstLineChars="200"/>
        <w:jc w:val="left"/>
        <w:textAlignment w:val="auto"/>
        <w:rPr>
          <w:szCs w:val="21"/>
        </w:rPr>
      </w:pPr>
      <w:r>
        <w:rPr>
          <w:rFonts w:hint="eastAsia"/>
          <w:szCs w:val="21"/>
        </w:rPr>
        <w:t>3</w:t>
      </w:r>
      <w:r>
        <w:rPr>
          <w:szCs w:val="21"/>
        </w:rPr>
        <w:t>9</w:t>
      </w:r>
      <w:r>
        <w:rPr>
          <w:rFonts w:hint="eastAsia"/>
          <w:szCs w:val="21"/>
        </w:rPr>
        <w:t>.2　在中标通知书送达之日起10 个工作日内，业主将</w:t>
      </w:r>
      <w:r>
        <w:rPr>
          <w:szCs w:val="21"/>
        </w:rPr>
        <w:t>在</w:t>
      </w:r>
      <w:r>
        <w:rPr>
          <w:rFonts w:hint="eastAsia"/>
          <w:b/>
          <w:szCs w:val="21"/>
        </w:rPr>
        <w:t>“投标资料表”</w:t>
      </w:r>
      <w:r>
        <w:rPr>
          <w:rFonts w:hint="eastAsia"/>
          <w:szCs w:val="21"/>
        </w:rPr>
        <w:t>中列明的广泛发行的报刊上或可以自由进入的网站上刊登合同授予公告，公告以下信息：项目名称、合同名称、合同编号、中标人名称、中标价以及合同范围和工期。</w:t>
      </w:r>
    </w:p>
    <w:p>
      <w:pPr>
        <w:spacing w:before="120" w:after="120" w:line="240" w:lineRule="atLeast"/>
        <w:ind w:firstLine="420" w:firstLineChars="200"/>
        <w:textAlignment w:val="auto"/>
        <w:rPr>
          <w:szCs w:val="21"/>
        </w:rPr>
      </w:pPr>
      <w:r>
        <w:rPr>
          <w:rFonts w:hint="eastAsia"/>
          <w:szCs w:val="21"/>
        </w:rPr>
        <w:t>3</w:t>
      </w:r>
      <w:r>
        <w:rPr>
          <w:szCs w:val="21"/>
        </w:rPr>
        <w:t>9</w:t>
      </w:r>
      <w:r>
        <w:rPr>
          <w:rFonts w:hint="eastAsia"/>
          <w:szCs w:val="21"/>
        </w:rPr>
        <w:t>.3　在正式的合同准备完备和被签署之前，中标通知书的送达将视为合同成立。</w:t>
      </w:r>
    </w:p>
    <w:p>
      <w:pPr>
        <w:pStyle w:val="5"/>
      </w:pPr>
      <w:bookmarkStart w:id="774" w:name="_Toc110262704"/>
      <w:bookmarkStart w:id="775" w:name="_Toc128396329"/>
      <w:bookmarkStart w:id="776" w:name="_Toc110267632"/>
      <w:bookmarkStart w:id="777" w:name="_Toc110263898"/>
      <w:bookmarkStart w:id="778" w:name="_Toc128391456"/>
      <w:bookmarkStart w:id="779" w:name="_Toc171061189"/>
      <w:bookmarkStart w:id="780" w:name="_Toc324772190"/>
      <w:bookmarkStart w:id="781" w:name="_Toc169103237"/>
      <w:bookmarkStart w:id="782" w:name="_Toc128391556"/>
      <w:bookmarkStart w:id="783" w:name="_Toc128391203"/>
      <w:bookmarkStart w:id="784" w:name="_Toc79668249"/>
      <w:bookmarkStart w:id="785" w:name="_Toc171063100"/>
      <w:bookmarkStart w:id="786" w:name="_Toc168753181"/>
      <w:bookmarkStart w:id="787" w:name="_Toc110264359"/>
      <w:bookmarkStart w:id="788" w:name="_Toc391287321"/>
      <w:bookmarkStart w:id="789" w:name="_Toc79667271"/>
      <w:r>
        <w:rPr>
          <w:rFonts w:hint="eastAsia"/>
        </w:rPr>
        <w:t>第</w:t>
      </w:r>
      <w:r>
        <w:t>40</w:t>
      </w:r>
      <w:r>
        <w:rPr>
          <w:rFonts w:hint="eastAsia"/>
        </w:rPr>
        <w:t>条　签订合同</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spacing w:before="120" w:after="120" w:line="240" w:lineRule="atLeast"/>
        <w:ind w:firstLine="420" w:firstLineChars="200"/>
        <w:textAlignment w:val="auto"/>
        <w:rPr>
          <w:szCs w:val="21"/>
        </w:rPr>
      </w:pPr>
      <w:r>
        <w:rPr>
          <w:szCs w:val="21"/>
        </w:rPr>
        <w:t>40</w:t>
      </w:r>
      <w:r>
        <w:rPr>
          <w:rFonts w:hint="eastAsia"/>
          <w:szCs w:val="21"/>
        </w:rPr>
        <w:t>.</w:t>
      </w:r>
      <w:r>
        <w:rPr>
          <w:szCs w:val="21"/>
        </w:rPr>
        <w:t>1</w:t>
      </w:r>
      <w:r>
        <w:rPr>
          <w:rFonts w:hint="eastAsia"/>
          <w:szCs w:val="21"/>
        </w:rPr>
        <w:t>　在发布中标通知书后14天内，业主：</w:t>
      </w:r>
    </w:p>
    <w:p>
      <w:pPr>
        <w:spacing w:before="120" w:after="120" w:line="240" w:lineRule="atLeast"/>
        <w:ind w:left="900" w:hanging="540"/>
        <w:jc w:val="left"/>
        <w:textAlignment w:val="auto"/>
        <w:rPr>
          <w:szCs w:val="21"/>
        </w:rPr>
      </w:pPr>
      <w:r>
        <w:rPr>
          <w:rFonts w:hint="eastAsia"/>
          <w:szCs w:val="21"/>
        </w:rPr>
        <w:t>（1）将把由业主签字的合同发给中标人。该合同将包含业主和中标人之间达成的所有协议。在这种情况下，中标人必须在收到业主寄发的合同后14天内签署合同，并将合同发给业主；或者</w:t>
      </w:r>
    </w:p>
    <w:p>
      <w:pPr>
        <w:spacing w:before="120" w:after="120" w:line="240" w:lineRule="atLeast"/>
        <w:ind w:left="900" w:hanging="540"/>
        <w:jc w:val="left"/>
        <w:textAlignment w:val="auto"/>
        <w:rPr>
          <w:szCs w:val="21"/>
        </w:rPr>
      </w:pPr>
      <w:r>
        <w:rPr>
          <w:rFonts w:hint="eastAsia"/>
          <w:szCs w:val="21"/>
        </w:rPr>
        <w:t>（2）邀请中标人到指定的地点确认和签署合同。</w:t>
      </w:r>
    </w:p>
    <w:p>
      <w:pPr>
        <w:pStyle w:val="5"/>
      </w:pPr>
      <w:bookmarkStart w:id="790" w:name="_Toc168753182"/>
      <w:bookmarkStart w:id="791" w:name="_Toc324772191"/>
      <w:bookmarkStart w:id="792" w:name="_Toc110263899"/>
      <w:bookmarkStart w:id="793" w:name="_Toc171063101"/>
      <w:bookmarkStart w:id="794" w:name="_Toc110267633"/>
      <w:bookmarkStart w:id="795" w:name="_Toc79667272"/>
      <w:bookmarkStart w:id="796" w:name="_Toc128391204"/>
      <w:bookmarkStart w:id="797" w:name="_Toc169103238"/>
      <w:bookmarkStart w:id="798" w:name="_Toc128396330"/>
      <w:bookmarkStart w:id="799" w:name="_Toc171061190"/>
      <w:bookmarkStart w:id="800" w:name="_Toc110262705"/>
      <w:bookmarkStart w:id="801" w:name="_Toc79668250"/>
      <w:bookmarkStart w:id="802" w:name="_Toc391287322"/>
      <w:bookmarkStart w:id="803" w:name="_Toc128391457"/>
      <w:bookmarkStart w:id="804" w:name="_Toc110264360"/>
      <w:bookmarkStart w:id="805" w:name="_Toc128391557"/>
      <w:r>
        <w:rPr>
          <w:rFonts w:hint="eastAsia"/>
        </w:rPr>
        <w:t>第</w:t>
      </w:r>
      <w:r>
        <w:t>41</w:t>
      </w:r>
      <w:r>
        <w:rPr>
          <w:rFonts w:hint="eastAsia"/>
        </w:rPr>
        <w:t>条　履约保证金</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spacing w:before="120" w:after="120" w:line="240" w:lineRule="atLeast"/>
        <w:ind w:firstLine="420" w:firstLineChars="200"/>
        <w:textAlignment w:val="auto"/>
        <w:rPr>
          <w:szCs w:val="21"/>
        </w:rPr>
      </w:pPr>
      <w:r>
        <w:rPr>
          <w:szCs w:val="21"/>
        </w:rPr>
        <w:t>41</w:t>
      </w:r>
      <w:r>
        <w:rPr>
          <w:rFonts w:hint="eastAsia"/>
          <w:szCs w:val="21"/>
        </w:rPr>
        <w:t>.1　在收到中标通知书后</w:t>
      </w:r>
      <w:r>
        <w:rPr>
          <w:szCs w:val="21"/>
        </w:rPr>
        <w:t>28</w:t>
      </w:r>
      <w:r>
        <w:rPr>
          <w:rFonts w:hint="eastAsia"/>
          <w:szCs w:val="21"/>
        </w:rPr>
        <w:t>天内，中标人应根据合同条款以及“投标人须知”第</w:t>
      </w:r>
      <w:r>
        <w:rPr>
          <w:szCs w:val="21"/>
        </w:rPr>
        <w:t>33.3</w:t>
      </w:r>
      <w:r>
        <w:rPr>
          <w:rFonts w:hint="eastAsia"/>
          <w:szCs w:val="21"/>
        </w:rPr>
        <w:t>和3</w:t>
      </w:r>
      <w:r>
        <w:rPr>
          <w:szCs w:val="21"/>
        </w:rPr>
        <w:t>4.2</w:t>
      </w:r>
      <w:r>
        <w:rPr>
          <w:rFonts w:hint="eastAsia"/>
          <w:szCs w:val="21"/>
        </w:rPr>
        <w:t>款的规定，采用本招标文件第九章“合同格式”规定的履约保证金以及环境-社会-健康-安全保证金（如</w:t>
      </w:r>
      <w:r>
        <w:rPr>
          <w:rFonts w:hint="eastAsia"/>
          <w:b/>
          <w:bCs/>
          <w:szCs w:val="21"/>
        </w:rPr>
        <w:t>“投标资料表”</w:t>
      </w:r>
      <w:r>
        <w:rPr>
          <w:rFonts w:hint="eastAsia"/>
          <w:szCs w:val="21"/>
        </w:rPr>
        <w:t>要求）形式或业主可接受的其它形式向业主提交履约保证金以及环境-社会-健康-安全保证金（如</w:t>
      </w:r>
      <w:r>
        <w:rPr>
          <w:rFonts w:hint="eastAsia"/>
          <w:b/>
          <w:bCs/>
          <w:szCs w:val="21"/>
        </w:rPr>
        <w:t>“投标资料表”</w:t>
      </w:r>
      <w:r>
        <w:rPr>
          <w:rFonts w:hint="eastAsia"/>
          <w:szCs w:val="21"/>
        </w:rPr>
        <w:t>要求）。</w:t>
      </w:r>
    </w:p>
    <w:p>
      <w:pPr>
        <w:spacing w:before="120" w:after="120" w:line="240" w:lineRule="atLeast"/>
        <w:ind w:firstLine="420" w:firstLineChars="200"/>
        <w:textAlignment w:val="auto"/>
        <w:rPr>
          <w:szCs w:val="21"/>
        </w:rPr>
      </w:pPr>
      <w:r>
        <w:rPr>
          <w:szCs w:val="21"/>
        </w:rPr>
        <w:t>41</w:t>
      </w:r>
      <w:r>
        <w:rPr>
          <w:rFonts w:hint="eastAsia"/>
          <w:szCs w:val="21"/>
        </w:rPr>
        <w:t>.2　如果中标人未能根据上述要求提交履约保证金以及环境-社会-健康-安全保证金（如</w:t>
      </w:r>
      <w:r>
        <w:rPr>
          <w:rFonts w:hint="eastAsia"/>
          <w:b/>
          <w:bCs/>
          <w:szCs w:val="21"/>
        </w:rPr>
        <w:t>“投标资料表”</w:t>
      </w:r>
      <w:r>
        <w:rPr>
          <w:rFonts w:hint="eastAsia"/>
          <w:szCs w:val="21"/>
        </w:rPr>
        <w:t>要求）或签署合同协议书，业主将取消合同，并没收其投标保证金。在此情况下，业主将在投标有效期内把合同授予下一个递交了最低评标价，</w:t>
      </w:r>
      <w:r>
        <w:rPr>
          <w:rFonts w:hint="eastAsia"/>
        </w:rPr>
        <w:t>并实质性响应招标文件且满足资格标准要求的投标人</w:t>
      </w:r>
      <w:r>
        <w:rPr>
          <w:rFonts w:hint="eastAsia"/>
          <w:szCs w:val="21"/>
        </w:rPr>
        <w:t>。</w:t>
      </w:r>
    </w:p>
    <w:p>
      <w:pPr>
        <w:pStyle w:val="5"/>
      </w:pPr>
      <w:bookmarkStart w:id="806" w:name="_Toc171063102"/>
      <w:bookmarkStart w:id="807" w:name="_Toc110262706"/>
      <w:bookmarkStart w:id="808" w:name="_Toc391287323"/>
      <w:bookmarkStart w:id="809" w:name="_Toc110267634"/>
      <w:bookmarkStart w:id="810" w:name="_Toc324772192"/>
      <w:bookmarkStart w:id="811" w:name="_Toc169103239"/>
      <w:bookmarkStart w:id="812" w:name="_Toc171061191"/>
      <w:bookmarkStart w:id="813" w:name="_Toc110264361"/>
      <w:bookmarkStart w:id="814" w:name="_Toc110263900"/>
      <w:r>
        <w:t>第42条　调解员</w:t>
      </w:r>
      <w:bookmarkEnd w:id="806"/>
      <w:bookmarkEnd w:id="807"/>
      <w:bookmarkEnd w:id="808"/>
      <w:bookmarkEnd w:id="809"/>
      <w:bookmarkEnd w:id="810"/>
      <w:bookmarkEnd w:id="811"/>
      <w:bookmarkEnd w:id="812"/>
      <w:bookmarkEnd w:id="813"/>
      <w:bookmarkEnd w:id="814"/>
    </w:p>
    <w:p>
      <w:pPr>
        <w:tabs>
          <w:tab w:val="left" w:pos="1371"/>
          <w:tab w:val="left" w:pos="2018"/>
        </w:tabs>
        <w:spacing w:before="120" w:after="120" w:line="240" w:lineRule="atLeast"/>
        <w:ind w:firstLine="420" w:firstLineChars="200"/>
        <w:jc w:val="left"/>
        <w:textAlignment w:val="auto"/>
        <w:rPr>
          <w:szCs w:val="21"/>
        </w:rPr>
      </w:pPr>
      <w:r>
        <w:rPr>
          <w:rFonts w:hint="eastAsia"/>
          <w:szCs w:val="21"/>
        </w:rPr>
        <w:t>4</w:t>
      </w:r>
      <w:r>
        <w:rPr>
          <w:szCs w:val="21"/>
        </w:rPr>
        <w:t>2</w:t>
      </w:r>
      <w:r>
        <w:rPr>
          <w:rFonts w:hint="eastAsia"/>
          <w:szCs w:val="21"/>
        </w:rPr>
        <w:t>.1　业主将建议</w:t>
      </w:r>
      <w:r>
        <w:rPr>
          <w:rFonts w:hint="eastAsia"/>
          <w:b/>
          <w:szCs w:val="21"/>
        </w:rPr>
        <w:t>“投标资料表”</w:t>
      </w:r>
      <w:r>
        <w:rPr>
          <w:rFonts w:hint="eastAsia"/>
          <w:szCs w:val="21"/>
        </w:rPr>
        <w:t>指定的人员作为合同的调解员。其每小时的报酬在</w:t>
      </w:r>
      <w:r>
        <w:rPr>
          <w:rFonts w:hint="eastAsia"/>
          <w:b/>
          <w:szCs w:val="21"/>
        </w:rPr>
        <w:t>“投标资料表”</w:t>
      </w:r>
      <w:r>
        <w:rPr>
          <w:rFonts w:hint="eastAsia"/>
          <w:szCs w:val="21"/>
        </w:rPr>
        <w:t>中规定，外加可报销费用。如果投标人不同意该建议，投标人应在其投标文件中提出。如果在中标通知书中业主不同意对调解员的任命，业主将提请特殊合同条款指定的调解员指定机构根据一般合同条款第24.1款任命调解员。</w:t>
      </w:r>
    </w:p>
    <w:p>
      <w:pPr>
        <w:pStyle w:val="5"/>
      </w:pPr>
      <w:bookmarkStart w:id="815" w:name="_Toc171063103"/>
      <w:bookmarkStart w:id="816" w:name="_Toc391287324"/>
      <w:bookmarkStart w:id="817" w:name="_Toc110267635"/>
      <w:bookmarkStart w:id="818" w:name="_Toc110264362"/>
      <w:bookmarkStart w:id="819" w:name="_Toc169103240"/>
      <w:bookmarkStart w:id="820" w:name="_Toc110263901"/>
      <w:bookmarkStart w:id="821" w:name="_Toc171061192"/>
      <w:bookmarkStart w:id="822" w:name="_Toc110262707"/>
      <w:r>
        <w:rPr>
          <w:rFonts w:hint="eastAsia"/>
        </w:rPr>
        <w:t>第4</w:t>
      </w:r>
      <w:r>
        <w:t>3</w:t>
      </w:r>
      <w:r>
        <w:rPr>
          <w:rFonts w:hint="eastAsia"/>
        </w:rPr>
        <w:t>条</w:t>
      </w:r>
      <w:r>
        <w:t>　</w:t>
      </w:r>
      <w:r>
        <w:rPr>
          <w:rFonts w:hint="eastAsia"/>
        </w:rPr>
        <w:t>投标人的投诉</w:t>
      </w:r>
      <w:bookmarkEnd w:id="815"/>
      <w:bookmarkEnd w:id="816"/>
      <w:bookmarkEnd w:id="817"/>
      <w:bookmarkEnd w:id="818"/>
      <w:bookmarkEnd w:id="819"/>
      <w:bookmarkEnd w:id="820"/>
      <w:bookmarkEnd w:id="821"/>
      <w:bookmarkEnd w:id="822"/>
    </w:p>
    <w:p>
      <w:pPr>
        <w:tabs>
          <w:tab w:val="left" w:pos="1371"/>
          <w:tab w:val="left" w:pos="2018"/>
        </w:tabs>
        <w:spacing w:before="120" w:after="120" w:line="240" w:lineRule="atLeast"/>
        <w:ind w:firstLine="420" w:firstLineChars="200"/>
        <w:jc w:val="left"/>
        <w:textAlignment w:val="auto"/>
        <w:rPr>
          <w:szCs w:val="21"/>
        </w:rPr>
      </w:pPr>
      <w:r>
        <w:rPr>
          <w:szCs w:val="21"/>
        </w:rPr>
        <w:t xml:space="preserve">43.1  </w:t>
      </w:r>
      <w:r>
        <w:rPr>
          <w:rFonts w:hint="eastAsia"/>
          <w:szCs w:val="21"/>
        </w:rPr>
        <w:t>任何对招标过程或合同授予决定的投诉应以书面形式发送给</w:t>
      </w:r>
      <w:r>
        <w:rPr>
          <w:rFonts w:hint="eastAsia"/>
          <w:b/>
          <w:bCs/>
          <w:szCs w:val="21"/>
        </w:rPr>
        <w:t>“投标资料表”</w:t>
      </w:r>
      <w:r>
        <w:rPr>
          <w:rFonts w:hint="eastAsia"/>
          <w:szCs w:val="21"/>
        </w:rPr>
        <w:t>第</w:t>
      </w:r>
      <w:r>
        <w:rPr>
          <w:szCs w:val="21"/>
        </w:rPr>
        <w:t>1.1</w:t>
      </w:r>
      <w:r>
        <w:rPr>
          <w:rFonts w:hint="eastAsia"/>
          <w:szCs w:val="21"/>
        </w:rPr>
        <w:t>款中规定的业主。相关投诉</w:t>
      </w:r>
      <w:r>
        <w:rPr>
          <w:szCs w:val="21"/>
        </w:rPr>
        <w:t>的</w:t>
      </w:r>
      <w:r>
        <w:rPr>
          <w:rFonts w:hint="eastAsia"/>
          <w:szCs w:val="21"/>
        </w:rPr>
        <w:t>处理办法在</w:t>
      </w:r>
      <w:r>
        <w:rPr>
          <w:rFonts w:hint="eastAsia"/>
          <w:b/>
          <w:szCs w:val="21"/>
        </w:rPr>
        <w:t>“投标资料表”</w:t>
      </w:r>
      <w:r>
        <w:rPr>
          <w:rFonts w:hint="eastAsia"/>
          <w:szCs w:val="21"/>
        </w:rPr>
        <w:t>中列明</w:t>
      </w:r>
      <w:r>
        <w:rPr>
          <w:szCs w:val="21"/>
        </w:rPr>
        <w:t>。</w:t>
      </w:r>
    </w:p>
    <w:p>
      <w:pPr>
        <w:tabs>
          <w:tab w:val="left" w:pos="1371"/>
          <w:tab w:val="left" w:pos="2018"/>
        </w:tabs>
        <w:spacing w:before="120" w:after="120" w:line="240" w:lineRule="atLeast"/>
        <w:ind w:firstLine="420" w:firstLineChars="200"/>
        <w:jc w:val="left"/>
        <w:textAlignment w:val="auto"/>
        <w:rPr>
          <w:szCs w:val="21"/>
        </w:rPr>
        <w:sectPr>
          <w:headerReference r:id="rId8" w:type="default"/>
          <w:footnotePr>
            <w:numRestart w:val="eachPage"/>
          </w:footnotePr>
          <w:endnotePr>
            <w:numFmt w:val="decimal"/>
          </w:endnotePr>
          <w:pgSz w:w="11907" w:h="16840"/>
          <w:pgMar w:top="1440" w:right="1797" w:bottom="1440" w:left="1797" w:header="851" w:footer="992" w:gutter="0"/>
          <w:cols w:space="425" w:num="1"/>
          <w:docGrid w:linePitch="312" w:charSpace="0"/>
        </w:sectPr>
      </w:pPr>
      <w:r>
        <w:rPr>
          <w:szCs w:val="21"/>
        </w:rPr>
        <w:br w:type="page"/>
      </w:r>
    </w:p>
    <w:bookmarkEnd w:id="39"/>
    <w:p>
      <w:pPr>
        <w:pStyle w:val="3"/>
      </w:pPr>
      <w:bookmarkStart w:id="823" w:name="_Toc110268519"/>
      <w:bookmarkStart w:id="824" w:name="_Toc168753095"/>
      <w:bookmarkStart w:id="825" w:name="_Toc171063104"/>
      <w:bookmarkStart w:id="826" w:name="_Toc110267636"/>
      <w:bookmarkStart w:id="827" w:name="_Toc128391458"/>
      <w:bookmarkStart w:id="828" w:name="_Toc110330404"/>
      <w:bookmarkStart w:id="829" w:name="_Toc110328304"/>
      <w:bookmarkStart w:id="830" w:name="_Toc110330465"/>
      <w:bookmarkStart w:id="831" w:name="_Toc110264728"/>
      <w:bookmarkStart w:id="832" w:name="_Toc110263902"/>
      <w:bookmarkStart w:id="833" w:name="_Toc110264363"/>
      <w:bookmarkStart w:id="834" w:name="_Toc110272053"/>
      <w:bookmarkStart w:id="835" w:name="_Toc110262708"/>
      <w:bookmarkStart w:id="836" w:name="_Toc128391558"/>
      <w:bookmarkStart w:id="837" w:name="_Toc110264781"/>
      <w:bookmarkStart w:id="838" w:name="_Toc110265181"/>
      <w:bookmarkStart w:id="839" w:name="_Toc391287325"/>
      <w:bookmarkStart w:id="840" w:name="_Toc324772193"/>
      <w:bookmarkStart w:id="841" w:name="_Toc128392644"/>
      <w:bookmarkStart w:id="842" w:name="_Toc110264945"/>
      <w:bookmarkStart w:id="843" w:name="_Toc169103241"/>
      <w:bookmarkStart w:id="844" w:name="_Toc324771977"/>
      <w:r>
        <w:rPr>
          <w:rFonts w:hint="eastAsia"/>
        </w:rPr>
        <w:t>第二章　投标资料表</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spacing w:before="120" w:after="120" w:line="240" w:lineRule="auto"/>
        <w:ind w:firstLine="420" w:firstLineChars="200"/>
        <w:textAlignment w:val="auto"/>
      </w:pPr>
      <w:r>
        <w:rPr>
          <w:rFonts w:hint="eastAsia"/>
        </w:rPr>
        <w:t>下述具体规定是对“第一章 投标人须知”内容的完善、补充或修改。如果两者之间存在冲突，则以本资料表为准。</w:t>
      </w:r>
    </w:p>
    <w:tbl>
      <w:tblPr>
        <w:tblStyle w:val="62"/>
        <w:tblW w:w="830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widowControl/>
              <w:spacing w:before="120" w:after="120" w:line="240" w:lineRule="atLeast"/>
              <w:jc w:val="center"/>
              <w:textAlignment w:val="auto"/>
              <w:rPr>
                <w:b/>
                <w:szCs w:val="21"/>
              </w:rPr>
            </w:pPr>
            <w:r>
              <w:rPr>
                <w:rFonts w:hint="eastAsia"/>
                <w:b/>
                <w:szCs w:val="21"/>
              </w:rPr>
              <w:t>第一节　</w:t>
            </w:r>
            <w:r>
              <w:rPr>
                <w:b/>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vMerge w:val="restart"/>
          </w:tcPr>
          <w:p>
            <w:pPr>
              <w:widowControl/>
              <w:spacing w:before="120" w:after="120" w:line="240" w:lineRule="atLeast"/>
              <w:jc w:val="center"/>
              <w:textAlignment w:val="auto"/>
              <w:rPr>
                <w:b/>
                <w:szCs w:val="21"/>
              </w:rPr>
            </w:pPr>
            <w:r>
              <w:rPr>
                <w:rFonts w:hint="eastAsia"/>
                <w:b/>
                <w:szCs w:val="21"/>
              </w:rPr>
              <w:t>第</w:t>
            </w:r>
            <w:r>
              <w:rPr>
                <w:b/>
                <w:szCs w:val="21"/>
              </w:rPr>
              <w:t>1.1</w:t>
            </w:r>
            <w:r>
              <w:rPr>
                <w:rFonts w:hint="eastAsia"/>
                <w:b/>
                <w:szCs w:val="21"/>
              </w:rPr>
              <w:t>款</w:t>
            </w:r>
          </w:p>
        </w:tc>
        <w:tc>
          <w:tcPr>
            <w:tcW w:w="6048" w:type="dxa"/>
          </w:tcPr>
          <w:p>
            <w:pPr>
              <w:widowControl/>
              <w:spacing w:before="120" w:after="120" w:line="240" w:lineRule="atLeast"/>
              <w:textAlignment w:val="auto"/>
              <w:rPr>
                <w:rFonts w:hint="eastAsia"/>
                <w:bCs/>
                <w:szCs w:val="21"/>
              </w:rPr>
            </w:pPr>
            <w:r>
              <w:rPr>
                <w:rFonts w:hint="eastAsia"/>
                <w:bCs/>
                <w:szCs w:val="21"/>
              </w:rPr>
              <w:t>业主名称：焦作市住房和城乡建设局</w:t>
            </w:r>
          </w:p>
          <w:p>
            <w:pPr>
              <w:widowControl/>
              <w:spacing w:before="120" w:after="120" w:line="240" w:lineRule="atLeast"/>
              <w:textAlignment w:val="auto"/>
              <w:rPr>
                <w:rFonts w:hint="eastAsia"/>
                <w:bCs/>
                <w:szCs w:val="21"/>
              </w:rPr>
            </w:pPr>
            <w:r>
              <w:rPr>
                <w:rFonts w:hint="eastAsia"/>
                <w:bCs/>
                <w:szCs w:val="21"/>
              </w:rPr>
              <w:t>业主地址、联系人及联系方式：</w:t>
            </w:r>
          </w:p>
          <w:p>
            <w:pPr>
              <w:widowControl/>
              <w:spacing w:before="120" w:after="120" w:line="240" w:lineRule="atLeast"/>
              <w:textAlignment w:val="auto"/>
              <w:rPr>
                <w:rFonts w:hint="eastAsia"/>
                <w:bCs/>
                <w:szCs w:val="21"/>
              </w:rPr>
            </w:pPr>
            <w:r>
              <w:rPr>
                <w:rFonts w:hint="eastAsia"/>
                <w:bCs/>
                <w:szCs w:val="21"/>
              </w:rPr>
              <w:t>地址：河南省焦作市解放区站前路88号建设大厦</w:t>
            </w:r>
          </w:p>
          <w:p>
            <w:pPr>
              <w:widowControl/>
              <w:spacing w:before="120" w:after="120" w:line="240" w:lineRule="atLeast"/>
              <w:textAlignment w:val="auto"/>
              <w:rPr>
                <w:rFonts w:hint="eastAsia"/>
                <w:bCs/>
                <w:szCs w:val="21"/>
              </w:rPr>
            </w:pPr>
            <w:r>
              <w:rPr>
                <w:rFonts w:hint="eastAsia"/>
                <w:bCs/>
                <w:szCs w:val="21"/>
              </w:rPr>
              <w:t>联系人：</w:t>
            </w:r>
            <w:r>
              <w:rPr>
                <w:rFonts w:hint="eastAsia"/>
                <w:bCs/>
                <w:szCs w:val="21"/>
                <w:lang w:val="en-US" w:eastAsia="zh-CN"/>
              </w:rPr>
              <w:t>王坤、</w:t>
            </w:r>
            <w:r>
              <w:rPr>
                <w:rFonts w:hint="eastAsia"/>
                <w:bCs/>
                <w:szCs w:val="21"/>
              </w:rPr>
              <w:t>张旭</w:t>
            </w:r>
          </w:p>
          <w:p>
            <w:pPr>
              <w:widowControl/>
              <w:spacing w:before="120" w:after="120" w:line="240" w:lineRule="atLeast"/>
              <w:textAlignment w:val="auto"/>
              <w:rPr>
                <w:rFonts w:hint="default" w:eastAsia="宋体"/>
                <w:bCs/>
                <w:szCs w:val="21"/>
                <w:lang w:val="en-US" w:eastAsia="zh-CN"/>
              </w:rPr>
            </w:pPr>
            <w:r>
              <w:rPr>
                <w:rFonts w:hint="eastAsia"/>
                <w:bCs/>
                <w:szCs w:val="21"/>
              </w:rPr>
              <w:t>电    话：0391-355</w:t>
            </w:r>
            <w:r>
              <w:rPr>
                <w:rFonts w:hint="eastAsia"/>
                <w:bCs/>
                <w:szCs w:val="21"/>
                <w:lang w:val="en-US" w:eastAsia="zh-CN"/>
              </w:rPr>
              <w:t>0056</w:t>
            </w:r>
          </w:p>
          <w:p>
            <w:pPr>
              <w:widowControl/>
              <w:spacing w:before="120" w:after="120" w:line="240" w:lineRule="atLeast"/>
              <w:textAlignment w:val="auto"/>
              <w:rPr>
                <w:bCs/>
                <w:szCs w:val="21"/>
              </w:rPr>
            </w:pPr>
            <w:r>
              <w:rPr>
                <w:rFonts w:hint="eastAsia"/>
                <w:bCs/>
                <w:szCs w:val="21"/>
              </w:rPr>
              <w:t>邮    箱：zjjythxmb@163.com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vMerge w:val="continue"/>
          </w:tcPr>
          <w:p>
            <w:pPr>
              <w:widowControl/>
              <w:spacing w:before="120" w:after="120" w:line="240" w:lineRule="atLeast"/>
              <w:jc w:val="center"/>
              <w:textAlignment w:val="auto"/>
              <w:rPr>
                <w:b/>
                <w:szCs w:val="21"/>
              </w:rPr>
            </w:pPr>
          </w:p>
        </w:tc>
        <w:tc>
          <w:tcPr>
            <w:tcW w:w="6048" w:type="dxa"/>
          </w:tcPr>
          <w:p>
            <w:pPr>
              <w:widowControl/>
              <w:spacing w:before="120" w:after="120" w:line="240" w:lineRule="atLeast"/>
              <w:textAlignment w:val="auto"/>
              <w:rPr>
                <w:rFonts w:hint="eastAsia"/>
                <w:bCs/>
                <w:szCs w:val="21"/>
              </w:rPr>
            </w:pPr>
            <w:r>
              <w:rPr>
                <w:rFonts w:hint="eastAsia"/>
                <w:bCs/>
                <w:szCs w:val="21"/>
              </w:rPr>
              <w:t>本次招标合同的名称、编号和内容：</w:t>
            </w:r>
          </w:p>
          <w:p>
            <w:pPr>
              <w:widowControl/>
              <w:spacing w:before="120" w:after="120" w:line="240" w:lineRule="atLeast"/>
              <w:textAlignment w:val="auto"/>
              <w:rPr>
                <w:rFonts w:hint="eastAsia"/>
                <w:bCs/>
                <w:szCs w:val="21"/>
              </w:rPr>
            </w:pPr>
            <w:r>
              <w:rPr>
                <w:rFonts w:hint="eastAsia"/>
                <w:bCs/>
                <w:szCs w:val="21"/>
              </w:rPr>
              <w:t>（1）合同名称：田涧沟(解放西路-林园路)治理工程</w:t>
            </w:r>
          </w:p>
          <w:p>
            <w:pPr>
              <w:widowControl/>
              <w:spacing w:before="120" w:after="120" w:line="240" w:lineRule="atLeast"/>
              <w:textAlignment w:val="auto"/>
              <w:rPr>
                <w:rFonts w:hint="eastAsia"/>
                <w:bCs/>
                <w:szCs w:val="21"/>
              </w:rPr>
            </w:pPr>
            <w:r>
              <w:rPr>
                <w:rFonts w:hint="eastAsia"/>
                <w:bCs/>
                <w:szCs w:val="21"/>
              </w:rPr>
              <w:t>合同号：</w:t>
            </w:r>
            <w:r>
              <w:rPr>
                <w:rFonts w:hint="eastAsia"/>
                <w:bCs/>
                <w:szCs w:val="21"/>
                <w:lang w:eastAsia="zh-CN"/>
              </w:rPr>
              <w:t>JZTJ121A</w:t>
            </w:r>
            <w:r>
              <w:rPr>
                <w:rFonts w:hint="eastAsia"/>
                <w:bCs/>
                <w:szCs w:val="21"/>
              </w:rPr>
              <w:t>；</w:t>
            </w:r>
          </w:p>
          <w:p>
            <w:pPr>
              <w:widowControl/>
              <w:spacing w:before="120" w:after="120" w:line="240" w:lineRule="atLeast"/>
              <w:textAlignment w:val="auto"/>
              <w:rPr>
                <w:rFonts w:hint="eastAsia"/>
                <w:bCs/>
                <w:szCs w:val="21"/>
              </w:rPr>
            </w:pPr>
            <w:r>
              <w:rPr>
                <w:rFonts w:hint="eastAsia"/>
                <w:bCs/>
                <w:szCs w:val="21"/>
              </w:rPr>
              <w:t>本项目建设内容主要为：桩号K3+300-K4+990，长度为1690m。工程主要建设内容包括水利工程和截污管道工程。其中水利工程包括开挖疏浚河道、岸坡护砌、紫荆路、解放西路、新园路桥涵拆除重建等；截污管道工程为截污管道改线。合同预算价：3648.6万元；合同工期：9个月。（详见图纸）</w:t>
            </w:r>
          </w:p>
          <w:p>
            <w:pPr>
              <w:widowControl/>
              <w:spacing w:before="120" w:after="120" w:line="240" w:lineRule="atLeast"/>
              <w:textAlignment w:val="auto"/>
              <w:rPr>
                <w:rFonts w:hint="eastAsia"/>
                <w:bCs/>
                <w:szCs w:val="21"/>
              </w:rPr>
            </w:pPr>
            <w:r>
              <w:rPr>
                <w:rFonts w:hint="eastAsia"/>
                <w:bCs/>
                <w:szCs w:val="21"/>
              </w:rPr>
              <w:t>（2）合同名称：田涧沟(林园路-普济河)治理工程</w:t>
            </w:r>
          </w:p>
          <w:p>
            <w:pPr>
              <w:widowControl/>
              <w:spacing w:before="120" w:after="120" w:line="240" w:lineRule="atLeast"/>
              <w:textAlignment w:val="auto"/>
              <w:rPr>
                <w:rFonts w:hint="eastAsia" w:eastAsia="宋体"/>
                <w:bCs/>
                <w:szCs w:val="21"/>
                <w:lang w:eastAsia="zh-CN"/>
              </w:rPr>
            </w:pPr>
            <w:r>
              <w:rPr>
                <w:rFonts w:hint="eastAsia"/>
                <w:bCs/>
                <w:szCs w:val="21"/>
              </w:rPr>
              <w:t>合同号：</w:t>
            </w:r>
            <w:r>
              <w:rPr>
                <w:rFonts w:hint="eastAsia"/>
                <w:bCs/>
                <w:szCs w:val="21"/>
                <w:lang w:eastAsia="zh-CN"/>
              </w:rPr>
              <w:t>JZTJ121B</w:t>
            </w:r>
          </w:p>
          <w:p>
            <w:pPr>
              <w:widowControl/>
              <w:spacing w:before="120" w:after="120" w:line="240" w:lineRule="atLeast"/>
              <w:textAlignment w:val="auto"/>
              <w:rPr>
                <w:rFonts w:hint="eastAsia"/>
                <w:bCs/>
                <w:szCs w:val="21"/>
              </w:rPr>
            </w:pPr>
            <w:r>
              <w:rPr>
                <w:rFonts w:hint="eastAsia"/>
                <w:bCs/>
                <w:szCs w:val="21"/>
              </w:rPr>
              <w:t>本项目建设内容主要为：桩号K4+990-K6+867，长度为1877m。工程主要建设内容包括水利工程和截污管道工程。其中水利工程包括开挖疏浚河道、岸坡护砌、建设西路桥涵拆除重建等；截污管道工程为截污管道改线。合同预算价：3667.71万元；合同工期：9个月。（详见图纸）</w:t>
            </w:r>
          </w:p>
          <w:p>
            <w:pPr>
              <w:widowControl/>
              <w:spacing w:before="120" w:after="120" w:line="240" w:lineRule="atLeast"/>
              <w:textAlignment w:val="auto"/>
              <w:rPr>
                <w:bCs/>
                <w:i/>
                <w:iCs/>
                <w:szCs w:val="21"/>
              </w:rPr>
            </w:pPr>
            <w:r>
              <w:rPr>
                <w:rFonts w:hint="eastAsia"/>
                <w:bCs/>
                <w:szCs w:val="21"/>
              </w:rPr>
              <w:t>投标人可以针对单个合同或这些合同的任意组合进行投标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2.1</w:t>
            </w:r>
            <w:r>
              <w:rPr>
                <w:rFonts w:hint="eastAsia"/>
                <w:b/>
                <w:szCs w:val="21"/>
              </w:rPr>
              <w:t>款</w:t>
            </w:r>
          </w:p>
        </w:tc>
        <w:tc>
          <w:tcPr>
            <w:tcW w:w="6048" w:type="dxa"/>
          </w:tcPr>
          <w:p>
            <w:pPr>
              <w:spacing w:before="120" w:after="120" w:line="240" w:lineRule="atLeast"/>
              <w:textAlignment w:val="auto"/>
              <w:rPr>
                <w:bCs/>
                <w:szCs w:val="21"/>
              </w:rPr>
            </w:pPr>
            <w:r>
              <w:rPr>
                <w:rFonts w:hint="eastAsia"/>
                <w:bCs/>
                <w:szCs w:val="21"/>
              </w:rPr>
              <w:t>借款人：亚洲基础设施投资银行</w:t>
            </w:r>
          </w:p>
          <w:p>
            <w:pPr>
              <w:spacing w:before="120" w:after="120" w:line="240" w:lineRule="atLeast"/>
              <w:textAlignment w:val="auto"/>
              <w:rPr>
                <w:i/>
                <w:iCs/>
                <w:szCs w:val="21"/>
              </w:rPr>
            </w:pPr>
            <w:r>
              <w:rPr>
                <w:rFonts w:hint="eastAsia"/>
                <w:bCs/>
                <w:szCs w:val="21"/>
              </w:rPr>
              <w:t>项目名称：亚洲基础设施投资银行贷款河南郑州等地特大暴雨洪涝灾害灾后恢复重建项目-焦作子项目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第4</w:t>
            </w:r>
            <w:r>
              <w:rPr>
                <w:b/>
                <w:szCs w:val="21"/>
              </w:rPr>
              <w:t>.1</w:t>
            </w:r>
            <w:r>
              <w:rPr>
                <w:rFonts w:hint="eastAsia"/>
                <w:b/>
                <w:szCs w:val="21"/>
              </w:rPr>
              <w:t>款</w:t>
            </w:r>
          </w:p>
        </w:tc>
        <w:tc>
          <w:tcPr>
            <w:tcW w:w="6048" w:type="dxa"/>
          </w:tcPr>
          <w:p>
            <w:pPr>
              <w:spacing w:before="120" w:after="120" w:line="240" w:lineRule="atLeast"/>
              <w:jc w:val="left"/>
              <w:textAlignment w:val="auto"/>
              <w:rPr>
                <w:rFonts w:hint="eastAsia" w:eastAsia="宋体"/>
                <w:szCs w:val="21"/>
                <w:highlight w:val="none"/>
                <w:lang w:eastAsia="zh-CN"/>
              </w:rPr>
            </w:pPr>
            <w:r>
              <w:rPr>
                <w:rFonts w:hint="eastAsia"/>
                <w:szCs w:val="21"/>
                <w:highlight w:val="none"/>
              </w:rPr>
              <w:t>本次招标接受联合体，联合体成员的最大数量：</w:t>
            </w:r>
            <w:r>
              <w:rPr>
                <w:rFonts w:hint="eastAsia"/>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第4</w:t>
            </w:r>
            <w:r>
              <w:rPr>
                <w:b/>
                <w:szCs w:val="21"/>
              </w:rPr>
              <w:t>.3</w:t>
            </w:r>
            <w:r>
              <w:rPr>
                <w:rFonts w:hint="eastAsia"/>
                <w:b/>
                <w:szCs w:val="21"/>
              </w:rPr>
              <w:t>款（5）项</w:t>
            </w:r>
          </w:p>
        </w:tc>
        <w:tc>
          <w:tcPr>
            <w:tcW w:w="6048" w:type="dxa"/>
          </w:tcPr>
          <w:p>
            <w:pPr>
              <w:spacing w:before="120" w:after="120" w:line="240" w:lineRule="atLeast"/>
              <w:jc w:val="left"/>
              <w:textAlignment w:val="auto"/>
              <w:rPr>
                <w:szCs w:val="21"/>
                <w:highlight w:val="none"/>
              </w:rPr>
            </w:pPr>
            <w:r>
              <w:rPr>
                <w:rFonts w:hint="eastAsia"/>
                <w:szCs w:val="21"/>
                <w:highlight w:val="none"/>
                <w:u w:val="single"/>
                <w:lang w:val="en-US" w:eastAsia="zh-CN"/>
              </w:rPr>
              <w:t>不</w:t>
            </w:r>
            <w:r>
              <w:rPr>
                <w:rFonts w:hint="eastAsia"/>
                <w:szCs w:val="21"/>
                <w:highlight w:val="none"/>
                <w:u w:val="single"/>
              </w:rPr>
              <w:t>允许</w:t>
            </w:r>
            <w:r>
              <w:rPr>
                <w:rFonts w:hint="eastAsia"/>
                <w:szCs w:val="21"/>
                <w:highlight w:val="none"/>
              </w:rPr>
              <w:t>投标人作为分包商参与本次招标同一合同中的另一个投标。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第4</w:t>
            </w:r>
            <w:r>
              <w:rPr>
                <w:b/>
                <w:szCs w:val="21"/>
              </w:rPr>
              <w:t>.4</w:t>
            </w:r>
            <w:r>
              <w:rPr>
                <w:rFonts w:hint="eastAsia"/>
                <w:b/>
                <w:szCs w:val="21"/>
              </w:rPr>
              <w:t>款</w:t>
            </w:r>
          </w:p>
        </w:tc>
        <w:tc>
          <w:tcPr>
            <w:tcW w:w="6048" w:type="dxa"/>
          </w:tcPr>
          <w:p>
            <w:pPr>
              <w:spacing w:before="120" w:after="120" w:line="240" w:lineRule="atLeast"/>
              <w:jc w:val="left"/>
              <w:textAlignment w:val="auto"/>
              <w:rPr>
                <w:szCs w:val="21"/>
              </w:rPr>
            </w:pPr>
            <w:r>
              <w:rPr>
                <w:rFonts w:hint="eastAsia"/>
                <w:szCs w:val="21"/>
              </w:rPr>
              <w:t>被制裁的企业和个人名单</w:t>
            </w:r>
            <w:r>
              <w:rPr>
                <w:szCs w:val="21"/>
              </w:rPr>
              <w:t>可在</w:t>
            </w:r>
            <w:r>
              <w:rPr>
                <w:rFonts w:hint="eastAsia"/>
                <w:szCs w:val="21"/>
              </w:rPr>
              <w:t>亚投行</w:t>
            </w:r>
            <w:r>
              <w:rPr>
                <w:szCs w:val="21"/>
              </w:rPr>
              <w:t>网站上查询：</w:t>
            </w:r>
            <w:r>
              <w:fldChar w:fldCharType="begin"/>
            </w:r>
            <w:r>
              <w:instrText xml:space="preserve"> HYPERLINK "https://www.aiib.org/debarment%20" </w:instrText>
            </w:r>
            <w:r>
              <w:fldChar w:fldCharType="separate"/>
            </w:r>
            <w:r>
              <w:rPr>
                <w:rStyle w:val="70"/>
                <w:i/>
                <w:iCs/>
                <w:szCs w:val="21"/>
              </w:rPr>
              <w:t>https://www.aiib.org/debarment</w:t>
            </w:r>
            <w:r>
              <w:rPr>
                <w:rStyle w:val="70"/>
                <w:i/>
                <w:iCs/>
              </w:rPr>
              <w:t xml:space="preserve"> </w:t>
            </w:r>
            <w:r>
              <w:rPr>
                <w:rStyle w:val="70"/>
                <w:i/>
                <w:iCs/>
              </w:rPr>
              <w:fldChar w:fldCharType="end"/>
            </w:r>
            <w:r>
              <w:rPr>
                <w:i/>
                <w:iCs/>
              </w:rPr>
              <w:t xml:space="preserve"> </w:t>
            </w:r>
            <w:r>
              <w:fldChar w:fldCharType="begin"/>
            </w:r>
            <w:r>
              <w:instrText xml:space="preserve"> HYPERLINK </w:instrText>
            </w:r>
            <w:r>
              <w:fldChar w:fldCharType="separate"/>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第4</w:t>
            </w:r>
            <w:r>
              <w:rPr>
                <w:b/>
                <w:szCs w:val="21"/>
              </w:rPr>
              <w:t>.9</w:t>
            </w:r>
            <w:r>
              <w:rPr>
                <w:rFonts w:hint="eastAsia"/>
                <w:b/>
                <w:szCs w:val="21"/>
              </w:rPr>
              <w:t>款</w:t>
            </w:r>
          </w:p>
        </w:tc>
        <w:tc>
          <w:tcPr>
            <w:tcW w:w="6048" w:type="dxa"/>
          </w:tcPr>
          <w:p>
            <w:pPr>
              <w:spacing w:before="120" w:after="120" w:line="240" w:lineRule="atLeast"/>
              <w:jc w:val="left"/>
              <w:textAlignment w:val="auto"/>
              <w:rPr>
                <w:rFonts w:hint="eastAsia" w:eastAsia="宋体"/>
                <w:szCs w:val="21"/>
                <w:lang w:eastAsia="zh-CN"/>
              </w:rPr>
            </w:pPr>
            <w:r>
              <w:rPr>
                <w:rFonts w:hint="eastAsia"/>
                <w:szCs w:val="21"/>
              </w:rPr>
              <w:t>不得参与投标的不合格投标人</w:t>
            </w:r>
            <w:r>
              <w:rPr>
                <w:rFonts w:hint="eastAsia"/>
                <w:szCs w:val="21"/>
                <w:highlight w:val="none"/>
              </w:rPr>
              <w:t>包括：</w:t>
            </w:r>
            <w:r>
              <w:rPr>
                <w:rFonts w:hint="eastAsia"/>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widowControl/>
              <w:spacing w:before="120" w:after="120" w:line="240" w:lineRule="atLeast"/>
              <w:jc w:val="center"/>
              <w:textAlignment w:val="auto"/>
              <w:rPr>
                <w:b/>
                <w:szCs w:val="21"/>
              </w:rPr>
            </w:pPr>
            <w:r>
              <w:rPr>
                <w:rFonts w:hint="eastAsia"/>
                <w:b/>
                <w:szCs w:val="21"/>
              </w:rPr>
              <w:t>第二节　</w:t>
            </w:r>
            <w:r>
              <w:rPr>
                <w:b/>
                <w:szCs w:val="21"/>
              </w:rPr>
              <w:t>招标文件的内容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7.1</w:t>
            </w:r>
            <w:r>
              <w:rPr>
                <w:rFonts w:hint="eastAsia"/>
                <w:b/>
                <w:szCs w:val="21"/>
              </w:rPr>
              <w:t>款</w:t>
            </w:r>
          </w:p>
        </w:tc>
        <w:tc>
          <w:tcPr>
            <w:tcW w:w="6048" w:type="dxa"/>
          </w:tcPr>
          <w:p>
            <w:pPr>
              <w:widowControl/>
              <w:spacing w:before="120" w:after="120" w:line="240" w:lineRule="atLeast"/>
              <w:textAlignment w:val="auto"/>
              <w:rPr>
                <w:szCs w:val="21"/>
              </w:rPr>
            </w:pPr>
            <w:r>
              <w:rPr>
                <w:rFonts w:hint="eastAsia"/>
                <w:szCs w:val="21"/>
              </w:rPr>
              <w:t>对招标文件提出</w:t>
            </w:r>
            <w:r>
              <w:rPr>
                <w:rFonts w:hint="eastAsia"/>
                <w:b/>
                <w:bCs/>
                <w:szCs w:val="21"/>
                <w:u w:val="single"/>
              </w:rPr>
              <w:t>澄清要求和投诉</w:t>
            </w:r>
            <w:r>
              <w:rPr>
                <w:rFonts w:hint="eastAsia"/>
                <w:szCs w:val="21"/>
              </w:rPr>
              <w:t>的通讯地址是：</w:t>
            </w:r>
          </w:p>
          <w:p>
            <w:pPr>
              <w:widowControl/>
              <w:spacing w:before="120" w:after="120" w:line="240" w:lineRule="atLeast"/>
              <w:textAlignment w:val="auto"/>
              <w:rPr>
                <w:rFonts w:hint="eastAsia"/>
              </w:rPr>
            </w:pPr>
            <w:r>
              <w:rPr>
                <w:rFonts w:hint="eastAsia"/>
              </w:rPr>
              <w:t>招 标 人：焦作市住房和城乡建设局</w:t>
            </w:r>
          </w:p>
          <w:p>
            <w:pPr>
              <w:widowControl/>
              <w:spacing w:before="120" w:after="120" w:line="240" w:lineRule="atLeast"/>
              <w:textAlignment w:val="auto"/>
              <w:rPr>
                <w:rFonts w:hint="eastAsia"/>
              </w:rPr>
            </w:pPr>
            <w:r>
              <w:rPr>
                <w:rFonts w:hint="eastAsia"/>
              </w:rPr>
              <w:t>地    址：河南省焦作市解放区站前路88号建设大厦</w:t>
            </w:r>
          </w:p>
          <w:p>
            <w:pPr>
              <w:widowControl/>
              <w:spacing w:before="120" w:after="120" w:line="240" w:lineRule="atLeast"/>
              <w:textAlignment w:val="auto"/>
              <w:rPr>
                <w:rFonts w:hint="eastAsia"/>
              </w:rPr>
            </w:pPr>
            <w:r>
              <w:rPr>
                <w:rFonts w:hint="eastAsia"/>
              </w:rPr>
              <w:t>联系人：</w:t>
            </w:r>
            <w:r>
              <w:rPr>
                <w:rFonts w:hint="eastAsia"/>
                <w:lang w:val="en-US" w:eastAsia="zh-CN"/>
              </w:rPr>
              <w:t>王坤、</w:t>
            </w:r>
            <w:r>
              <w:rPr>
                <w:rFonts w:hint="eastAsia"/>
              </w:rPr>
              <w:t>张旭</w:t>
            </w:r>
          </w:p>
          <w:p>
            <w:pPr>
              <w:widowControl/>
              <w:spacing w:before="120" w:after="120" w:line="240" w:lineRule="atLeast"/>
              <w:textAlignment w:val="auto"/>
              <w:rPr>
                <w:rFonts w:hint="default" w:eastAsia="宋体"/>
                <w:lang w:val="en-US" w:eastAsia="zh-CN"/>
              </w:rPr>
            </w:pPr>
            <w:r>
              <w:rPr>
                <w:rFonts w:hint="eastAsia"/>
              </w:rPr>
              <w:t>电    话：0391-355</w:t>
            </w:r>
            <w:r>
              <w:rPr>
                <w:rFonts w:hint="eastAsia"/>
                <w:lang w:val="en-US" w:eastAsia="zh-CN"/>
              </w:rPr>
              <w:t>0056</w:t>
            </w:r>
          </w:p>
          <w:p>
            <w:pPr>
              <w:widowControl/>
              <w:spacing w:before="120" w:after="120" w:line="240" w:lineRule="atLeast"/>
              <w:textAlignment w:val="auto"/>
              <w:rPr>
                <w:rFonts w:hint="eastAsia"/>
              </w:rPr>
            </w:pPr>
            <w:r>
              <w:rPr>
                <w:rFonts w:hint="eastAsia"/>
              </w:rPr>
              <w:t>邮    箱：zjjythxmb@163.com</w:t>
            </w:r>
          </w:p>
          <w:p>
            <w:pPr>
              <w:widowControl/>
              <w:spacing w:before="120" w:after="120" w:line="240" w:lineRule="atLeast"/>
              <w:textAlignment w:val="auto"/>
              <w:rPr>
                <w:rFonts w:hint="eastAsia"/>
              </w:rPr>
            </w:pPr>
            <w:r>
              <w:rPr>
                <w:rFonts w:hint="eastAsia"/>
              </w:rPr>
              <w:t>采购代理：中技国际招标有限公司</w:t>
            </w:r>
          </w:p>
          <w:p>
            <w:pPr>
              <w:widowControl/>
              <w:spacing w:before="120" w:after="120" w:line="240" w:lineRule="atLeast"/>
              <w:textAlignment w:val="auto"/>
              <w:rPr>
                <w:rFonts w:hint="eastAsia"/>
              </w:rPr>
            </w:pPr>
            <w:r>
              <w:rPr>
                <w:rFonts w:hint="eastAsia"/>
              </w:rPr>
              <w:t>地    址：北京市丰台区西营街1号院通用时代中心C座910室</w:t>
            </w:r>
          </w:p>
          <w:p>
            <w:pPr>
              <w:widowControl/>
              <w:spacing w:before="120" w:after="120" w:line="240" w:lineRule="atLeast"/>
              <w:textAlignment w:val="auto"/>
              <w:rPr>
                <w:rFonts w:hint="eastAsia"/>
              </w:rPr>
            </w:pPr>
            <w:r>
              <w:rPr>
                <w:rFonts w:hint="eastAsia"/>
              </w:rPr>
              <w:t>联 系 人：王乾、张彦</w:t>
            </w:r>
          </w:p>
          <w:p>
            <w:pPr>
              <w:widowControl/>
              <w:spacing w:before="120" w:after="120" w:line="240" w:lineRule="atLeast"/>
              <w:textAlignment w:val="auto"/>
              <w:rPr>
                <w:rFonts w:hint="eastAsia"/>
                <w:szCs w:val="22"/>
              </w:rPr>
            </w:pPr>
            <w:r>
              <w:rPr>
                <w:rFonts w:hint="eastAsia"/>
              </w:rPr>
              <w:t xml:space="preserve">电 </w:t>
            </w:r>
            <w:r>
              <w:rPr>
                <w:rFonts w:hint="eastAsia"/>
                <w:szCs w:val="22"/>
              </w:rPr>
              <w:t xml:space="preserve">   话：010-81168527</w:t>
            </w:r>
          </w:p>
          <w:p>
            <w:pPr>
              <w:widowControl/>
              <w:spacing w:before="120" w:after="120" w:line="240" w:lineRule="atLeast"/>
              <w:textAlignment w:val="auto"/>
              <w:rPr>
                <w:rFonts w:hint="eastAsia"/>
                <w:szCs w:val="22"/>
              </w:rPr>
            </w:pPr>
            <w:r>
              <w:rPr>
                <w:rFonts w:hint="eastAsia"/>
                <w:szCs w:val="22"/>
              </w:rPr>
              <w:t>传    真：010-81168691</w:t>
            </w:r>
          </w:p>
          <w:p>
            <w:pPr>
              <w:widowControl/>
              <w:spacing w:before="120" w:after="120" w:line="240" w:lineRule="atLeast"/>
              <w:textAlignment w:val="auto"/>
              <w:rPr>
                <w:rFonts w:hint="eastAsia"/>
              </w:rPr>
            </w:pPr>
            <w:r>
              <w:rPr>
                <w:rFonts w:hint="eastAsia"/>
                <w:szCs w:val="22"/>
              </w:rPr>
              <w:t>邮    箱：</w:t>
            </w:r>
            <w:r>
              <w:rPr>
                <w:rFonts w:hint="eastAsia"/>
                <w:szCs w:val="22"/>
              </w:rPr>
              <w:fldChar w:fldCharType="begin"/>
            </w:r>
            <w:r>
              <w:rPr>
                <w:rFonts w:hint="eastAsia"/>
                <w:szCs w:val="22"/>
              </w:rPr>
              <w:instrText xml:space="preserve"> HYPERLINK "mailto:wangqian20@cgci.gt.cn" </w:instrText>
            </w:r>
            <w:r>
              <w:rPr>
                <w:rFonts w:hint="eastAsia"/>
                <w:szCs w:val="22"/>
              </w:rPr>
              <w:fldChar w:fldCharType="separate"/>
            </w:r>
            <w:r>
              <w:rPr>
                <w:rFonts w:hint="eastAsia"/>
                <w:szCs w:val="22"/>
              </w:rPr>
              <w:t>wangqian20@cgci.gt.cn</w:t>
            </w:r>
            <w:r>
              <w:rPr>
                <w:rFonts w:hint="eastAsia"/>
                <w:szCs w:val="22"/>
              </w:rPr>
              <w:fldChar w:fldCharType="end"/>
            </w:r>
          </w:p>
          <w:p>
            <w:pPr>
              <w:widowControl/>
              <w:spacing w:before="120" w:after="120" w:line="240" w:lineRule="atLeast"/>
              <w:textAlignment w:val="auto"/>
              <w:rPr>
                <w:szCs w:val="21"/>
                <w:lang w:val="es-ES"/>
              </w:rPr>
            </w:pPr>
            <w:r>
              <w:rPr>
                <w:rFonts w:hint="eastAsia"/>
              </w:rPr>
              <w:t>所有澄清要求或投诉应于</w:t>
            </w:r>
            <w:r>
              <w:rPr>
                <w:rFonts w:hint="eastAsia"/>
                <w:szCs w:val="21"/>
              </w:rPr>
              <w:t>投标截止时间前</w:t>
            </w:r>
            <w:r>
              <w:rPr>
                <w:rFonts w:hint="eastAsia"/>
                <w:b/>
                <w:i/>
                <w:u w:val="single"/>
                <w:lang w:val="en-US" w:eastAsia="zh-CN"/>
              </w:rPr>
              <w:t>14</w:t>
            </w:r>
            <w:r>
              <w:rPr>
                <w:rFonts w:hint="eastAsia"/>
                <w:lang w:val="es-ES"/>
              </w:rPr>
              <w:t>天</w:t>
            </w:r>
            <w:r>
              <w:rPr>
                <w:rFonts w:hint="eastAsia"/>
              </w:rPr>
              <w:t>送达业主或采购代理</w:t>
            </w:r>
            <w:r>
              <w:rPr>
                <w:rFonts w:hint="eastAsia"/>
                <w:lang w:val="es-E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lang w:val="es-ES"/>
              </w:rPr>
            </w:pPr>
            <w:r>
              <w:rPr>
                <w:rFonts w:hint="eastAsia"/>
                <w:b/>
                <w:szCs w:val="21"/>
              </w:rPr>
              <w:t>第</w:t>
            </w:r>
            <w:r>
              <w:rPr>
                <w:b/>
                <w:szCs w:val="21"/>
              </w:rPr>
              <w:t>7.5</w:t>
            </w:r>
            <w:r>
              <w:rPr>
                <w:rFonts w:hint="eastAsia"/>
                <w:b/>
                <w:szCs w:val="21"/>
              </w:rPr>
              <w:t>款</w:t>
            </w:r>
          </w:p>
        </w:tc>
        <w:tc>
          <w:tcPr>
            <w:tcW w:w="6048" w:type="dxa"/>
          </w:tcPr>
          <w:p>
            <w:pPr>
              <w:widowControl/>
              <w:spacing w:before="120" w:after="120" w:line="240" w:lineRule="atLeast"/>
              <w:textAlignment w:val="auto"/>
            </w:pPr>
            <w:r>
              <w:rPr>
                <w:rFonts w:hint="eastAsia"/>
              </w:rPr>
              <w:t>业主</w:t>
            </w:r>
            <w:r>
              <w:rPr>
                <w:rFonts w:hint="eastAsia"/>
                <w:bCs/>
                <w:i/>
                <w:lang w:val="es-ES"/>
              </w:rPr>
              <w:t>__将不__</w:t>
            </w:r>
            <w:r>
              <w:rPr>
                <w:rFonts w:hint="eastAsia"/>
                <w:iCs/>
              </w:rPr>
              <w:t>召开</w:t>
            </w:r>
            <w:r>
              <w:rPr>
                <w:rFonts w:hint="eastAsia"/>
              </w:rPr>
              <w:t>标前会。</w:t>
            </w:r>
          </w:p>
          <w:p>
            <w:pPr>
              <w:tabs>
                <w:tab w:val="right" w:pos="7254"/>
              </w:tabs>
              <w:spacing w:before="120" w:after="120" w:line="240" w:lineRule="atLeast"/>
              <w:textAlignment w:val="auto"/>
            </w:pPr>
            <w:r>
              <w:rPr>
                <w:rFonts w:hint="eastAsia"/>
              </w:rPr>
              <w:t>业主</w:t>
            </w:r>
            <w:r>
              <w:rPr>
                <w:rFonts w:hint="eastAsia"/>
                <w:b/>
                <w:i/>
                <w:lang w:val="es-ES"/>
              </w:rPr>
              <w:t>__</w:t>
            </w:r>
            <w:r>
              <w:rPr>
                <w:rFonts w:hint="eastAsia"/>
                <w:bCs/>
                <w:i/>
                <w:lang w:val="es-ES"/>
              </w:rPr>
              <w:t>将不</w:t>
            </w:r>
            <w:r>
              <w:rPr>
                <w:rFonts w:hint="eastAsia"/>
                <w:b/>
                <w:i/>
                <w:lang w:val="es-ES"/>
              </w:rPr>
              <w:t>_____</w:t>
            </w:r>
            <w:r>
              <w:rPr>
                <w:rFonts w:hint="eastAsia"/>
                <w:lang w:val="es-ES"/>
              </w:rPr>
              <w:t>组织现场访问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widowControl/>
              <w:spacing w:before="120" w:after="120" w:line="240" w:lineRule="atLeast"/>
              <w:jc w:val="center"/>
              <w:textAlignment w:val="auto"/>
              <w:rPr>
                <w:b/>
                <w:szCs w:val="21"/>
              </w:rPr>
            </w:pPr>
            <w:r>
              <w:rPr>
                <w:rFonts w:hint="eastAsia"/>
                <w:b/>
                <w:szCs w:val="21"/>
              </w:rPr>
              <w:t>第三节　</w:t>
            </w:r>
            <w:r>
              <w:rPr>
                <w:b/>
                <w:szCs w:val="21"/>
              </w:rPr>
              <w:t>投标文件</w:t>
            </w:r>
            <w:r>
              <w:rPr>
                <w:rFonts w:hint="eastAsia"/>
                <w:b/>
                <w:szCs w:val="21"/>
              </w:rPr>
              <w:t>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11.1</w:t>
            </w:r>
            <w:r>
              <w:rPr>
                <w:rFonts w:hint="eastAsia"/>
                <w:b/>
                <w:szCs w:val="21"/>
              </w:rPr>
              <w:t>（2）项</w:t>
            </w:r>
          </w:p>
        </w:tc>
        <w:tc>
          <w:tcPr>
            <w:tcW w:w="6048" w:type="dxa"/>
          </w:tcPr>
          <w:p>
            <w:pPr>
              <w:tabs>
                <w:tab w:val="right" w:pos="7254"/>
              </w:tabs>
              <w:spacing w:before="120" w:after="120" w:line="240" w:lineRule="atLeast"/>
              <w:textAlignment w:val="auto"/>
            </w:pPr>
            <w:r>
              <w:rPr>
                <w:rFonts w:hint="eastAsia"/>
              </w:rPr>
              <w:t>下列报价表将随投标文件一起递交：与投标文件一起递交的报价表，包括计量合同中已标价的工程量清单和已标价的单项工程价单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11.1</w:t>
            </w:r>
            <w:r>
              <w:rPr>
                <w:rFonts w:hint="eastAsia"/>
                <w:b/>
                <w:szCs w:val="21"/>
              </w:rPr>
              <w:t>（1</w:t>
            </w:r>
            <w:r>
              <w:rPr>
                <w:b/>
                <w:szCs w:val="21"/>
              </w:rPr>
              <w:t>0</w:t>
            </w:r>
            <w:r>
              <w:rPr>
                <w:rFonts w:hint="eastAsia"/>
                <w:b/>
                <w:szCs w:val="21"/>
              </w:rPr>
              <w:t>）项</w:t>
            </w:r>
          </w:p>
        </w:tc>
        <w:tc>
          <w:tcPr>
            <w:tcW w:w="6048" w:type="dxa"/>
          </w:tcPr>
          <w:p>
            <w:pPr>
              <w:widowControl/>
              <w:spacing w:before="120" w:after="120" w:line="240" w:lineRule="atLeast"/>
              <w:rPr>
                <w:rFonts w:hint="eastAsia"/>
                <w:bCs/>
                <w:iCs/>
                <w:szCs w:val="21"/>
                <w:lang w:val="es-ES"/>
              </w:rPr>
            </w:pPr>
            <w:r>
              <w:rPr>
                <w:rFonts w:hint="eastAsia"/>
                <w:bCs/>
                <w:iCs/>
                <w:szCs w:val="21"/>
                <w:lang w:val="es-ES"/>
              </w:rPr>
              <w:t>投标人在其投标文件中还应递交下列额外文件：</w:t>
            </w:r>
          </w:p>
          <w:p>
            <w:pPr>
              <w:widowControl/>
              <w:spacing w:before="120" w:after="120" w:line="240" w:lineRule="atLeast"/>
            </w:pPr>
            <w:r>
              <w:t>1.投标人应提交相关资质证书复印件；</w:t>
            </w:r>
          </w:p>
          <w:p>
            <w:pPr>
              <w:widowControl/>
              <w:spacing w:before="120" w:after="120" w:line="240" w:lineRule="atLeast"/>
            </w:pPr>
            <w:r>
              <w:t>2.投标人应提交有效的业绩证明文件的复印件，如中标通知书、合同、竣工验收证书、用户证明等至少可以说明合同工程量的两个以上的证明文件；投标人应提供开具相关证明文件的单位联系人名称、有效联系号码及详细地址。</w:t>
            </w:r>
          </w:p>
          <w:p>
            <w:pPr>
              <w:widowControl/>
              <w:spacing w:before="120" w:after="120" w:line="240" w:lineRule="atLeast"/>
            </w:pPr>
            <w:r>
              <w:t>3.过去三（3）年的财务报告</w:t>
            </w:r>
            <w:r>
              <w:rPr>
                <w:rFonts w:hint="eastAsia"/>
                <w:szCs w:val="21"/>
              </w:rPr>
              <w:t>（2021年、2022年、2023年）</w:t>
            </w:r>
            <w:r>
              <w:t>：资产负债表、损益报告、审计报告等复印件。</w:t>
            </w:r>
          </w:p>
          <w:p>
            <w:pPr>
              <w:widowControl/>
              <w:spacing w:before="120" w:after="120" w:line="240" w:lineRule="atLeast"/>
              <w:textAlignment w:val="auto"/>
              <w:rPr>
                <w:bCs/>
                <w:i/>
                <w:szCs w:val="21"/>
                <w:lang w:val="es-ES"/>
              </w:rPr>
            </w:pPr>
            <w:r>
              <w:t>4.有关资金来源的证据：能用于本合同的流动资金、信贷额度等。</w:t>
            </w:r>
            <w:r>
              <w:rPr>
                <w:szCs w:val="22"/>
              </w:rPr>
              <w:t>请列出清单并附证明文件副本。</w:t>
            </w:r>
          </w:p>
          <w:p>
            <w:pPr>
              <w:widowControl/>
              <w:spacing w:before="120" w:after="120" w:line="240" w:lineRule="atLeast"/>
              <w:textAlignment w:val="auto"/>
              <w:rPr>
                <w:szCs w:val="22"/>
                <w:lang w:val="es-ES"/>
              </w:rPr>
            </w:pPr>
            <w:r>
              <w:rPr>
                <w:rFonts w:hint="eastAsia"/>
                <w:szCs w:val="22"/>
                <w:lang w:val="en-US" w:eastAsia="zh-CN"/>
              </w:rPr>
              <w:t>5.</w:t>
            </w:r>
            <w:r>
              <w:rPr>
                <w:rFonts w:hint="eastAsia"/>
                <w:szCs w:val="22"/>
                <w:lang w:val="es-ES"/>
              </w:rPr>
              <w:t>环境-社会-健康-安全行为准则</w:t>
            </w:r>
          </w:p>
          <w:p>
            <w:pPr>
              <w:widowControl/>
              <w:spacing w:before="120" w:after="120" w:line="240" w:lineRule="atLeast"/>
              <w:textAlignment w:val="auto"/>
              <w:rPr>
                <w:szCs w:val="22"/>
                <w:lang w:val="es-ES"/>
              </w:rPr>
            </w:pPr>
            <w:r>
              <w:rPr>
                <w:rFonts w:hint="eastAsia"/>
                <w:szCs w:val="22"/>
                <w:lang w:val="es-ES"/>
              </w:rPr>
              <w:t>投标人应提交承包商及其分包商员工环境-社会-健康-安全行为准则，以确保其履行环境-社会-健康-安全合同义务。[应按照第六章业主要求编写行为准则需应对的风险，例如外来劳工流入、可传染疾病的传播、性骚扰、与性别有关的暴力、非法行为和犯罪、建立安全的工作环境等]</w:t>
            </w:r>
          </w:p>
          <w:p>
            <w:pPr>
              <w:widowControl/>
              <w:spacing w:before="120" w:after="120" w:line="240" w:lineRule="atLeast"/>
              <w:textAlignment w:val="auto"/>
              <w:rPr>
                <w:szCs w:val="22"/>
                <w:highlight w:val="none"/>
                <w:lang w:val="es-ES"/>
              </w:rPr>
            </w:pPr>
            <w:r>
              <w:rPr>
                <w:rFonts w:hint="eastAsia"/>
                <w:szCs w:val="22"/>
                <w:highlight w:val="none"/>
                <w:lang w:val="es-ES"/>
              </w:rPr>
              <w:t>另外，投标人应提交一个概要，描述如何贯彻实施本行为准则，包括如何在与员工的雇佣合同中体现、投标人计划给员工提供什么相关培训、如何监测落实情况、在员工未能遵守行为准则时承包商如何处理。</w:t>
            </w:r>
          </w:p>
          <w:p>
            <w:pPr>
              <w:widowControl/>
              <w:spacing w:before="120" w:after="120" w:line="240" w:lineRule="atLeast"/>
              <w:textAlignment w:val="auto"/>
              <w:rPr>
                <w:rFonts w:hint="eastAsia"/>
                <w:szCs w:val="22"/>
                <w:highlight w:val="none"/>
                <w:lang w:val="es-ES"/>
              </w:rPr>
            </w:pPr>
          </w:p>
          <w:p>
            <w:pPr>
              <w:widowControl/>
              <w:spacing w:before="120" w:after="120" w:line="240" w:lineRule="atLeast"/>
              <w:textAlignment w:val="auto"/>
              <w:rPr>
                <w:szCs w:val="22"/>
                <w:highlight w:val="none"/>
                <w:lang w:val="es-ES"/>
              </w:rPr>
            </w:pPr>
            <w:r>
              <w:rPr>
                <w:rFonts w:hint="eastAsia"/>
                <w:szCs w:val="22"/>
                <w:highlight w:val="none"/>
                <w:lang w:val="es-ES"/>
              </w:rPr>
              <w:t>承包商应实施合同双方达成一致的行为准则。</w:t>
            </w:r>
          </w:p>
          <w:p>
            <w:pPr>
              <w:widowControl/>
              <w:spacing w:before="120" w:after="120" w:line="240" w:lineRule="atLeast"/>
              <w:textAlignment w:val="auto"/>
              <w:rPr>
                <w:szCs w:val="22"/>
                <w:highlight w:val="none"/>
                <w:lang w:val="es-ES"/>
              </w:rPr>
            </w:pPr>
          </w:p>
          <w:p>
            <w:pPr>
              <w:widowControl/>
              <w:spacing w:before="120" w:after="120" w:line="240" w:lineRule="atLeast"/>
              <w:textAlignment w:val="auto"/>
              <w:rPr>
                <w:szCs w:val="22"/>
                <w:highlight w:val="none"/>
                <w:lang w:val="es-ES"/>
              </w:rPr>
            </w:pPr>
            <w:r>
              <w:rPr>
                <w:rFonts w:hint="eastAsia"/>
                <w:szCs w:val="22"/>
                <w:highlight w:val="none"/>
                <w:lang w:val="es-ES"/>
              </w:rPr>
              <w:t>环境-社会-健康-安全管理策略和实施计划</w:t>
            </w:r>
          </w:p>
          <w:p>
            <w:pPr>
              <w:widowControl/>
              <w:spacing w:before="120" w:after="120" w:line="240" w:lineRule="atLeast"/>
              <w:textAlignment w:val="auto"/>
              <w:rPr>
                <w:szCs w:val="22"/>
                <w:highlight w:val="none"/>
                <w:lang w:val="es-ES"/>
              </w:rPr>
            </w:pPr>
          </w:p>
          <w:p>
            <w:pPr>
              <w:widowControl/>
              <w:spacing w:before="120" w:after="120" w:line="240" w:lineRule="atLeast"/>
              <w:textAlignment w:val="auto"/>
              <w:rPr>
                <w:szCs w:val="22"/>
                <w:highlight w:val="none"/>
                <w:lang w:val="es-ES"/>
              </w:rPr>
            </w:pPr>
            <w:r>
              <w:rPr>
                <w:rFonts w:hint="eastAsia"/>
                <w:szCs w:val="22"/>
                <w:highlight w:val="none"/>
                <w:lang w:val="es-ES"/>
              </w:rPr>
              <w:t>投标人应提交环境-社会-健康-安全管理策略和实施计划。</w:t>
            </w:r>
          </w:p>
          <w:p>
            <w:pPr>
              <w:widowControl/>
              <w:spacing w:before="120" w:after="120" w:line="240" w:lineRule="atLeast"/>
              <w:textAlignment w:val="auto"/>
              <w:rPr>
                <w:szCs w:val="22"/>
                <w:highlight w:val="none"/>
                <w:lang w:val="es-ES"/>
              </w:rPr>
            </w:pPr>
          </w:p>
          <w:p>
            <w:pPr>
              <w:widowControl/>
              <w:spacing w:before="120" w:after="120" w:line="240" w:lineRule="atLeast"/>
              <w:textAlignment w:val="auto"/>
              <w:rPr>
                <w:szCs w:val="22"/>
                <w:highlight w:val="none"/>
                <w:lang w:val="es-ES"/>
              </w:rPr>
            </w:pPr>
            <w:r>
              <w:rPr>
                <w:rFonts w:hint="eastAsia"/>
                <w:szCs w:val="22"/>
                <w:highlight w:val="none"/>
                <w:lang w:val="es-ES"/>
              </w:rPr>
              <w:t>特殊合同条款第17.2款包含了合同双方达成一致的环境-社会-健康-安全管理策略和实施计划。按照特殊合同条款第17.2款，承包商应向监理提交其环境-社会-健康-安全管理策略和实施计划并在该环境-社会-健康-安全管理策略和实施计划获得批准后实施该策略和计划。</w:t>
            </w:r>
          </w:p>
          <w:p>
            <w:pPr>
              <w:widowControl/>
              <w:spacing w:before="120" w:after="120" w:line="240" w:lineRule="atLeast"/>
              <w:textAlignment w:val="auto"/>
              <w:rPr>
                <w:szCs w:val="22"/>
                <w:highlight w:val="none"/>
                <w:lang w:val="es-ES"/>
              </w:rPr>
            </w:pPr>
          </w:p>
          <w:p>
            <w:pPr>
              <w:widowControl/>
              <w:spacing w:before="120" w:after="120" w:line="240" w:lineRule="atLeast"/>
              <w:textAlignment w:val="auto"/>
              <w:rPr>
                <w:bCs/>
                <w:i/>
                <w:szCs w:val="21"/>
                <w:lang w:val="es-ES"/>
              </w:rPr>
            </w:pPr>
            <w:r>
              <w:rPr>
                <w:rFonts w:hint="eastAsia"/>
                <w:szCs w:val="22"/>
                <w:highlight w:val="none"/>
                <w:lang w:val="es-ES"/>
              </w:rPr>
              <w:t>[注: 环境-社会-健康-安全管理策略和实施计划应反映第六章业主要求提出的要求和风险（经咨询环境专家和社会专家）。投标人要应对的风险应是环境专家和社会专家鉴别的风险，例如从环境社会影响评价报告、环境社会管理计划、移民行动计划和/或政府相关部门在对项目的批复和/或颁发其它许可证时提出的要求中鉴别的风险。风险可能出现在进场或施工过程中，可能包括施工交通车辆对当地居民的影响，对饮用水的污染、在私人土地上堆放材料设备、对稀有物种的影响等。为应对这些风险，环境-社会-健康-安全管理策略和实施计划可能包括进场计划和安排、从政府相关部门获得批复或许可证的计划和安排、交通管理、水资源保护计划、生物多样性保护计划、现场边界标识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13.1</w:t>
            </w:r>
            <w:r>
              <w:rPr>
                <w:rFonts w:hint="eastAsia"/>
                <w:b/>
                <w:szCs w:val="21"/>
              </w:rPr>
              <w:t>款</w:t>
            </w:r>
          </w:p>
        </w:tc>
        <w:tc>
          <w:tcPr>
            <w:tcW w:w="6048" w:type="dxa"/>
            <w:vAlign w:val="top"/>
          </w:tcPr>
          <w:p>
            <w:pPr>
              <w:widowControl/>
              <w:spacing w:before="120" w:after="120" w:line="240" w:lineRule="atLeast"/>
              <w:textAlignment w:val="auto"/>
              <w:rPr>
                <w:szCs w:val="21"/>
              </w:rPr>
            </w:pPr>
            <w:r>
              <w:rPr>
                <w:rFonts w:hint="eastAsia"/>
                <w:bCs/>
                <w:iCs/>
                <w:szCs w:val="21"/>
                <w:lang w:val="es-ES"/>
              </w:rPr>
              <w:t>业主将</w:t>
            </w:r>
            <w:r>
              <w:rPr>
                <w:rFonts w:hint="eastAsia"/>
                <w:b/>
                <w:iCs/>
                <w:szCs w:val="21"/>
                <w:lang w:val="es-ES"/>
              </w:rPr>
              <w:t>不考虑</w:t>
            </w:r>
            <w:r>
              <w:rPr>
                <w:rFonts w:hint="eastAsia"/>
                <w:szCs w:val="21"/>
              </w:rPr>
              <w:t>替代方案投标。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13.</w:t>
            </w:r>
            <w:r>
              <w:rPr>
                <w:rFonts w:hint="eastAsia"/>
                <w:b/>
                <w:szCs w:val="21"/>
              </w:rPr>
              <w:t>2款</w:t>
            </w:r>
          </w:p>
        </w:tc>
        <w:tc>
          <w:tcPr>
            <w:tcW w:w="6048" w:type="dxa"/>
            <w:vAlign w:val="top"/>
          </w:tcPr>
          <w:p>
            <w:pPr>
              <w:tabs>
                <w:tab w:val="right" w:pos="7254"/>
              </w:tabs>
              <w:spacing w:before="120" w:after="120" w:line="240" w:lineRule="atLeast"/>
              <w:textAlignment w:val="auto"/>
            </w:pPr>
            <w:r>
              <w:rPr>
                <w:rFonts w:hint="eastAsia"/>
                <w:bCs/>
                <w:iCs/>
                <w:szCs w:val="21"/>
                <w:lang w:val="es-ES"/>
              </w:rPr>
              <w:t>业主将</w:t>
            </w:r>
            <w:r>
              <w:rPr>
                <w:rFonts w:hint="eastAsia"/>
                <w:b/>
                <w:iCs/>
                <w:szCs w:val="21"/>
                <w:lang w:val="es-ES"/>
              </w:rPr>
              <w:t>不考虑</w:t>
            </w:r>
            <w:r>
              <w:rPr>
                <w:color w:val="000000"/>
                <w:szCs w:val="21"/>
              </w:rPr>
              <w:t>替代完工时间</w:t>
            </w:r>
            <w:r>
              <w:rPr>
                <w:rFonts w:hint="eastAsia"/>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13.</w:t>
            </w:r>
            <w:r>
              <w:rPr>
                <w:rFonts w:hint="eastAsia"/>
                <w:b/>
                <w:szCs w:val="21"/>
              </w:rPr>
              <w:t>4款</w:t>
            </w:r>
          </w:p>
        </w:tc>
        <w:tc>
          <w:tcPr>
            <w:tcW w:w="6048" w:type="dxa"/>
            <w:vAlign w:val="top"/>
          </w:tcPr>
          <w:p>
            <w:pPr>
              <w:tabs>
                <w:tab w:val="right" w:pos="7254"/>
              </w:tabs>
              <w:spacing w:before="120" w:after="120" w:line="240" w:lineRule="atLeast"/>
              <w:textAlignment w:val="auto"/>
              <w:rPr>
                <w:i/>
              </w:rPr>
            </w:pPr>
            <w:r>
              <w:rPr>
                <w:rFonts w:hint="eastAsia"/>
                <w:bCs/>
                <w:iCs/>
                <w:szCs w:val="21"/>
                <w:lang w:val="es-ES"/>
              </w:rPr>
              <w:t>业主将</w:t>
            </w:r>
            <w:r>
              <w:rPr>
                <w:rFonts w:hint="eastAsia"/>
                <w:b/>
                <w:iCs/>
                <w:szCs w:val="21"/>
                <w:lang w:val="es-ES"/>
              </w:rPr>
              <w:t>不考虑</w:t>
            </w:r>
            <w:r>
              <w:rPr>
                <w:rFonts w:hint="eastAsia"/>
                <w:color w:val="000000"/>
                <w:szCs w:val="21"/>
              </w:rPr>
              <w:t>下述部分的替代方案：/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14.5款</w:t>
            </w:r>
          </w:p>
        </w:tc>
        <w:tc>
          <w:tcPr>
            <w:tcW w:w="6048" w:type="dxa"/>
          </w:tcPr>
          <w:p>
            <w:pPr>
              <w:pStyle w:val="60"/>
              <w:tabs>
                <w:tab w:val="right" w:pos="7254"/>
              </w:tabs>
              <w:spacing w:before="120" w:after="120" w:line="240" w:lineRule="atLeast"/>
              <w:textAlignment w:val="auto"/>
              <w:rPr>
                <w:b w:val="0"/>
                <w:szCs w:val="21"/>
                <w:lang w:val="en-US" w:eastAsia="zh-CN"/>
              </w:rPr>
            </w:pPr>
            <w:r>
              <w:rPr>
                <w:rFonts w:hint="eastAsia"/>
                <w:b w:val="0"/>
                <w:szCs w:val="21"/>
                <w:lang w:val="en-US"/>
              </w:rPr>
              <w:t>投标报价在合同履行期间</w:t>
            </w:r>
            <w:r>
              <w:rPr>
                <w:rFonts w:hint="eastAsia"/>
                <w:iCs/>
                <w:szCs w:val="21"/>
                <w:lang w:val="es-ES"/>
              </w:rPr>
              <w:t>不可以</w:t>
            </w:r>
            <w:r>
              <w:rPr>
                <w:iCs/>
                <w:szCs w:val="21"/>
                <w:lang w:val="es-ES"/>
              </w:rPr>
              <w:t xml:space="preserve"> </w:t>
            </w:r>
            <w:r>
              <w:rPr>
                <w:rFonts w:hint="eastAsia"/>
                <w:b w:val="0"/>
                <w:szCs w:val="21"/>
                <w:lang w:val="en-US"/>
              </w:rPr>
              <w:t>进行调整</w:t>
            </w:r>
            <w:r>
              <w:rPr>
                <w:rFonts w:hint="eastAsia"/>
                <w:b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18.1款</w:t>
            </w:r>
          </w:p>
        </w:tc>
        <w:tc>
          <w:tcPr>
            <w:tcW w:w="6048" w:type="dxa"/>
          </w:tcPr>
          <w:p>
            <w:pPr>
              <w:widowControl/>
              <w:spacing w:before="120" w:after="120" w:line="240" w:lineRule="atLeast"/>
              <w:textAlignment w:val="auto"/>
              <w:rPr>
                <w:szCs w:val="21"/>
              </w:rPr>
            </w:pPr>
            <w:r>
              <w:rPr>
                <w:rFonts w:hint="eastAsia"/>
                <w:szCs w:val="21"/>
              </w:rPr>
              <w:t>投标有效期为：</w:t>
            </w:r>
            <w:r>
              <w:rPr>
                <w:rFonts w:hint="eastAsia"/>
                <w:b/>
                <w:iCs/>
                <w:szCs w:val="21"/>
              </w:rPr>
              <w:t>120</w:t>
            </w:r>
            <w:r>
              <w:rPr>
                <w:rFonts w:hint="eastAsia"/>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第1</w:t>
            </w:r>
            <w:r>
              <w:rPr>
                <w:b/>
                <w:szCs w:val="21"/>
              </w:rPr>
              <w:t>8.3</w:t>
            </w:r>
            <w:r>
              <w:rPr>
                <w:rFonts w:hint="eastAsia"/>
                <w:b/>
                <w:szCs w:val="21"/>
              </w:rPr>
              <w:t>款</w:t>
            </w:r>
          </w:p>
        </w:tc>
        <w:tc>
          <w:tcPr>
            <w:tcW w:w="6048" w:type="dxa"/>
          </w:tcPr>
          <w:p>
            <w:pPr>
              <w:widowControl/>
              <w:spacing w:before="120" w:after="120" w:line="240" w:lineRule="atLeast"/>
              <w:textAlignment w:val="auto"/>
              <w:rPr>
                <w:rFonts w:hint="eastAsia" w:eastAsia="宋体"/>
                <w:szCs w:val="21"/>
                <w:lang w:eastAsia="zh-CN"/>
              </w:rPr>
            </w:pPr>
            <w:r>
              <w:rPr>
                <w:rFonts w:hint="eastAsia"/>
                <w:szCs w:val="21"/>
              </w:rPr>
              <w:t>投标价应按照以下系数进行调整：</w:t>
            </w:r>
            <w:r>
              <w:rPr>
                <w:rFonts w:hint="eastAsia"/>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第1</w:t>
            </w:r>
            <w:r>
              <w:rPr>
                <w:b/>
                <w:szCs w:val="21"/>
              </w:rPr>
              <w:t>9.1</w:t>
            </w:r>
            <w:r>
              <w:rPr>
                <w:rFonts w:hint="eastAsia"/>
                <w:b/>
                <w:szCs w:val="21"/>
              </w:rPr>
              <w:t>款</w:t>
            </w:r>
          </w:p>
        </w:tc>
        <w:tc>
          <w:tcPr>
            <w:tcW w:w="6048" w:type="dxa"/>
          </w:tcPr>
          <w:p>
            <w:pPr>
              <w:widowControl/>
              <w:spacing w:before="120" w:after="120" w:line="240" w:lineRule="atLeast"/>
              <w:textAlignment w:val="auto"/>
              <w:rPr>
                <w:szCs w:val="21"/>
              </w:rPr>
            </w:pPr>
            <w:r>
              <w:rPr>
                <w:rFonts w:hint="eastAsia"/>
                <w:szCs w:val="21"/>
              </w:rPr>
              <w:t>投标保证金金额为：</w:t>
            </w:r>
            <w:r>
              <w:rPr>
                <w:rFonts w:hint="eastAsia"/>
              </w:rPr>
              <w:t>田涧沟(解放西路-林园路)治理工程（合同号：</w:t>
            </w:r>
            <w:r>
              <w:rPr>
                <w:rFonts w:hint="eastAsia"/>
                <w:lang w:eastAsia="zh-CN"/>
              </w:rPr>
              <w:t>JZTJ121A</w:t>
            </w:r>
            <w:r>
              <w:rPr>
                <w:rFonts w:hint="eastAsia"/>
              </w:rPr>
              <w:t>）</w:t>
            </w:r>
            <w:r>
              <w:rPr>
                <w:rFonts w:hint="eastAsia"/>
                <w:szCs w:val="21"/>
              </w:rPr>
              <w:t>：人民币40万元；田涧沟(林园路-普济河)治理工程（合同号：</w:t>
            </w:r>
            <w:r>
              <w:rPr>
                <w:rFonts w:hint="eastAsia"/>
                <w:szCs w:val="21"/>
                <w:lang w:eastAsia="zh-CN"/>
              </w:rPr>
              <w:t>JZTJ121B</w:t>
            </w:r>
            <w:r>
              <w:rPr>
                <w:rFonts w:hint="eastAsia"/>
                <w:szCs w:val="21"/>
              </w:rPr>
              <w:t>）：人民币40万元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第1</w:t>
            </w:r>
            <w:r>
              <w:rPr>
                <w:b/>
                <w:szCs w:val="21"/>
              </w:rPr>
              <w:t>9.2</w:t>
            </w:r>
            <w:r>
              <w:rPr>
                <w:rFonts w:hint="eastAsia"/>
                <w:b/>
                <w:szCs w:val="21"/>
              </w:rPr>
              <w:t>款</w:t>
            </w:r>
          </w:p>
        </w:tc>
        <w:tc>
          <w:tcPr>
            <w:tcW w:w="6048" w:type="dxa"/>
          </w:tcPr>
          <w:p>
            <w:pPr>
              <w:widowControl/>
              <w:spacing w:before="120" w:after="120" w:line="300" w:lineRule="auto"/>
              <w:rPr>
                <w:szCs w:val="21"/>
              </w:rPr>
            </w:pPr>
            <w:r>
              <w:rPr>
                <w:rFonts w:hint="eastAsia"/>
                <w:szCs w:val="21"/>
              </w:rPr>
              <w:t>注：投标保证金需按照焦作市公共资源交易中心要求缴纳，具体如下：</w:t>
            </w:r>
          </w:p>
          <w:p>
            <w:pPr>
              <w:widowControl/>
              <w:spacing w:before="120" w:after="120" w:line="300" w:lineRule="auto"/>
            </w:pPr>
            <w:r>
              <w:rPr>
                <w:rFonts w:hint="eastAsia"/>
              </w:rPr>
              <w:t>投标保证金的提供方式</w:t>
            </w:r>
          </w:p>
          <w:p>
            <w:pPr>
              <w:widowControl/>
              <w:spacing w:before="120" w:after="120" w:line="300" w:lineRule="auto"/>
            </w:pPr>
            <w:r>
              <w:rPr>
                <w:rFonts w:hint="eastAsia"/>
              </w:rPr>
              <w:t>（1）银行汇款（转账至焦作市公共资源交易中心账户中，提交转账截图）、保函（需满足本招标文件规定格式，保函格式见第四章投标文件格式）。</w:t>
            </w:r>
          </w:p>
          <w:p>
            <w:pPr>
              <w:widowControl/>
              <w:spacing w:before="120" w:after="120" w:line="300" w:lineRule="auto"/>
              <w:rPr>
                <w:szCs w:val="21"/>
              </w:rPr>
            </w:pPr>
            <w:r>
              <w:rPr>
                <w:rFonts w:hint="eastAsia"/>
              </w:rPr>
              <w:t>（2）采用转账形式的必须由投标人基本账户汇至焦作市公共资源交易中心指定账户，不得以现金和其他形式提交。（未从基本账户汇出或未按时到账者视为无效）。各合同包投标保证金提交截止时间见交易中心电子系统，提交账号如下：</w:t>
            </w:r>
          </w:p>
          <w:p>
            <w:pPr>
              <w:widowControl/>
              <w:spacing w:before="120" w:after="120" w:line="300" w:lineRule="auto"/>
              <w:rPr>
                <w:szCs w:val="21"/>
              </w:rPr>
            </w:pPr>
            <w:r>
              <w:rPr>
                <w:rFonts w:hint="eastAsia"/>
                <w:szCs w:val="21"/>
              </w:rPr>
              <w:t>名称：焦作市公共资源交易中心</w:t>
            </w:r>
          </w:p>
          <w:p>
            <w:pPr>
              <w:widowControl/>
              <w:spacing w:before="120" w:after="120" w:line="300" w:lineRule="auto"/>
              <w:rPr>
                <w:szCs w:val="21"/>
              </w:rPr>
            </w:pPr>
            <w:r>
              <w:rPr>
                <w:rFonts w:hint="eastAsia"/>
                <w:szCs w:val="21"/>
              </w:rPr>
              <w:t>（1）田涧沟(解放西路-林园路)治理工程（合同号：</w:t>
            </w:r>
            <w:r>
              <w:rPr>
                <w:rFonts w:hint="eastAsia"/>
                <w:szCs w:val="21"/>
                <w:lang w:eastAsia="zh-CN"/>
              </w:rPr>
              <w:t>JZTJ121A</w:t>
            </w:r>
            <w:r>
              <w:rPr>
                <w:rFonts w:hint="eastAsia"/>
                <w:szCs w:val="21"/>
              </w:rPr>
              <w:t>）</w:t>
            </w:r>
          </w:p>
          <w:p>
            <w:pPr>
              <w:widowControl/>
              <w:spacing w:before="120" w:after="120" w:line="300" w:lineRule="auto"/>
              <w:rPr>
                <w:szCs w:val="21"/>
              </w:rPr>
            </w:pPr>
            <w:r>
              <w:rPr>
                <w:rFonts w:hint="eastAsia"/>
                <w:szCs w:val="21"/>
              </w:rPr>
              <w:t>1.开户银行：中国建设银行股份有限公司焦作焦西支行；账号：41001510516050211562-1001</w:t>
            </w:r>
          </w:p>
          <w:p>
            <w:pPr>
              <w:widowControl/>
              <w:spacing w:before="120" w:after="120" w:line="300" w:lineRule="auto"/>
              <w:rPr>
                <w:szCs w:val="21"/>
              </w:rPr>
            </w:pPr>
            <w:r>
              <w:rPr>
                <w:rFonts w:hint="eastAsia"/>
                <w:szCs w:val="21"/>
              </w:rPr>
              <w:t>2.开户银行：中国邮政储蓄银行股份有限公司焦作市民主南路支行；账号：94100101009895000900307</w:t>
            </w:r>
          </w:p>
          <w:p>
            <w:pPr>
              <w:widowControl/>
              <w:spacing w:before="120" w:after="120" w:line="300" w:lineRule="auto"/>
              <w:rPr>
                <w:szCs w:val="21"/>
              </w:rPr>
            </w:pPr>
            <w:r>
              <w:rPr>
                <w:rFonts w:hint="eastAsia"/>
                <w:szCs w:val="21"/>
              </w:rPr>
              <w:t>3.开户银行：中国工商银行股份有限公司焦作分行；账号：1709020338000184975</w:t>
            </w:r>
          </w:p>
          <w:p>
            <w:pPr>
              <w:widowControl/>
              <w:spacing w:before="120" w:after="120" w:line="300" w:lineRule="auto"/>
              <w:rPr>
                <w:rFonts w:ascii="宋体" w:hAnsi="宋体" w:cs="宋体"/>
                <w:szCs w:val="21"/>
              </w:rPr>
            </w:pPr>
            <w:r>
              <w:rPr>
                <w:rFonts w:hint="eastAsia" w:ascii="宋体" w:hAnsi="宋体" w:cs="宋体"/>
                <w:szCs w:val="21"/>
              </w:rPr>
              <w:t>（2）</w:t>
            </w:r>
            <w:r>
              <w:rPr>
                <w:rFonts w:hint="eastAsia"/>
                <w:szCs w:val="21"/>
              </w:rPr>
              <w:t>田涧沟(林园路-普济河)治理工程（合同号：</w:t>
            </w:r>
            <w:r>
              <w:rPr>
                <w:rFonts w:hint="eastAsia"/>
                <w:szCs w:val="21"/>
                <w:lang w:eastAsia="zh-CN"/>
              </w:rPr>
              <w:t>JZTJ121B</w:t>
            </w:r>
            <w:r>
              <w:rPr>
                <w:rFonts w:hint="eastAsia"/>
                <w:szCs w:val="21"/>
              </w:rPr>
              <w:t>）</w:t>
            </w:r>
          </w:p>
          <w:p>
            <w:pPr>
              <w:widowControl/>
              <w:spacing w:before="120" w:after="120" w:line="300" w:lineRule="auto"/>
              <w:rPr>
                <w:rFonts w:hint="eastAsia"/>
                <w:szCs w:val="21"/>
              </w:rPr>
            </w:pPr>
            <w:r>
              <w:rPr>
                <w:rFonts w:hint="eastAsia"/>
                <w:szCs w:val="21"/>
              </w:rPr>
              <w:t>1.开户银行：中国建设银行股份有限公司焦作焦西支行；账号：41001510516050211562-1223</w:t>
            </w:r>
          </w:p>
          <w:p>
            <w:pPr>
              <w:widowControl/>
              <w:spacing w:before="120" w:after="120" w:line="300" w:lineRule="auto"/>
              <w:rPr>
                <w:rFonts w:hint="eastAsia"/>
                <w:szCs w:val="21"/>
              </w:rPr>
            </w:pPr>
            <w:r>
              <w:rPr>
                <w:rFonts w:hint="eastAsia"/>
                <w:szCs w:val="21"/>
              </w:rPr>
              <w:t>2.开户银行：中国邮政储蓄银行股份有限公司焦作市民主南路支行；账号：94100101009895000900308</w:t>
            </w:r>
          </w:p>
          <w:p>
            <w:pPr>
              <w:widowControl/>
              <w:spacing w:before="120" w:after="120" w:line="300" w:lineRule="auto"/>
              <w:rPr>
                <w:szCs w:val="21"/>
              </w:rPr>
            </w:pPr>
            <w:r>
              <w:rPr>
                <w:rFonts w:hint="eastAsia"/>
                <w:szCs w:val="21"/>
              </w:rPr>
              <w:t xml:space="preserve">3.开户银行：中国工商银行股份有限公司焦作分行；账号：1709020338000185079 </w:t>
            </w:r>
          </w:p>
          <w:p>
            <w:pPr>
              <w:widowControl/>
              <w:spacing w:before="120" w:after="120" w:line="300" w:lineRule="auto"/>
              <w:rPr>
                <w:rFonts w:ascii="宋体" w:hAnsi="宋体" w:cs="宋体"/>
                <w:szCs w:val="21"/>
              </w:rPr>
            </w:pPr>
            <w:r>
              <w:rPr>
                <w:rFonts w:hint="eastAsia" w:ascii="宋体" w:hAnsi="宋体" w:cs="宋体"/>
                <w:szCs w:val="21"/>
              </w:rPr>
              <w:t>备注：1、如联合体投标，如采用银行汇款形式，应当以联合体中牵头人的名义提交保证金。2、会员注册请注意，注册诚信信息时基本账户要真实有效，并上传开户许可证。转账时要从基本账户转出，开标时系统会自动对账户进行匹配，不符者将视为不响应招标文件实质性要求。已注册会员的如需修改基本信息请修改后再进行报名。</w:t>
            </w:r>
          </w:p>
          <w:p>
            <w:pPr>
              <w:widowControl/>
              <w:spacing w:before="120" w:after="120" w:line="240" w:lineRule="atLeast"/>
              <w:textAlignment w:val="auto"/>
              <w:rPr>
                <w:szCs w:val="21"/>
              </w:rPr>
            </w:pPr>
            <w:r>
              <w:rPr>
                <w:rFonts w:hint="eastAsia" w:ascii="宋体" w:hAnsi="宋体" w:cs="宋体"/>
                <w:szCs w:val="21"/>
              </w:rPr>
              <w:t>（3）以保函形式提交的，需开标现场提交保函原件，作为其投标文件的组成部分，如联合体投标，银行保函应当以联合体的名义提交（即保函中包含牵头方以及成员方单位名称）。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rPr>
                <w:rFonts w:ascii="宋体" w:hAnsi="宋体"/>
                <w:b/>
                <w:szCs w:val="21"/>
              </w:rPr>
            </w:pPr>
            <w:r>
              <w:rPr>
                <w:rFonts w:hint="eastAsia" w:ascii="宋体" w:hAnsi="宋体"/>
                <w:b/>
                <w:szCs w:val="21"/>
              </w:rPr>
              <w:t>第</w:t>
            </w:r>
            <w:r>
              <w:rPr>
                <w:b/>
                <w:szCs w:val="21"/>
              </w:rPr>
              <w:t>19.</w:t>
            </w:r>
            <w:r>
              <w:rPr>
                <w:rFonts w:hint="eastAsia"/>
                <w:b/>
                <w:szCs w:val="21"/>
              </w:rPr>
              <w:t>4</w:t>
            </w:r>
            <w:r>
              <w:rPr>
                <w:rFonts w:hAnsi="宋体"/>
                <w:b/>
                <w:szCs w:val="21"/>
              </w:rPr>
              <w:t>款</w:t>
            </w:r>
          </w:p>
        </w:tc>
        <w:tc>
          <w:tcPr>
            <w:tcW w:w="6048" w:type="dxa"/>
          </w:tcPr>
          <w:p>
            <w:pPr>
              <w:widowControl/>
              <w:spacing w:before="120" w:after="120" w:line="240" w:lineRule="atLeast"/>
              <w:rPr>
                <w:rFonts w:ascii="宋体" w:hAnsi="宋体"/>
                <w:szCs w:val="21"/>
              </w:rPr>
            </w:pPr>
            <w:r>
              <w:rPr>
                <w:rFonts w:hint="eastAsia" w:ascii="宋体" w:hAnsi="宋体"/>
                <w:szCs w:val="21"/>
                <w:highlight w:val="none"/>
              </w:rPr>
              <w:t>投标人</w:t>
            </w:r>
            <w:r>
              <w:rPr>
                <w:rFonts w:hint="eastAsia" w:ascii="宋体" w:hAnsi="宋体"/>
                <w:i w:val="0"/>
                <w:iCs w:val="0"/>
                <w:szCs w:val="21"/>
                <w:highlight w:val="none"/>
                <w:u w:val="single"/>
              </w:rPr>
              <w:t>“不需要”</w:t>
            </w:r>
            <w:r>
              <w:rPr>
                <w:rFonts w:hint="eastAsia" w:ascii="宋体" w:hAnsi="宋体"/>
                <w:szCs w:val="21"/>
                <w:highlight w:val="none"/>
              </w:rPr>
              <w:t>环境-社会-健康-安全保证金。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0</w:t>
            </w:r>
            <w:r>
              <w:rPr>
                <w:b/>
                <w:szCs w:val="21"/>
              </w:rPr>
              <w:t>.1款</w:t>
            </w:r>
          </w:p>
        </w:tc>
        <w:tc>
          <w:tcPr>
            <w:tcW w:w="6048" w:type="dxa"/>
          </w:tcPr>
          <w:p>
            <w:pPr>
              <w:widowControl/>
              <w:spacing w:before="120" w:after="120" w:line="240" w:lineRule="atLeast"/>
              <w:textAlignment w:val="auto"/>
              <w:rPr>
                <w:iCs/>
                <w:szCs w:val="21"/>
              </w:rPr>
            </w:pPr>
            <w:r>
              <w:rPr>
                <w:rFonts w:hint="eastAsia"/>
                <w:szCs w:val="21"/>
              </w:rPr>
              <w:t>投标文件副本数量为：</w:t>
            </w:r>
            <w:r>
              <w:rPr>
                <w:rFonts w:hint="eastAsia"/>
                <w:b/>
                <w:iCs/>
                <w:szCs w:val="21"/>
                <w:lang w:val="es-ES"/>
              </w:rPr>
              <w:t>四</w:t>
            </w:r>
            <w:r>
              <w:rPr>
                <w:rFonts w:hint="eastAsia"/>
                <w:iCs/>
                <w:szCs w:val="21"/>
              </w:rPr>
              <w:t>份（一正四副）</w:t>
            </w:r>
          </w:p>
          <w:p>
            <w:pPr>
              <w:widowControl/>
              <w:spacing w:before="120" w:after="120" w:line="240" w:lineRule="atLeast"/>
              <w:textAlignment w:val="auto"/>
              <w:rPr>
                <w:szCs w:val="21"/>
              </w:rPr>
            </w:pPr>
            <w:r>
              <w:rPr>
                <w:rFonts w:hint="eastAsia"/>
                <w:szCs w:val="21"/>
              </w:rPr>
              <w:t>建议投标人将投标文件进行双面打印。</w:t>
            </w:r>
          </w:p>
          <w:p>
            <w:pPr>
              <w:widowControl/>
              <w:spacing w:before="120" w:after="120" w:line="240" w:lineRule="atLeast"/>
              <w:textAlignment w:val="auto"/>
              <w:rPr>
                <w:rFonts w:hint="eastAsia" w:eastAsia="宋体"/>
                <w:szCs w:val="21"/>
                <w:lang w:eastAsia="zh-CN"/>
              </w:rPr>
            </w:pPr>
            <w:r>
              <w:rPr>
                <w:rFonts w:hint="eastAsia"/>
                <w:szCs w:val="21"/>
              </w:rPr>
              <w:t>投标人应递交一份完整投标文件的电子版（电子版投标文件为盖章后扫描的PDF，工程量清单以excel形式保存），以U盘储存。该电子版须密封在投标文件正本里。电子版投标文件与投标文件正本有不一致或矛盾的地方，以投标文件正本数据为准</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0</w:t>
            </w:r>
            <w:r>
              <w:rPr>
                <w:b/>
                <w:szCs w:val="21"/>
              </w:rPr>
              <w:t>.</w:t>
            </w:r>
            <w:r>
              <w:rPr>
                <w:rFonts w:hint="eastAsia"/>
                <w:b/>
                <w:szCs w:val="21"/>
              </w:rPr>
              <w:t>2</w:t>
            </w:r>
            <w:r>
              <w:rPr>
                <w:b/>
                <w:szCs w:val="21"/>
              </w:rPr>
              <w:t>款</w:t>
            </w:r>
          </w:p>
        </w:tc>
        <w:tc>
          <w:tcPr>
            <w:tcW w:w="6048" w:type="dxa"/>
          </w:tcPr>
          <w:p>
            <w:pPr>
              <w:widowControl/>
              <w:spacing w:before="120" w:after="120" w:line="240" w:lineRule="atLeast"/>
              <w:textAlignment w:val="auto"/>
              <w:rPr>
                <w:rFonts w:hint="eastAsia"/>
                <w:szCs w:val="21"/>
              </w:rPr>
            </w:pPr>
            <w:r>
              <w:rPr>
                <w:rFonts w:hint="eastAsia"/>
                <w:szCs w:val="21"/>
              </w:rPr>
              <w:t>代表投标人签字的书面确认书应包括：</w:t>
            </w:r>
          </w:p>
          <w:p>
            <w:pPr>
              <w:widowControl/>
              <w:spacing w:before="120" w:after="120" w:line="240" w:lineRule="atLeast"/>
              <w:textAlignment w:val="auto"/>
              <w:rPr>
                <w:i w:val="0"/>
                <w:iCs w:val="0"/>
                <w:szCs w:val="21"/>
                <w:highlight w:val="none"/>
              </w:rPr>
            </w:pPr>
            <w:r>
              <w:rPr>
                <w:rFonts w:hint="eastAsia"/>
                <w:i w:val="0"/>
                <w:iCs w:val="0"/>
                <w:szCs w:val="21"/>
                <w:highlight w:val="none"/>
              </w:rPr>
              <w:t>代表投标人签字的书面确认书：</w:t>
            </w:r>
          </w:p>
          <w:p>
            <w:pPr>
              <w:widowControl/>
              <w:spacing w:before="120" w:after="120" w:line="240" w:lineRule="atLeast"/>
              <w:textAlignment w:val="auto"/>
              <w:rPr>
                <w:i w:val="0"/>
                <w:iCs w:val="0"/>
                <w:szCs w:val="21"/>
                <w:highlight w:val="none"/>
              </w:rPr>
            </w:pPr>
            <w:r>
              <w:rPr>
                <w:rFonts w:hint="eastAsia"/>
                <w:i w:val="0"/>
                <w:iCs w:val="0"/>
                <w:szCs w:val="21"/>
                <w:highlight w:val="none"/>
              </w:rPr>
              <w:t>（1）如果投标文件由独立的法定代表人授权的代表签字，应提供合法有效的法定代表人授权委托书；以及</w:t>
            </w:r>
          </w:p>
          <w:p>
            <w:pPr>
              <w:widowControl/>
              <w:spacing w:before="120" w:after="120" w:line="240" w:lineRule="atLeast"/>
              <w:textAlignment w:val="auto"/>
              <w:rPr>
                <w:i w:val="0"/>
                <w:iCs w:val="0"/>
                <w:szCs w:val="21"/>
                <w:highlight w:val="none"/>
              </w:rPr>
            </w:pPr>
            <w:r>
              <w:rPr>
                <w:rFonts w:hint="eastAsia"/>
                <w:i w:val="0"/>
                <w:iCs w:val="0"/>
                <w:szCs w:val="21"/>
                <w:highlight w:val="none"/>
              </w:rPr>
              <w:t>（2）如果投标人是一个已经形成的或意向联合体，应提供所有联合体成员授权代表签署的注明联合体代表权力的授权书；并且如果联合体尚未形成，还应提供证明所有联合体成员在中标时有意向形成联合体的文件。</w:t>
            </w:r>
          </w:p>
          <w:p>
            <w:pPr>
              <w:widowControl/>
              <w:spacing w:before="120" w:after="120" w:line="240" w:lineRule="atLeast"/>
              <w:textAlignment w:val="auto"/>
              <w:rPr>
                <w:lang w:val="en-GB"/>
              </w:rPr>
            </w:pPr>
            <w:r>
              <w:rPr>
                <w:rFonts w:hint="eastAsia"/>
                <w:i w:val="0"/>
                <w:iCs w:val="0"/>
                <w:szCs w:val="21"/>
                <w:highlight w:val="none"/>
              </w:rPr>
              <w:t>所有上述文件均应：（1）写明授权有效期，且（2）包含授权人与被授权人的签名]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widowControl/>
              <w:spacing w:before="120" w:after="120" w:line="240" w:lineRule="atLeast"/>
              <w:jc w:val="center"/>
              <w:textAlignment w:val="auto"/>
              <w:rPr>
                <w:b/>
                <w:szCs w:val="21"/>
              </w:rPr>
            </w:pPr>
            <w:r>
              <w:rPr>
                <w:rFonts w:hint="eastAsia"/>
                <w:b/>
                <w:szCs w:val="21"/>
              </w:rPr>
              <w:t>第四节　</w:t>
            </w:r>
            <w:r>
              <w:rPr>
                <w:b/>
                <w:szCs w:val="21"/>
              </w:rPr>
              <w:t>递交投标文件和开标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1</w:t>
            </w:r>
            <w:r>
              <w:rPr>
                <w:b/>
                <w:szCs w:val="21"/>
              </w:rPr>
              <w:t>.1</w:t>
            </w:r>
            <w:r>
              <w:rPr>
                <w:rFonts w:hint="eastAsia"/>
                <w:b/>
                <w:szCs w:val="21"/>
              </w:rPr>
              <w:t>款</w:t>
            </w:r>
          </w:p>
        </w:tc>
        <w:tc>
          <w:tcPr>
            <w:tcW w:w="6048" w:type="dxa"/>
            <w:vAlign w:val="top"/>
          </w:tcPr>
          <w:p>
            <w:pPr>
              <w:widowControl/>
              <w:spacing w:before="120" w:after="120" w:line="240" w:lineRule="atLeast"/>
              <w:textAlignment w:val="auto"/>
              <w:rPr>
                <w:szCs w:val="21"/>
              </w:rPr>
            </w:pPr>
            <w:r>
              <w:rPr>
                <w:rFonts w:hint="eastAsia"/>
                <w:szCs w:val="21"/>
              </w:rPr>
              <w:t>投标人</w:t>
            </w:r>
            <w:r>
              <w:rPr>
                <w:rFonts w:hint="eastAsia"/>
                <w:b/>
                <w:iCs/>
                <w:szCs w:val="21"/>
                <w:lang w:val="es-ES"/>
              </w:rPr>
              <w:t>不可以</w:t>
            </w:r>
            <w:r>
              <w:rPr>
                <w:rFonts w:hint="eastAsia"/>
                <w:szCs w:val="21"/>
              </w:rPr>
              <w:t>用电子的方式递交其投标文件。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240" w:after="120" w:line="240" w:lineRule="atLeast"/>
              <w:jc w:val="center"/>
              <w:textAlignment w:val="auto"/>
              <w:rPr>
                <w:b/>
                <w:szCs w:val="21"/>
              </w:rPr>
            </w:pPr>
            <w:r>
              <w:rPr>
                <w:rFonts w:hint="eastAsia"/>
                <w:b/>
                <w:szCs w:val="21"/>
              </w:rPr>
              <w:t>第</w:t>
            </w:r>
            <w:r>
              <w:rPr>
                <w:b/>
                <w:szCs w:val="21"/>
              </w:rPr>
              <w:t>2</w:t>
            </w:r>
            <w:r>
              <w:rPr>
                <w:rFonts w:hint="eastAsia"/>
                <w:b/>
                <w:szCs w:val="21"/>
              </w:rPr>
              <w:t>1</w:t>
            </w:r>
            <w:r>
              <w:rPr>
                <w:b/>
                <w:szCs w:val="21"/>
              </w:rPr>
              <w:t>.1</w:t>
            </w:r>
            <w:r>
              <w:rPr>
                <w:rFonts w:hint="eastAsia"/>
                <w:b/>
                <w:szCs w:val="21"/>
              </w:rPr>
              <w:t>款（2）项</w:t>
            </w:r>
          </w:p>
        </w:tc>
        <w:tc>
          <w:tcPr>
            <w:tcW w:w="6048" w:type="dxa"/>
            <w:vAlign w:val="top"/>
          </w:tcPr>
          <w:p>
            <w:pPr>
              <w:widowControl/>
              <w:spacing w:before="120" w:after="120" w:line="240" w:lineRule="atLeast"/>
              <w:textAlignment w:val="auto"/>
              <w:rPr>
                <w:szCs w:val="21"/>
              </w:rPr>
            </w:pPr>
            <w:r>
              <w:rPr>
                <w:rFonts w:hint="eastAsia"/>
                <w:szCs w:val="21"/>
              </w:rPr>
              <w:t>如果允许投标人采用电子方式递交投标文件，电子方式递交投标文件的程序为：</w:t>
            </w:r>
            <w:r>
              <w:rPr>
                <w:rFonts w:hint="eastAsia"/>
                <w:b/>
                <w:iCs/>
                <w:szCs w:val="21"/>
                <w:lang w:val="es-ES"/>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1</w:t>
            </w:r>
            <w:r>
              <w:rPr>
                <w:b/>
                <w:szCs w:val="21"/>
              </w:rPr>
              <w:t>.1</w:t>
            </w:r>
            <w:r>
              <w:rPr>
                <w:rFonts w:hint="eastAsia"/>
                <w:b/>
                <w:szCs w:val="21"/>
              </w:rPr>
              <w:t>款（3）项</w:t>
            </w:r>
          </w:p>
        </w:tc>
        <w:tc>
          <w:tcPr>
            <w:tcW w:w="6048" w:type="dxa"/>
          </w:tcPr>
          <w:p>
            <w:pPr>
              <w:widowControl/>
              <w:spacing w:before="120" w:after="120" w:line="240" w:lineRule="atLeast"/>
              <w:textAlignment w:val="auto"/>
              <w:rPr>
                <w:rFonts w:hint="eastAsia"/>
                <w:szCs w:val="21"/>
              </w:rPr>
            </w:pPr>
            <w:r>
              <w:rPr>
                <w:rFonts w:hint="eastAsia"/>
                <w:szCs w:val="21"/>
              </w:rPr>
              <w:t>内层和外层信封将标有下列额外的标识：</w:t>
            </w:r>
          </w:p>
          <w:p>
            <w:pPr>
              <w:widowControl/>
              <w:spacing w:before="120" w:after="120" w:line="240" w:lineRule="atLeast"/>
              <w:textAlignment w:val="auto"/>
              <w:rPr>
                <w:szCs w:val="22"/>
              </w:rPr>
            </w:pPr>
            <w:r>
              <w:rPr>
                <w:rFonts w:hint="eastAsia"/>
                <w:szCs w:val="22"/>
              </w:rPr>
              <w:t>项目名称：亚洲基础设施投资银行贷款支持河南郑州等地特大暴雨洪涝灾害灾后恢复重建项目-焦作子项目</w:t>
            </w:r>
          </w:p>
          <w:p>
            <w:pPr>
              <w:widowControl/>
              <w:spacing w:before="120" w:after="120" w:line="240" w:lineRule="atLeast"/>
              <w:textAlignment w:val="auto"/>
              <w:rPr>
                <w:szCs w:val="22"/>
              </w:rPr>
            </w:pPr>
            <w:r>
              <w:rPr>
                <w:rFonts w:hint="eastAsia"/>
                <w:szCs w:val="22"/>
              </w:rPr>
              <w:t>招标编号：0701-244703160083</w:t>
            </w:r>
          </w:p>
          <w:p>
            <w:pPr>
              <w:widowControl/>
              <w:spacing w:before="120" w:after="120" w:line="240" w:lineRule="atLeast"/>
              <w:textAlignment w:val="auto"/>
              <w:rPr>
                <w:szCs w:val="22"/>
              </w:rPr>
            </w:pPr>
            <w:r>
              <w:rPr>
                <w:rFonts w:hint="eastAsia"/>
                <w:szCs w:val="22"/>
              </w:rPr>
              <w:t>合同名称：</w:t>
            </w:r>
          </w:p>
          <w:p>
            <w:pPr>
              <w:widowControl/>
              <w:spacing w:before="120" w:after="120" w:line="240" w:lineRule="atLeast"/>
              <w:textAlignment w:val="auto"/>
              <w:rPr>
                <w:rFonts w:hint="eastAsia"/>
                <w:szCs w:val="21"/>
              </w:rPr>
            </w:pPr>
            <w:r>
              <w:rPr>
                <w:rFonts w:hint="eastAsia"/>
                <w:szCs w:val="22"/>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2</w:t>
            </w:r>
            <w:r>
              <w:rPr>
                <w:b/>
                <w:szCs w:val="21"/>
              </w:rPr>
              <w:t>.1款</w:t>
            </w:r>
          </w:p>
        </w:tc>
        <w:tc>
          <w:tcPr>
            <w:tcW w:w="6048" w:type="dxa"/>
          </w:tcPr>
          <w:p>
            <w:pPr>
              <w:widowControl/>
              <w:spacing w:before="120" w:after="120" w:line="240" w:lineRule="atLeast"/>
              <w:textAlignment w:val="auto"/>
              <w:rPr>
                <w:highlight w:val="none"/>
              </w:rPr>
            </w:pPr>
            <w:r>
              <w:rPr>
                <w:rFonts w:hint="eastAsia"/>
                <w:highlight w:val="none"/>
              </w:rPr>
              <w:t>投标文件的递交地址是：</w:t>
            </w:r>
          </w:p>
          <w:p>
            <w:pPr>
              <w:widowControl/>
              <w:spacing w:before="120" w:after="120" w:line="240" w:lineRule="atLeast"/>
              <w:textAlignment w:val="auto"/>
              <w:rPr>
                <w:rFonts w:hint="eastAsia"/>
                <w:highlight w:val="none"/>
              </w:rPr>
            </w:pPr>
            <w:r>
              <w:rPr>
                <w:rFonts w:hint="eastAsia"/>
                <w:highlight w:val="none"/>
              </w:rPr>
              <w:t>收件人：张旭、王乾</w:t>
            </w:r>
          </w:p>
          <w:p>
            <w:pPr>
              <w:widowControl/>
              <w:spacing w:before="120" w:after="120" w:line="240" w:lineRule="atLeast"/>
              <w:textAlignment w:val="auto"/>
              <w:rPr>
                <w:rFonts w:hint="eastAsia"/>
                <w:highlight w:val="none"/>
              </w:rPr>
            </w:pPr>
            <w:r>
              <w:rPr>
                <w:rFonts w:hint="eastAsia"/>
                <w:highlight w:val="none"/>
              </w:rPr>
              <w:t>地址：河南省焦作市公共资源交易中心一楼多媒体室（河南省焦作市人民路889号阳光大厦B座）</w:t>
            </w:r>
          </w:p>
          <w:p>
            <w:pPr>
              <w:widowControl/>
              <w:spacing w:before="120" w:after="120" w:line="240" w:lineRule="atLeast"/>
              <w:textAlignment w:val="auto"/>
              <w:rPr>
                <w:rFonts w:hint="eastAsia"/>
                <w:highlight w:val="none"/>
              </w:rPr>
            </w:pPr>
            <w:r>
              <w:rPr>
                <w:rFonts w:hint="eastAsia"/>
                <w:highlight w:val="none"/>
              </w:rPr>
              <w:t>邮政编码：454000</w:t>
            </w:r>
          </w:p>
          <w:p>
            <w:pPr>
              <w:widowControl/>
              <w:spacing w:before="120" w:after="120" w:line="240" w:lineRule="atLeast"/>
              <w:textAlignment w:val="auto"/>
              <w:rPr>
                <w:rFonts w:hint="eastAsia"/>
                <w:highlight w:val="none"/>
              </w:rPr>
            </w:pPr>
            <w:r>
              <w:rPr>
                <w:rFonts w:hint="eastAsia"/>
                <w:highlight w:val="none"/>
              </w:rPr>
              <w:t>电    话：0391-3557237/3557287</w:t>
            </w:r>
          </w:p>
          <w:p>
            <w:pPr>
              <w:widowControl/>
              <w:spacing w:before="120" w:after="120" w:line="240" w:lineRule="atLeast"/>
              <w:textAlignment w:val="auto"/>
              <w:rPr>
                <w:rFonts w:hint="eastAsia"/>
                <w:highlight w:val="none"/>
              </w:rPr>
            </w:pPr>
            <w:r>
              <w:rPr>
                <w:rFonts w:hint="eastAsia"/>
                <w:highlight w:val="none"/>
              </w:rPr>
              <w:t>邮    箱：zjjythxmb@163.com</w:t>
            </w:r>
          </w:p>
          <w:p>
            <w:pPr>
              <w:widowControl/>
              <w:spacing w:before="120" w:after="120" w:line="240" w:lineRule="atLeast"/>
              <w:textAlignment w:val="auto"/>
              <w:rPr>
                <w:rFonts w:hint="default" w:eastAsia="宋体"/>
                <w:i/>
                <w:iCs/>
                <w:highlight w:val="none"/>
                <w:lang w:val="en-US" w:eastAsia="zh-CN"/>
              </w:rPr>
            </w:pPr>
            <w:r>
              <w:rPr>
                <w:rFonts w:hint="eastAsia"/>
                <w:highlight w:val="none"/>
              </w:rPr>
              <w:t>投标截止时间：2024年</w:t>
            </w:r>
            <w:r>
              <w:rPr>
                <w:rFonts w:hint="eastAsia"/>
                <w:highlight w:val="none"/>
                <w:lang w:val="en-US" w:eastAsia="zh-CN"/>
              </w:rPr>
              <w:t>8</w:t>
            </w:r>
            <w:r>
              <w:rPr>
                <w:rFonts w:hint="eastAsia"/>
                <w:highlight w:val="none"/>
              </w:rPr>
              <w:t>月</w:t>
            </w:r>
            <w:r>
              <w:rPr>
                <w:rFonts w:hint="eastAsia"/>
                <w:highlight w:val="none"/>
                <w:lang w:val="en-US" w:eastAsia="zh-CN"/>
              </w:rPr>
              <w:t>20</w:t>
            </w:r>
            <w:r>
              <w:rPr>
                <w:rFonts w:hint="eastAsia"/>
                <w:highlight w:val="none"/>
              </w:rPr>
              <w:t>日9时0分</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vMerge w:val="restart"/>
          </w:tcPr>
          <w:p>
            <w:pPr>
              <w:widowControl/>
              <w:spacing w:before="120" w:after="120" w:line="240" w:lineRule="atLeast"/>
              <w:jc w:val="center"/>
              <w:textAlignment w:val="auto"/>
              <w:rPr>
                <w:b/>
                <w:szCs w:val="21"/>
              </w:rPr>
            </w:pPr>
            <w:r>
              <w:rPr>
                <w:rFonts w:hint="eastAsia"/>
                <w:b/>
                <w:szCs w:val="21"/>
              </w:rPr>
              <w:t>第</w:t>
            </w:r>
            <w:r>
              <w:rPr>
                <w:b/>
                <w:szCs w:val="21"/>
              </w:rPr>
              <w:t>2</w:t>
            </w:r>
            <w:r>
              <w:rPr>
                <w:rFonts w:hint="eastAsia"/>
                <w:b/>
                <w:szCs w:val="21"/>
              </w:rPr>
              <w:t>5</w:t>
            </w:r>
            <w:r>
              <w:rPr>
                <w:b/>
                <w:szCs w:val="21"/>
              </w:rPr>
              <w:t>.1款</w:t>
            </w:r>
          </w:p>
        </w:tc>
        <w:tc>
          <w:tcPr>
            <w:tcW w:w="6048" w:type="dxa"/>
            <w:vAlign w:val="top"/>
          </w:tcPr>
          <w:p>
            <w:pPr>
              <w:widowControl/>
              <w:spacing w:before="120" w:after="120" w:line="240" w:lineRule="atLeast"/>
              <w:textAlignment w:val="auto"/>
              <w:rPr>
                <w:szCs w:val="21"/>
                <w:highlight w:val="none"/>
              </w:rPr>
            </w:pPr>
            <w:r>
              <w:rPr>
                <w:rFonts w:hint="eastAsia"/>
                <w:szCs w:val="21"/>
                <w:highlight w:val="none"/>
              </w:rPr>
              <w:t>开标地址：河南省焦作市公共资源交易中心一楼多媒体室（河南省焦作市人民路889号阳光大厦B座）</w:t>
            </w:r>
          </w:p>
          <w:p>
            <w:pPr>
              <w:widowControl/>
              <w:spacing w:before="120" w:after="120" w:line="240" w:lineRule="atLeast"/>
              <w:textAlignment w:val="auto"/>
              <w:rPr>
                <w:szCs w:val="21"/>
                <w:highlight w:val="none"/>
              </w:rPr>
            </w:pPr>
            <w:r>
              <w:rPr>
                <w:rFonts w:hint="eastAsia"/>
                <w:szCs w:val="21"/>
                <w:highlight w:val="none"/>
              </w:rPr>
              <w:t>开标</w:t>
            </w:r>
            <w:r>
              <w:rPr>
                <w:rFonts w:hint="eastAsia"/>
                <w:szCs w:val="21"/>
                <w:highlight w:val="none"/>
                <w:lang w:val="es-ES"/>
              </w:rPr>
              <w:t>时间：</w:t>
            </w:r>
            <w:r>
              <w:rPr>
                <w:rFonts w:hint="eastAsia"/>
                <w:highlight w:val="none"/>
              </w:rPr>
              <w:t>2024年</w:t>
            </w:r>
            <w:r>
              <w:rPr>
                <w:rFonts w:hint="eastAsia"/>
                <w:highlight w:val="none"/>
                <w:lang w:val="en-US" w:eastAsia="zh-CN"/>
              </w:rPr>
              <w:t>8</w:t>
            </w:r>
            <w:r>
              <w:rPr>
                <w:rFonts w:hint="eastAsia"/>
                <w:highlight w:val="none"/>
              </w:rPr>
              <w:t>月</w:t>
            </w:r>
            <w:r>
              <w:rPr>
                <w:rFonts w:hint="eastAsia"/>
                <w:highlight w:val="none"/>
                <w:lang w:val="en-US" w:eastAsia="zh-CN"/>
              </w:rPr>
              <w:t>20</w:t>
            </w:r>
            <w:bookmarkStart w:id="1931" w:name="_GoBack"/>
            <w:bookmarkEnd w:id="1931"/>
            <w:r>
              <w:rPr>
                <w:rFonts w:hint="eastAsia"/>
                <w:highlight w:val="none"/>
              </w:rPr>
              <w:t>日9时0分</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vMerge w:val="continue"/>
          </w:tcPr>
          <w:p>
            <w:pPr>
              <w:widowControl/>
              <w:spacing w:before="120" w:after="120" w:line="240" w:lineRule="atLeast"/>
              <w:jc w:val="center"/>
              <w:textAlignment w:val="auto"/>
              <w:rPr>
                <w:b/>
                <w:szCs w:val="21"/>
              </w:rPr>
            </w:pPr>
          </w:p>
        </w:tc>
        <w:tc>
          <w:tcPr>
            <w:tcW w:w="6048" w:type="dxa"/>
            <w:vAlign w:val="top"/>
          </w:tcPr>
          <w:p>
            <w:pPr>
              <w:widowControl/>
              <w:spacing w:before="120" w:after="120" w:line="240" w:lineRule="atLeast"/>
              <w:textAlignment w:val="auto"/>
              <w:rPr>
                <w:i/>
                <w:iCs/>
                <w:szCs w:val="21"/>
                <w:lang w:val="es-ES"/>
              </w:rPr>
            </w:pPr>
            <w:r>
              <w:rPr>
                <w:rFonts w:hint="eastAsia"/>
                <w:szCs w:val="21"/>
              </w:rPr>
              <w:t>电子方式递交投标文件的开标程序为：</w:t>
            </w:r>
            <w:r>
              <w:rPr>
                <w:rFonts w:hint="eastAsia"/>
                <w:b/>
                <w:iCs/>
                <w:szCs w:val="21"/>
                <w:lang w:val="es-ES"/>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spacing w:before="120" w:after="120" w:line="240" w:lineRule="auto"/>
              <w:ind w:left="691"/>
              <w:jc w:val="center"/>
              <w:textAlignment w:val="auto"/>
              <w:rPr>
                <w:szCs w:val="21"/>
              </w:rPr>
            </w:pPr>
            <w:r>
              <w:rPr>
                <w:rFonts w:hint="eastAsia"/>
                <w:b/>
                <w:szCs w:val="21"/>
              </w:rPr>
              <w:t>第五节　投标文件的评审和比较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b/>
                <w:szCs w:val="21"/>
              </w:rPr>
              <w:t>第37.1款</w:t>
            </w:r>
          </w:p>
        </w:tc>
        <w:tc>
          <w:tcPr>
            <w:tcW w:w="6048" w:type="dxa"/>
          </w:tcPr>
          <w:p>
            <w:pPr>
              <w:widowControl/>
              <w:spacing w:before="120" w:after="120" w:line="240" w:lineRule="atLeast"/>
              <w:textAlignment w:val="auto"/>
              <w:rPr>
                <w:b/>
                <w:iCs/>
                <w:szCs w:val="21"/>
                <w:lang w:val="es-ES"/>
              </w:rPr>
            </w:pPr>
            <w:r>
              <w:rPr>
                <w:rFonts w:hint="eastAsia"/>
                <w:szCs w:val="21"/>
              </w:rPr>
              <w:t>预授标意向发布的方式为：在媒体或网站进行公示</w:t>
            </w:r>
          </w:p>
          <w:p>
            <w:pPr>
              <w:widowControl/>
              <w:spacing w:before="120" w:after="120" w:line="240" w:lineRule="atLeast"/>
              <w:textAlignment w:val="auto"/>
              <w:rPr>
                <w:b/>
                <w:szCs w:val="21"/>
              </w:rPr>
            </w:pPr>
            <w:r>
              <w:rPr>
                <w:rFonts w:hint="eastAsia"/>
                <w:szCs w:val="21"/>
              </w:rPr>
              <w:t>预授标意向公示的媒体或网站为：中国招标投标公共服务平台、焦作市公共资源交易中心网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5" w:type="dxa"/>
            <w:gridSpan w:val="2"/>
          </w:tcPr>
          <w:p>
            <w:pPr>
              <w:widowControl/>
              <w:spacing w:before="120" w:after="120" w:line="240" w:lineRule="atLeast"/>
              <w:jc w:val="center"/>
              <w:textAlignment w:val="auto"/>
              <w:rPr>
                <w:b/>
                <w:szCs w:val="21"/>
              </w:rPr>
            </w:pPr>
            <w:r>
              <w:rPr>
                <w:rFonts w:hint="eastAsia"/>
                <w:b/>
                <w:szCs w:val="21"/>
              </w:rPr>
              <w:t>第六节　</w:t>
            </w:r>
            <w:r>
              <w:rPr>
                <w:b/>
                <w:szCs w:val="21"/>
              </w:rPr>
              <w:t>合同</w:t>
            </w:r>
            <w:r>
              <w:rPr>
                <w:rFonts w:hint="eastAsia"/>
                <w:b/>
                <w:szCs w:val="21"/>
              </w:rPr>
              <w:t>的</w:t>
            </w:r>
            <w:r>
              <w:rPr>
                <w:b/>
                <w:szCs w:val="21"/>
              </w:rPr>
              <w:t>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b/>
                <w:szCs w:val="21"/>
              </w:rPr>
              <w:t>第39.2款</w:t>
            </w:r>
          </w:p>
        </w:tc>
        <w:tc>
          <w:tcPr>
            <w:tcW w:w="6048" w:type="dxa"/>
          </w:tcPr>
          <w:p>
            <w:pPr>
              <w:widowControl/>
              <w:spacing w:before="120" w:after="120" w:line="240" w:lineRule="atLeast"/>
              <w:jc w:val="left"/>
              <w:textAlignment w:val="auto"/>
              <w:rPr>
                <w:szCs w:val="21"/>
              </w:rPr>
            </w:pPr>
            <w:r>
              <w:rPr>
                <w:rFonts w:hint="eastAsia"/>
                <w:szCs w:val="21"/>
              </w:rPr>
              <w:t>合同授予公告的媒体或网站：中国招标投标公共服务平台、焦作市公共资源交易中心网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szCs w:val="21"/>
              </w:rPr>
              <w:t>第4</w:t>
            </w:r>
            <w:r>
              <w:rPr>
                <w:b/>
                <w:szCs w:val="21"/>
              </w:rPr>
              <w:t>1</w:t>
            </w:r>
            <w:r>
              <w:rPr>
                <w:rFonts w:hint="eastAsia"/>
                <w:b/>
                <w:szCs w:val="21"/>
              </w:rPr>
              <w:t>.1 款</w:t>
            </w:r>
          </w:p>
          <w:p>
            <w:pPr>
              <w:widowControl/>
              <w:spacing w:before="120" w:after="120" w:line="240" w:lineRule="atLeast"/>
              <w:jc w:val="center"/>
              <w:textAlignment w:val="auto"/>
              <w:rPr>
                <w:b/>
                <w:szCs w:val="21"/>
              </w:rPr>
            </w:pPr>
          </w:p>
        </w:tc>
        <w:tc>
          <w:tcPr>
            <w:tcW w:w="6048" w:type="dxa"/>
          </w:tcPr>
          <w:p>
            <w:pPr>
              <w:widowControl/>
              <w:spacing w:before="120" w:after="120" w:line="240" w:lineRule="atLeast"/>
              <w:textAlignment w:val="auto"/>
              <w:rPr>
                <w:i/>
                <w:iCs/>
                <w:szCs w:val="21"/>
              </w:rPr>
            </w:pPr>
            <w:r>
              <w:rPr>
                <w:rFonts w:hint="eastAsia"/>
                <w:szCs w:val="21"/>
              </w:rPr>
              <w:t>中标</w:t>
            </w:r>
            <w:r>
              <w:rPr>
                <w:rFonts w:hint="eastAsia"/>
                <w:szCs w:val="21"/>
                <w:highlight w:val="none"/>
              </w:rPr>
              <w:t>人</w:t>
            </w:r>
            <w:r>
              <w:rPr>
                <w:rFonts w:hint="eastAsia"/>
                <w:i w:val="0"/>
                <w:iCs w:val="0"/>
                <w:szCs w:val="21"/>
                <w:highlight w:val="none"/>
                <w:u w:val="single"/>
              </w:rPr>
              <w:t>不需要</w:t>
            </w:r>
            <w:r>
              <w:rPr>
                <w:rFonts w:hint="eastAsia"/>
                <w:szCs w:val="21"/>
                <w:highlight w:val="none"/>
              </w:rPr>
              <w:t>提交环</w:t>
            </w:r>
            <w:r>
              <w:rPr>
                <w:rFonts w:hint="eastAsia"/>
                <w:szCs w:val="21"/>
              </w:rPr>
              <w:t>境-社会-健康-安全保证金。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vAlign w:val="top"/>
          </w:tcPr>
          <w:p>
            <w:pPr>
              <w:widowControl/>
              <w:spacing w:before="120" w:after="120" w:line="240" w:lineRule="atLeast"/>
              <w:jc w:val="center"/>
              <w:textAlignment w:val="auto"/>
              <w:rPr>
                <w:rFonts w:hint="eastAsia"/>
                <w:b/>
                <w:bCs/>
                <w:color w:val="000000"/>
                <w:szCs w:val="21"/>
              </w:rPr>
            </w:pPr>
            <w:r>
              <w:rPr>
                <w:b/>
                <w:szCs w:val="21"/>
              </w:rPr>
              <w:t>第42.1款</w:t>
            </w:r>
          </w:p>
        </w:tc>
        <w:tc>
          <w:tcPr>
            <w:tcW w:w="6048" w:type="dxa"/>
            <w:vAlign w:val="top"/>
          </w:tcPr>
          <w:p>
            <w:pPr>
              <w:widowControl/>
              <w:spacing w:before="120" w:after="120" w:line="240" w:lineRule="atLeast"/>
              <w:textAlignment w:val="auto"/>
              <w:rPr>
                <w:rFonts w:hint="eastAsia"/>
                <w:bCs/>
                <w:szCs w:val="21"/>
              </w:rPr>
            </w:pPr>
            <w:r>
              <w:rPr>
                <w:rFonts w:hint="eastAsia"/>
                <w:szCs w:val="21"/>
              </w:rPr>
              <w:t>业主建议的调解员是：</w:t>
            </w:r>
            <w:r>
              <w:rPr>
                <w:rFonts w:hint="eastAsia"/>
                <w:color w:val="000000"/>
                <w:szCs w:val="21"/>
              </w:rPr>
              <w:t>焦作仲裁委员会</w:t>
            </w:r>
            <w:r>
              <w:rPr>
                <w:rFonts w:hint="eastAsia"/>
                <w:color w:val="000000"/>
                <w:szCs w:val="21"/>
                <w:lang w:val="en-US" w:eastAsia="zh-CN"/>
              </w:rPr>
              <w:t>指派的人员</w:t>
            </w:r>
            <w:r>
              <w:rPr>
                <w:rFonts w:hint="eastAsia"/>
                <w:szCs w:val="21"/>
              </w:rPr>
              <w:t>。该调解员的小时费用是：人民币</w:t>
            </w:r>
            <w:r>
              <w:rPr>
                <w:rFonts w:hint="eastAsia"/>
                <w:b/>
                <w:iCs/>
                <w:szCs w:val="21"/>
                <w:lang w:val="en-US" w:eastAsia="zh-CN"/>
              </w:rPr>
              <w:t>160</w:t>
            </w:r>
            <w:r>
              <w:rPr>
                <w:rFonts w:hint="eastAsia"/>
                <w:bCs/>
                <w:iCs/>
                <w:szCs w:val="21"/>
                <w:lang w:val="es-ES"/>
              </w:rPr>
              <w:t>元</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7" w:type="dxa"/>
          </w:tcPr>
          <w:p>
            <w:pPr>
              <w:widowControl/>
              <w:spacing w:before="120" w:after="120" w:line="240" w:lineRule="atLeast"/>
              <w:jc w:val="center"/>
              <w:textAlignment w:val="auto"/>
              <w:rPr>
                <w:b/>
                <w:szCs w:val="21"/>
              </w:rPr>
            </w:pPr>
            <w:r>
              <w:rPr>
                <w:rFonts w:hint="eastAsia"/>
                <w:b/>
                <w:bCs/>
                <w:color w:val="000000"/>
                <w:szCs w:val="21"/>
              </w:rPr>
              <w:t>第</w:t>
            </w:r>
            <w:r>
              <w:rPr>
                <w:b/>
                <w:bCs/>
                <w:color w:val="000000"/>
                <w:szCs w:val="21"/>
              </w:rPr>
              <w:t>43.1</w:t>
            </w:r>
            <w:r>
              <w:rPr>
                <w:rFonts w:hint="eastAsia"/>
                <w:b/>
                <w:bCs/>
                <w:color w:val="000000"/>
                <w:szCs w:val="21"/>
              </w:rPr>
              <w:t>款</w:t>
            </w:r>
          </w:p>
        </w:tc>
        <w:tc>
          <w:tcPr>
            <w:tcW w:w="6048" w:type="dxa"/>
            <w:vAlign w:val="center"/>
          </w:tcPr>
          <w:p>
            <w:pPr>
              <w:tabs>
                <w:tab w:val="right" w:pos="7254"/>
              </w:tabs>
              <w:spacing w:before="120" w:after="120"/>
              <w:textAlignment w:val="auto"/>
              <w:rPr>
                <w:iCs/>
                <w:color w:val="000000"/>
                <w:szCs w:val="21"/>
              </w:rPr>
            </w:pPr>
            <w:r>
              <w:rPr>
                <w:iCs/>
                <w:color w:val="000000"/>
                <w:szCs w:val="21"/>
              </w:rPr>
              <w:t>如果投标人希望提出有关采购的投诉，投标人应按照</w:t>
            </w:r>
            <w:r>
              <w:rPr>
                <w:rFonts w:hint="eastAsia"/>
                <w:iCs/>
                <w:color w:val="000000"/>
                <w:szCs w:val="21"/>
              </w:rPr>
              <w:t>亚投行《借款人采购规则</w:t>
            </w:r>
            <w:r>
              <w:rPr>
                <w:rFonts w:hint="eastAsia"/>
                <w:szCs w:val="21"/>
              </w:rPr>
              <w:t>（2</w:t>
            </w:r>
            <w:r>
              <w:rPr>
                <w:szCs w:val="21"/>
              </w:rPr>
              <w:t>016</w:t>
            </w:r>
            <w:r>
              <w:rPr>
                <w:rFonts w:hint="eastAsia"/>
                <w:szCs w:val="21"/>
              </w:rPr>
              <w:t>版并不时更新）</w:t>
            </w:r>
            <w:r>
              <w:rPr>
                <w:rFonts w:hint="eastAsia"/>
                <w:iCs/>
                <w:color w:val="000000"/>
                <w:szCs w:val="21"/>
              </w:rPr>
              <w:t>》</w:t>
            </w:r>
            <w:r>
              <w:rPr>
                <w:rFonts w:hint="eastAsia"/>
                <w:color w:val="000000"/>
                <w:szCs w:val="21"/>
              </w:rPr>
              <w:t>的</w:t>
            </w:r>
            <w:r>
              <w:rPr>
                <w:rFonts w:hint="eastAsia"/>
                <w:iCs/>
                <w:color w:val="000000"/>
                <w:szCs w:val="21"/>
              </w:rPr>
              <w:t>附件四中规定的</w:t>
            </w:r>
            <w:r>
              <w:rPr>
                <w:iCs/>
                <w:color w:val="000000"/>
                <w:szCs w:val="21"/>
              </w:rPr>
              <w:t>程序以书面形式（通过可用的最快方式，例如通过电子邮件或传真）提交投诉至</w:t>
            </w:r>
            <w:r>
              <w:rPr>
                <w:rFonts w:hint="eastAsia"/>
                <w:iCs/>
                <w:color w:val="000000"/>
                <w:szCs w:val="21"/>
              </w:rPr>
              <w:t>业主。</w:t>
            </w:r>
          </w:p>
          <w:p>
            <w:pPr>
              <w:widowControl/>
              <w:spacing w:before="120" w:after="120" w:line="240" w:lineRule="atLeast"/>
              <w:textAlignment w:val="auto"/>
              <w:rPr>
                <w:bCs/>
                <w:szCs w:val="21"/>
              </w:rPr>
            </w:pPr>
            <w:r>
              <w:rPr>
                <w:rFonts w:hint="eastAsia"/>
                <w:bCs/>
                <w:szCs w:val="21"/>
              </w:rPr>
              <w:t>监督部门或招标人：焦作市住房和城乡建设局</w:t>
            </w:r>
          </w:p>
          <w:p>
            <w:pPr>
              <w:widowControl/>
              <w:spacing w:before="120" w:after="120" w:line="240" w:lineRule="atLeast"/>
              <w:textAlignment w:val="auto"/>
              <w:rPr>
                <w:bCs/>
                <w:szCs w:val="21"/>
              </w:rPr>
            </w:pPr>
            <w:r>
              <w:rPr>
                <w:rFonts w:hint="eastAsia"/>
                <w:bCs/>
                <w:szCs w:val="21"/>
              </w:rPr>
              <w:t xml:space="preserve">地址：河南省焦作市解放区站前路88号建设大厦 </w:t>
            </w:r>
          </w:p>
          <w:p>
            <w:pPr>
              <w:widowControl/>
              <w:spacing w:before="120" w:after="120" w:line="240" w:lineRule="atLeast"/>
              <w:textAlignment w:val="auto"/>
              <w:rPr>
                <w:rFonts w:hint="default" w:eastAsia="宋体"/>
                <w:bCs/>
                <w:szCs w:val="21"/>
                <w:lang w:val="en-US" w:eastAsia="zh-CN"/>
              </w:rPr>
            </w:pPr>
            <w:r>
              <w:rPr>
                <w:rFonts w:hint="eastAsia"/>
                <w:bCs/>
                <w:szCs w:val="21"/>
              </w:rPr>
              <w:t>电话：0391-355</w:t>
            </w:r>
            <w:r>
              <w:rPr>
                <w:rFonts w:hint="eastAsia"/>
                <w:bCs/>
                <w:szCs w:val="21"/>
                <w:lang w:val="en-US" w:eastAsia="zh-CN"/>
              </w:rPr>
              <w:t>0056</w:t>
            </w:r>
          </w:p>
          <w:p>
            <w:pPr>
              <w:widowControl/>
              <w:spacing w:before="120" w:after="120" w:line="240" w:lineRule="atLeast"/>
              <w:textAlignment w:val="auto"/>
              <w:rPr>
                <w:szCs w:val="21"/>
              </w:rPr>
            </w:pPr>
            <w:r>
              <w:rPr>
                <w:rFonts w:hint="eastAsia"/>
                <w:bCs/>
                <w:szCs w:val="21"/>
              </w:rPr>
              <w:t xml:space="preserve">邮箱：zjjythxmb@163.com </w:t>
            </w:r>
          </w:p>
        </w:tc>
      </w:tr>
    </w:tbl>
    <w:p>
      <w:pPr>
        <w:spacing w:before="120" w:after="120"/>
        <w:textAlignment w:val="auto"/>
      </w:pPr>
      <w:bookmarkStart w:id="845" w:name="_Toc128392645"/>
      <w:bookmarkStart w:id="846" w:name="_Toc128391459"/>
      <w:bookmarkStart w:id="847" w:name="_Toc128391559"/>
      <w:bookmarkStart w:id="848" w:name="_Toc168753096"/>
    </w:p>
    <w:p>
      <w:pPr>
        <w:widowControl/>
        <w:adjustRightInd/>
        <w:spacing w:line="240" w:lineRule="auto"/>
        <w:jc w:val="left"/>
        <w:textAlignment w:val="auto"/>
        <w:rPr>
          <w:b/>
          <w:sz w:val="28"/>
          <w:szCs w:val="28"/>
          <w:lang w:val="zh-CN" w:eastAsia="zh-CN"/>
        </w:rPr>
      </w:pPr>
      <w:r>
        <w:br w:type="page"/>
      </w:r>
    </w:p>
    <w:p>
      <w:pPr>
        <w:pStyle w:val="3"/>
      </w:pPr>
      <w:bookmarkStart w:id="849" w:name="_Toc169103242"/>
      <w:bookmarkStart w:id="850" w:name="_Toc110272054"/>
      <w:bookmarkStart w:id="851" w:name="_Toc324771978"/>
      <w:bookmarkStart w:id="852" w:name="_Toc391287326"/>
      <w:bookmarkStart w:id="853" w:name="_Toc110262709"/>
      <w:bookmarkStart w:id="854" w:name="_Toc110264782"/>
      <w:bookmarkStart w:id="855" w:name="_Toc110268520"/>
      <w:bookmarkStart w:id="856" w:name="_Toc110330466"/>
      <w:bookmarkStart w:id="857" w:name="_Toc171063105"/>
      <w:bookmarkStart w:id="858" w:name="_Toc110264364"/>
      <w:bookmarkStart w:id="859" w:name="_Toc110264729"/>
      <w:bookmarkStart w:id="860" w:name="_Toc110264946"/>
      <w:bookmarkStart w:id="861" w:name="_Toc110265182"/>
      <w:bookmarkStart w:id="862" w:name="_Toc324772194"/>
      <w:bookmarkStart w:id="863" w:name="_Toc110267637"/>
      <w:bookmarkStart w:id="864" w:name="_Toc110263903"/>
      <w:bookmarkStart w:id="865" w:name="_Toc110330405"/>
      <w:bookmarkStart w:id="866" w:name="_Toc110328305"/>
      <w:r>
        <w:rPr>
          <w:rFonts w:hint="eastAsia"/>
        </w:rPr>
        <w:t>第三章　评标和资格标准</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widowControl/>
        <w:adjustRightInd/>
        <w:spacing w:before="120" w:after="120" w:line="240" w:lineRule="atLeast"/>
        <w:ind w:firstLine="480" w:firstLineChars="200"/>
        <w:textAlignment w:val="auto"/>
        <w:rPr>
          <w:sz w:val="24"/>
          <w:szCs w:val="24"/>
        </w:rPr>
      </w:pPr>
      <w:bookmarkStart w:id="867" w:name="第三章"/>
    </w:p>
    <w:p>
      <w:pPr>
        <w:widowControl/>
        <w:adjustRightInd/>
        <w:spacing w:before="120" w:after="120" w:line="240" w:lineRule="atLeast"/>
        <w:ind w:firstLine="440" w:firstLineChars="200"/>
        <w:textAlignment w:val="auto"/>
        <w:rPr>
          <w:sz w:val="22"/>
          <w:szCs w:val="22"/>
        </w:rPr>
      </w:pPr>
      <w:r>
        <w:rPr>
          <w:rFonts w:hint="eastAsia"/>
          <w:sz w:val="22"/>
          <w:szCs w:val="22"/>
        </w:rPr>
        <w:t>本章规定了业主用以评标和确定投标人资格的全部标准，仅适用于使用资格后审的情况。根据“投标人须知”第</w:t>
      </w:r>
      <w:r>
        <w:rPr>
          <w:sz w:val="22"/>
          <w:szCs w:val="22"/>
        </w:rPr>
        <w:t>32</w:t>
      </w:r>
      <w:r>
        <w:rPr>
          <w:rFonts w:hint="eastAsia"/>
          <w:sz w:val="22"/>
          <w:szCs w:val="22"/>
        </w:rPr>
        <w:t>条至第</w:t>
      </w:r>
      <w:r>
        <w:rPr>
          <w:sz w:val="22"/>
          <w:szCs w:val="22"/>
        </w:rPr>
        <w:t>35</w:t>
      </w:r>
      <w:r>
        <w:rPr>
          <w:rFonts w:hint="eastAsia"/>
          <w:sz w:val="22"/>
          <w:szCs w:val="22"/>
        </w:rPr>
        <w:t>条的规定，评审时不得采用其它任何的评标方法、标准及因素。投标人应按照第四章的要求提供所要求的全部信息。</w:t>
      </w:r>
    </w:p>
    <w:p>
      <w:pPr>
        <w:widowControl/>
        <w:adjustRightInd/>
        <w:spacing w:before="120" w:after="120" w:line="240" w:lineRule="atLeast"/>
        <w:ind w:firstLine="480" w:firstLineChars="200"/>
        <w:textAlignment w:val="auto"/>
        <w:rPr>
          <w:sz w:val="24"/>
          <w:szCs w:val="24"/>
        </w:rPr>
      </w:pPr>
    </w:p>
    <w:p>
      <w:pPr>
        <w:widowControl/>
        <w:adjustRightInd/>
        <w:spacing w:before="120" w:after="120" w:line="240" w:lineRule="atLeast"/>
        <w:ind w:firstLine="482" w:firstLineChars="200"/>
        <w:jc w:val="center"/>
        <w:textAlignment w:val="auto"/>
        <w:rPr>
          <w:b/>
          <w:bCs/>
          <w:sz w:val="24"/>
          <w:szCs w:val="24"/>
        </w:rPr>
      </w:pPr>
      <w:r>
        <w:rPr>
          <w:rFonts w:hint="eastAsia"/>
          <w:b/>
          <w:bCs/>
          <w:sz w:val="24"/>
          <w:szCs w:val="24"/>
        </w:rPr>
        <w:t>目录</w:t>
      </w:r>
    </w:p>
    <w:p>
      <w:pPr>
        <w:pStyle w:val="33"/>
        <w:tabs>
          <w:tab w:val="right" w:leader="dot" w:pos="8303"/>
        </w:tabs>
        <w:rPr>
          <w:rFonts w:asciiTheme="minorHAnsi" w:hAnsiTheme="minorHAnsi" w:eastAsiaTheme="minorEastAsia" w:cstheme="minorBidi"/>
          <w:b w:val="0"/>
          <w:iCs w:val="0"/>
          <w:szCs w:val="22"/>
        </w:rPr>
      </w:pPr>
      <w:r>
        <w:rPr>
          <w:szCs w:val="21"/>
        </w:rPr>
        <w:fldChar w:fldCharType="begin"/>
      </w:r>
      <w:r>
        <w:rPr>
          <w:szCs w:val="21"/>
        </w:rPr>
        <w:instrText xml:space="preserve"> </w:instrText>
      </w:r>
      <w:r>
        <w:rPr>
          <w:rFonts w:hint="eastAsia"/>
          <w:szCs w:val="21"/>
        </w:rPr>
        <w:instrText xml:space="preserve">toc</w:instrText>
      </w:r>
      <w:r>
        <w:rPr>
          <w:szCs w:val="21"/>
        </w:rPr>
        <w:instrText xml:space="preserve"> \b </w:instrText>
      </w:r>
      <w:r>
        <w:rPr>
          <w:rFonts w:hint="eastAsia"/>
          <w:szCs w:val="21"/>
        </w:rPr>
        <w:instrText xml:space="preserve">第三章</w:instrText>
      </w:r>
      <w:r>
        <w:rPr>
          <w:szCs w:val="21"/>
        </w:rPr>
        <w:instrText xml:space="preserve"> </w:instrText>
      </w:r>
      <w:r>
        <w:rPr>
          <w:szCs w:val="21"/>
        </w:rPr>
        <w:fldChar w:fldCharType="separate"/>
      </w:r>
      <w:r>
        <w:t xml:space="preserve">1. </w:t>
      </w:r>
      <w:r>
        <w:rPr>
          <w:rFonts w:hint="eastAsia"/>
        </w:rPr>
        <w:t>评标</w:t>
      </w:r>
      <w:r>
        <w:tab/>
      </w:r>
      <w:r>
        <w:fldChar w:fldCharType="begin"/>
      </w:r>
      <w:r>
        <w:instrText xml:space="preserve"> PAGEREF _Toc110330761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1.1</w:t>
      </w:r>
      <w:r>
        <w:rPr>
          <w:rFonts w:hint="eastAsia"/>
        </w:rPr>
        <w:t>技术建议书的适当性</w:t>
      </w:r>
      <w:r>
        <w:tab/>
      </w:r>
      <w:r>
        <w:fldChar w:fldCharType="begin"/>
      </w:r>
      <w:r>
        <w:instrText xml:space="preserve"> PAGEREF _Toc110330762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1.2</w:t>
      </w:r>
      <w:r>
        <w:rPr>
          <w:rFonts w:hint="eastAsia"/>
        </w:rPr>
        <w:t>多个合同</w:t>
      </w:r>
      <w:r>
        <w:tab/>
      </w:r>
      <w:r>
        <w:fldChar w:fldCharType="begin"/>
      </w:r>
      <w:r>
        <w:instrText xml:space="preserve"> PAGEREF _Toc110330763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1.3</w:t>
      </w:r>
      <w:r>
        <w:rPr>
          <w:rFonts w:hint="eastAsia"/>
        </w:rPr>
        <w:t>完工时间</w:t>
      </w:r>
      <w:r>
        <w:tab/>
      </w:r>
      <w:r>
        <w:fldChar w:fldCharType="begin"/>
      </w:r>
      <w:r>
        <w:instrText xml:space="preserve"> PAGEREF _Toc110330764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1.4</w:t>
      </w:r>
      <w:r>
        <w:rPr>
          <w:rFonts w:hint="eastAsia"/>
        </w:rPr>
        <w:t>替代方案</w:t>
      </w:r>
      <w:r>
        <w:tab/>
      </w:r>
      <w:r>
        <w:fldChar w:fldCharType="begin"/>
      </w:r>
      <w:r>
        <w:instrText xml:space="preserve"> PAGEREF _Toc110330765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1.5</w:t>
      </w:r>
      <w:r>
        <w:rPr>
          <w:rFonts w:hint="eastAsia"/>
        </w:rPr>
        <w:t>可量化的偏差或遗漏项目</w:t>
      </w:r>
      <w:r>
        <w:tab/>
      </w:r>
      <w:r>
        <w:fldChar w:fldCharType="begin"/>
      </w:r>
      <w:r>
        <w:instrText xml:space="preserve"> PAGEREF _Toc110330766 \h </w:instrText>
      </w:r>
      <w:r>
        <w:fldChar w:fldCharType="separate"/>
      </w:r>
      <w:r>
        <w:t>28</w:t>
      </w:r>
      <w:r>
        <w:fldChar w:fldCharType="end"/>
      </w:r>
    </w:p>
    <w:p>
      <w:pPr>
        <w:pStyle w:val="45"/>
        <w:tabs>
          <w:tab w:val="right" w:leader="dot" w:pos="8303"/>
        </w:tabs>
        <w:rPr>
          <w:rFonts w:asciiTheme="minorHAnsi" w:hAnsiTheme="minorHAnsi" w:eastAsiaTheme="minorEastAsia" w:cstheme="minorBidi"/>
          <w:sz w:val="22"/>
          <w:szCs w:val="22"/>
        </w:rPr>
      </w:pPr>
      <w:r>
        <w:t xml:space="preserve">1.6 </w:t>
      </w:r>
      <w:r>
        <w:rPr>
          <w:rFonts w:hint="eastAsia"/>
        </w:rPr>
        <w:t>异常低价投标的初步识别</w:t>
      </w:r>
      <w:r>
        <w:tab/>
      </w:r>
      <w:r>
        <w:fldChar w:fldCharType="begin"/>
      </w:r>
      <w:r>
        <w:instrText xml:space="preserve"> PAGEREF _Toc110330767 \h </w:instrText>
      </w:r>
      <w:r>
        <w:fldChar w:fldCharType="separate"/>
      </w:r>
      <w:r>
        <w:t>28</w:t>
      </w:r>
      <w:r>
        <w:fldChar w:fldCharType="end"/>
      </w:r>
    </w:p>
    <w:p>
      <w:pPr>
        <w:pStyle w:val="33"/>
        <w:tabs>
          <w:tab w:val="right" w:leader="dot" w:pos="8303"/>
        </w:tabs>
        <w:rPr>
          <w:rFonts w:asciiTheme="minorHAnsi" w:hAnsiTheme="minorHAnsi" w:eastAsiaTheme="minorEastAsia" w:cstheme="minorBidi"/>
          <w:b w:val="0"/>
          <w:iCs w:val="0"/>
          <w:szCs w:val="22"/>
        </w:rPr>
      </w:pPr>
      <w:r>
        <w:t xml:space="preserve">2. </w:t>
      </w:r>
      <w:r>
        <w:rPr>
          <w:rFonts w:hint="eastAsia"/>
        </w:rPr>
        <w:t>资格标准</w:t>
      </w:r>
      <w:r>
        <w:tab/>
      </w:r>
      <w:r>
        <w:fldChar w:fldCharType="begin"/>
      </w:r>
      <w:r>
        <w:instrText xml:space="preserve"> PAGEREF _Toc110330768 \h </w:instrText>
      </w:r>
      <w:r>
        <w:fldChar w:fldCharType="separate"/>
      </w:r>
      <w:r>
        <w:t>30</w:t>
      </w:r>
      <w:r>
        <w:fldChar w:fldCharType="end"/>
      </w:r>
    </w:p>
    <w:p>
      <w:pPr>
        <w:pStyle w:val="45"/>
        <w:tabs>
          <w:tab w:val="right" w:leader="dot" w:pos="8303"/>
        </w:tabs>
        <w:rPr>
          <w:rFonts w:asciiTheme="minorHAnsi" w:hAnsiTheme="minorHAnsi" w:eastAsiaTheme="minorEastAsia" w:cstheme="minorBidi"/>
          <w:sz w:val="22"/>
          <w:szCs w:val="22"/>
        </w:rPr>
      </w:pPr>
      <w:r>
        <w:t>2.1</w:t>
      </w:r>
      <w:r>
        <w:rPr>
          <w:rFonts w:hint="eastAsia"/>
        </w:rPr>
        <w:t>合格性</w:t>
      </w:r>
      <w:r>
        <w:tab/>
      </w:r>
      <w:r>
        <w:fldChar w:fldCharType="begin"/>
      </w:r>
      <w:r>
        <w:instrText xml:space="preserve"> PAGEREF _Toc110330769 \h </w:instrText>
      </w:r>
      <w:r>
        <w:fldChar w:fldCharType="separate"/>
      </w:r>
      <w:r>
        <w:t>30</w:t>
      </w:r>
      <w:r>
        <w:fldChar w:fldCharType="end"/>
      </w:r>
    </w:p>
    <w:p>
      <w:pPr>
        <w:pStyle w:val="45"/>
        <w:tabs>
          <w:tab w:val="right" w:leader="dot" w:pos="8303"/>
        </w:tabs>
        <w:rPr>
          <w:rFonts w:asciiTheme="minorHAnsi" w:hAnsiTheme="minorHAnsi" w:eastAsiaTheme="minorEastAsia" w:cstheme="minorBidi"/>
          <w:sz w:val="22"/>
          <w:szCs w:val="22"/>
        </w:rPr>
      </w:pPr>
      <w:r>
        <w:t>2.2</w:t>
      </w:r>
      <w:r>
        <w:rPr>
          <w:rFonts w:hint="eastAsia"/>
        </w:rPr>
        <w:t>未履行合同记录</w:t>
      </w:r>
      <w:r>
        <w:tab/>
      </w:r>
      <w:r>
        <w:fldChar w:fldCharType="begin"/>
      </w:r>
      <w:r>
        <w:instrText xml:space="preserve"> PAGEREF _Toc110330778 \h </w:instrText>
      </w:r>
      <w:r>
        <w:fldChar w:fldCharType="separate"/>
      </w:r>
      <w:r>
        <w:t>32</w:t>
      </w:r>
      <w:r>
        <w:fldChar w:fldCharType="end"/>
      </w:r>
    </w:p>
    <w:p>
      <w:pPr>
        <w:pStyle w:val="45"/>
        <w:tabs>
          <w:tab w:val="right" w:leader="dot" w:pos="8303"/>
        </w:tabs>
        <w:rPr>
          <w:rFonts w:asciiTheme="minorHAnsi" w:hAnsiTheme="minorHAnsi" w:eastAsiaTheme="minorEastAsia" w:cstheme="minorBidi"/>
          <w:sz w:val="22"/>
          <w:szCs w:val="22"/>
        </w:rPr>
      </w:pPr>
      <w:r>
        <w:t>2.3</w:t>
      </w:r>
      <w:r>
        <w:rPr>
          <w:rFonts w:hint="eastAsia"/>
        </w:rPr>
        <w:t>财务状况</w:t>
      </w:r>
      <w:r>
        <w:tab/>
      </w:r>
      <w:r>
        <w:fldChar w:fldCharType="begin"/>
      </w:r>
      <w:r>
        <w:instrText xml:space="preserve"> PAGEREF _Toc110330786 \h </w:instrText>
      </w:r>
      <w:r>
        <w:fldChar w:fldCharType="separate"/>
      </w:r>
      <w:r>
        <w:t>34</w:t>
      </w:r>
      <w:r>
        <w:fldChar w:fldCharType="end"/>
      </w:r>
    </w:p>
    <w:p>
      <w:pPr>
        <w:pStyle w:val="45"/>
        <w:tabs>
          <w:tab w:val="right" w:leader="dot" w:pos="8303"/>
        </w:tabs>
        <w:rPr>
          <w:rFonts w:asciiTheme="minorHAnsi" w:hAnsiTheme="minorHAnsi" w:eastAsiaTheme="minorEastAsia" w:cstheme="minorBidi"/>
          <w:sz w:val="22"/>
          <w:szCs w:val="22"/>
        </w:rPr>
      </w:pPr>
      <w:r>
        <w:t>2.4</w:t>
      </w:r>
      <w:r>
        <w:rPr>
          <w:rFonts w:hint="eastAsia"/>
        </w:rPr>
        <w:t>经验</w:t>
      </w:r>
      <w:r>
        <w:tab/>
      </w:r>
      <w:r>
        <w:fldChar w:fldCharType="begin"/>
      </w:r>
      <w:r>
        <w:instrText xml:space="preserve"> PAGEREF _Toc110330793 \h </w:instrText>
      </w:r>
      <w:r>
        <w:fldChar w:fldCharType="separate"/>
      </w:r>
      <w:r>
        <w:t>36</w:t>
      </w:r>
      <w:r>
        <w:fldChar w:fldCharType="end"/>
      </w:r>
    </w:p>
    <w:p>
      <w:pPr>
        <w:pStyle w:val="33"/>
        <w:tabs>
          <w:tab w:val="right" w:leader="dot" w:pos="8303"/>
        </w:tabs>
        <w:rPr>
          <w:rFonts w:asciiTheme="minorHAnsi" w:hAnsiTheme="minorHAnsi" w:eastAsiaTheme="minorEastAsia" w:cstheme="minorBidi"/>
          <w:b w:val="0"/>
          <w:iCs w:val="0"/>
          <w:szCs w:val="22"/>
        </w:rPr>
      </w:pPr>
      <w:r>
        <w:t xml:space="preserve">3. </w:t>
      </w:r>
      <w:r>
        <w:rPr>
          <w:rFonts w:hint="eastAsia"/>
        </w:rPr>
        <w:t>人员</w:t>
      </w:r>
      <w:r>
        <w:tab/>
      </w:r>
      <w:r>
        <w:fldChar w:fldCharType="begin"/>
      </w:r>
      <w:r>
        <w:instrText xml:space="preserve"> PAGEREF _Toc110330800 \h </w:instrText>
      </w:r>
      <w:r>
        <w:fldChar w:fldCharType="separate"/>
      </w:r>
      <w:r>
        <w:t>36</w:t>
      </w:r>
      <w:r>
        <w:fldChar w:fldCharType="end"/>
      </w:r>
    </w:p>
    <w:p>
      <w:pPr>
        <w:pStyle w:val="33"/>
        <w:tabs>
          <w:tab w:val="right" w:leader="dot" w:pos="8303"/>
        </w:tabs>
        <w:rPr>
          <w:rFonts w:asciiTheme="minorHAnsi" w:hAnsiTheme="minorHAnsi" w:eastAsiaTheme="minorEastAsia" w:cstheme="minorBidi"/>
          <w:b w:val="0"/>
          <w:iCs w:val="0"/>
          <w:szCs w:val="22"/>
        </w:rPr>
      </w:pPr>
      <w:r>
        <w:t xml:space="preserve">4. </w:t>
      </w:r>
      <w:r>
        <w:rPr>
          <w:rFonts w:hint="eastAsia"/>
        </w:rPr>
        <w:t>设备</w:t>
      </w:r>
      <w:r>
        <w:tab/>
      </w:r>
      <w:r>
        <w:fldChar w:fldCharType="begin"/>
      </w:r>
      <w:r>
        <w:instrText xml:space="preserve"> PAGEREF _Toc110330801 \h </w:instrText>
      </w:r>
      <w:r>
        <w:fldChar w:fldCharType="separate"/>
      </w:r>
      <w:r>
        <w:t>39</w:t>
      </w:r>
      <w:r>
        <w:fldChar w:fldCharType="end"/>
      </w:r>
    </w:p>
    <w:p>
      <w:pPr>
        <w:widowControl/>
        <w:adjustRightInd/>
        <w:spacing w:before="120" w:after="120" w:line="240" w:lineRule="atLeast"/>
        <w:ind w:firstLine="420" w:firstLineChars="200"/>
        <w:textAlignment w:val="auto"/>
        <w:rPr>
          <w:szCs w:val="21"/>
        </w:rPr>
      </w:pPr>
      <w:r>
        <w:rPr>
          <w:szCs w:val="21"/>
        </w:rPr>
        <w:fldChar w:fldCharType="end"/>
      </w:r>
    </w:p>
    <w:p>
      <w:pPr>
        <w:widowControl/>
        <w:adjustRightInd/>
        <w:spacing w:before="120" w:after="120" w:line="240" w:lineRule="atLeast"/>
        <w:ind w:firstLine="420" w:firstLineChars="200"/>
        <w:textAlignment w:val="auto"/>
        <w:rPr>
          <w:szCs w:val="21"/>
        </w:rPr>
      </w:pPr>
      <w:r>
        <w:rPr>
          <w:szCs w:val="21"/>
        </w:rPr>
        <w:br w:type="page"/>
      </w:r>
    </w:p>
    <w:p>
      <w:pPr>
        <w:pStyle w:val="133"/>
      </w:pPr>
      <w:bookmarkStart w:id="868" w:name="_Toc110267638"/>
      <w:bookmarkStart w:id="869" w:name="_Toc169103243"/>
      <w:bookmarkStart w:id="870" w:name="_Toc110263904"/>
      <w:bookmarkStart w:id="871" w:name="_Toc324772195"/>
      <w:bookmarkStart w:id="872" w:name="_Toc110264783"/>
      <w:bookmarkStart w:id="873" w:name="_Toc110264947"/>
      <w:bookmarkStart w:id="874" w:name="_Toc110264730"/>
      <w:bookmarkStart w:id="875" w:name="_Toc110268521"/>
      <w:bookmarkStart w:id="876" w:name="_Toc324771979"/>
      <w:bookmarkStart w:id="877" w:name="_Toc171063106"/>
      <w:bookmarkStart w:id="878" w:name="_Toc391287327"/>
      <w:bookmarkStart w:id="879" w:name="_Toc110264365"/>
      <w:bookmarkStart w:id="880" w:name="_Toc110262710"/>
      <w:bookmarkStart w:id="881" w:name="_Toc110330761"/>
      <w:bookmarkStart w:id="882" w:name="_Toc110265183"/>
      <w:bookmarkStart w:id="883" w:name="_Toc110272055"/>
      <w:r>
        <w:t>1. 评标</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widowControl/>
        <w:spacing w:before="120" w:after="120" w:line="240" w:lineRule="atLeast"/>
        <w:ind w:firstLine="420" w:firstLineChars="200"/>
        <w:jc w:val="left"/>
        <w:textAlignment w:val="auto"/>
        <w:rPr>
          <w:szCs w:val="21"/>
        </w:rPr>
      </w:pPr>
      <w:r>
        <w:rPr>
          <w:szCs w:val="21"/>
        </w:rPr>
        <w:t>除</w:t>
      </w:r>
      <w:r>
        <w:rPr>
          <w:rFonts w:hint="eastAsia"/>
          <w:szCs w:val="21"/>
        </w:rPr>
        <w:t>“</w:t>
      </w:r>
      <w:r>
        <w:rPr>
          <w:szCs w:val="21"/>
        </w:rPr>
        <w:t>投标人须知</w:t>
      </w:r>
      <w:r>
        <w:rPr>
          <w:rFonts w:hint="eastAsia"/>
          <w:szCs w:val="21"/>
        </w:rPr>
        <w:t>”第</w:t>
      </w:r>
      <w:r>
        <w:rPr>
          <w:szCs w:val="21"/>
        </w:rPr>
        <w:t>3</w:t>
      </w:r>
      <w:r>
        <w:rPr>
          <w:rFonts w:hint="eastAsia"/>
          <w:szCs w:val="21"/>
        </w:rPr>
        <w:t>2</w:t>
      </w:r>
      <w:r>
        <w:rPr>
          <w:szCs w:val="21"/>
        </w:rPr>
        <w:t>.2</w:t>
      </w:r>
      <w:r>
        <w:rPr>
          <w:rFonts w:hint="eastAsia"/>
          <w:szCs w:val="21"/>
        </w:rPr>
        <w:t>款（</w:t>
      </w:r>
      <w:r>
        <w:rPr>
          <w:szCs w:val="21"/>
        </w:rPr>
        <w:t>1</w:t>
      </w:r>
      <w:r>
        <w:rPr>
          <w:rFonts w:hint="eastAsia"/>
          <w:szCs w:val="21"/>
        </w:rPr>
        <w:t>）至（</w:t>
      </w:r>
      <w:r>
        <w:rPr>
          <w:szCs w:val="21"/>
        </w:rPr>
        <w:t>5</w:t>
      </w:r>
      <w:r>
        <w:rPr>
          <w:rFonts w:hint="eastAsia"/>
          <w:szCs w:val="21"/>
        </w:rPr>
        <w:t>）项</w:t>
      </w:r>
      <w:r>
        <w:rPr>
          <w:szCs w:val="21"/>
        </w:rPr>
        <w:t>中</w:t>
      </w:r>
      <w:r>
        <w:rPr>
          <w:rFonts w:hint="eastAsia"/>
          <w:szCs w:val="21"/>
        </w:rPr>
        <w:t>所列</w:t>
      </w:r>
      <w:r>
        <w:rPr>
          <w:szCs w:val="21"/>
        </w:rPr>
        <w:t>的标准外</w:t>
      </w:r>
      <w:r>
        <w:rPr>
          <w:rFonts w:hint="eastAsia"/>
          <w:szCs w:val="21"/>
        </w:rPr>
        <w:t>，应采用</w:t>
      </w:r>
      <w:r>
        <w:rPr>
          <w:szCs w:val="21"/>
        </w:rPr>
        <w:t>以下</w:t>
      </w:r>
      <w:r>
        <w:rPr>
          <w:rFonts w:hint="eastAsia"/>
          <w:szCs w:val="21"/>
        </w:rPr>
        <w:t>评标</w:t>
      </w:r>
      <w:r>
        <w:rPr>
          <w:szCs w:val="21"/>
        </w:rPr>
        <w:t>标准：</w:t>
      </w:r>
    </w:p>
    <w:p>
      <w:pPr>
        <w:pStyle w:val="5"/>
      </w:pPr>
      <w:bookmarkStart w:id="884" w:name="_Toc169103244"/>
      <w:bookmarkStart w:id="885" w:name="_Toc110267639"/>
      <w:bookmarkStart w:id="886" w:name="_Toc324772196"/>
      <w:bookmarkStart w:id="887" w:name="_Toc110264366"/>
      <w:bookmarkStart w:id="888" w:name="_Toc391287328"/>
      <w:bookmarkStart w:id="889" w:name="_Toc110263905"/>
      <w:bookmarkStart w:id="890" w:name="_Toc110330762"/>
      <w:bookmarkStart w:id="891" w:name="_Toc110262711"/>
      <w:bookmarkStart w:id="892" w:name="_Toc324771980"/>
      <w:bookmarkStart w:id="893" w:name="_Toc171063107"/>
      <w:r>
        <w:t>1.1技术建议书的适当性</w:t>
      </w:r>
      <w:bookmarkEnd w:id="884"/>
      <w:bookmarkEnd w:id="885"/>
      <w:bookmarkEnd w:id="886"/>
      <w:bookmarkEnd w:id="887"/>
      <w:bookmarkEnd w:id="888"/>
      <w:bookmarkEnd w:id="889"/>
      <w:bookmarkEnd w:id="890"/>
      <w:bookmarkEnd w:id="891"/>
      <w:bookmarkEnd w:id="892"/>
      <w:bookmarkEnd w:id="893"/>
    </w:p>
    <w:p>
      <w:pPr>
        <w:widowControl/>
        <w:spacing w:before="120" w:after="120" w:line="240" w:lineRule="atLeast"/>
        <w:ind w:firstLine="420" w:firstLineChars="200"/>
        <w:jc w:val="left"/>
        <w:textAlignment w:val="auto"/>
        <w:rPr>
          <w:szCs w:val="21"/>
        </w:rPr>
      </w:pPr>
      <w:r>
        <w:rPr>
          <w:szCs w:val="21"/>
        </w:rPr>
        <w:t>对投标人技术建议书的评审包括对投标人技术能力的</w:t>
      </w:r>
      <w:r>
        <w:rPr>
          <w:rFonts w:hint="eastAsia"/>
          <w:szCs w:val="21"/>
        </w:rPr>
        <w:t>评定</w:t>
      </w:r>
      <w:r>
        <w:rPr>
          <w:szCs w:val="21"/>
        </w:rPr>
        <w:t>，</w:t>
      </w:r>
      <w:r>
        <w:rPr>
          <w:rFonts w:hint="eastAsia"/>
          <w:szCs w:val="21"/>
        </w:rPr>
        <w:t>例如投标人为履行合同所调配</w:t>
      </w:r>
      <w:r>
        <w:rPr>
          <w:szCs w:val="21"/>
        </w:rPr>
        <w:t>关键设备及人员</w:t>
      </w:r>
      <w:r>
        <w:rPr>
          <w:rFonts w:hint="eastAsia"/>
          <w:szCs w:val="21"/>
        </w:rPr>
        <w:t>的能力及投标人所</w:t>
      </w:r>
      <w:r>
        <w:rPr>
          <w:szCs w:val="21"/>
        </w:rPr>
        <w:t>建议</w:t>
      </w:r>
      <w:r>
        <w:rPr>
          <w:rFonts w:hint="eastAsia"/>
          <w:szCs w:val="21"/>
        </w:rPr>
        <w:t>的</w:t>
      </w:r>
      <w:r>
        <w:rPr>
          <w:szCs w:val="21"/>
        </w:rPr>
        <w:t>施工方案、</w:t>
      </w:r>
      <w:r>
        <w:rPr>
          <w:rFonts w:hint="eastAsia"/>
          <w:szCs w:val="21"/>
        </w:rPr>
        <w:t>施工进度</w:t>
      </w:r>
      <w:r>
        <w:rPr>
          <w:szCs w:val="21"/>
        </w:rPr>
        <w:t>计划和材料来源等</w:t>
      </w:r>
      <w:r>
        <w:rPr>
          <w:rFonts w:hint="eastAsia"/>
          <w:szCs w:val="21"/>
        </w:rPr>
        <w:t>。该建议应足够</w:t>
      </w:r>
      <w:r>
        <w:rPr>
          <w:szCs w:val="21"/>
        </w:rPr>
        <w:t>详细并完全</w:t>
      </w:r>
      <w:r>
        <w:rPr>
          <w:rFonts w:hint="eastAsia"/>
          <w:szCs w:val="21"/>
        </w:rPr>
        <w:t>符合</w:t>
      </w:r>
      <w:r>
        <w:rPr>
          <w:szCs w:val="21"/>
        </w:rPr>
        <w:t>第</w:t>
      </w:r>
      <w:r>
        <w:rPr>
          <w:rFonts w:hint="eastAsia"/>
          <w:szCs w:val="21"/>
        </w:rPr>
        <w:t>六</w:t>
      </w:r>
      <w:r>
        <w:rPr>
          <w:szCs w:val="21"/>
        </w:rPr>
        <w:t>章的规定。</w:t>
      </w:r>
    </w:p>
    <w:p>
      <w:pPr>
        <w:widowControl/>
        <w:spacing w:before="120" w:after="120" w:line="240" w:lineRule="atLeast"/>
        <w:ind w:firstLine="420" w:firstLineChars="200"/>
        <w:jc w:val="left"/>
        <w:rPr>
          <w:rFonts w:ascii="宋体" w:hAnsi="宋体"/>
          <w:szCs w:val="21"/>
        </w:rPr>
      </w:pPr>
      <w:r>
        <w:rPr>
          <w:rFonts w:hint="eastAsia" w:ascii="宋体" w:hAnsi="宋体"/>
          <w:szCs w:val="21"/>
        </w:rPr>
        <w:t>不符合本章或第六章（业主要求）中描述的设备和人员要求一般不作为其投标被拒绝的标准，可以在评标过程中和合同签订前进行澄清和修正。</w:t>
      </w:r>
    </w:p>
    <w:p>
      <w:pPr>
        <w:pStyle w:val="5"/>
      </w:pPr>
      <w:bookmarkStart w:id="894" w:name="_Toc169103245"/>
      <w:bookmarkStart w:id="895" w:name="_Toc110264367"/>
      <w:bookmarkStart w:id="896" w:name="_Toc171063108"/>
      <w:bookmarkStart w:id="897" w:name="_Toc110330763"/>
      <w:bookmarkStart w:id="898" w:name="_Toc391287329"/>
      <w:bookmarkStart w:id="899" w:name="_Toc110263906"/>
      <w:bookmarkStart w:id="900" w:name="_Toc324771981"/>
      <w:bookmarkStart w:id="901" w:name="_Toc110262712"/>
      <w:bookmarkStart w:id="902" w:name="_Toc324772197"/>
      <w:bookmarkStart w:id="903" w:name="_Toc110267640"/>
      <w:r>
        <w:rPr>
          <w:rFonts w:hint="eastAsia"/>
        </w:rPr>
        <w:t>1.2多个合同</w:t>
      </w:r>
      <w:bookmarkEnd w:id="894"/>
      <w:bookmarkEnd w:id="895"/>
      <w:bookmarkEnd w:id="896"/>
      <w:bookmarkEnd w:id="897"/>
      <w:bookmarkEnd w:id="898"/>
      <w:bookmarkEnd w:id="899"/>
      <w:bookmarkEnd w:id="900"/>
      <w:bookmarkEnd w:id="901"/>
      <w:bookmarkEnd w:id="902"/>
      <w:bookmarkEnd w:id="903"/>
    </w:p>
    <w:p>
      <w:pPr>
        <w:widowControl/>
        <w:spacing w:before="120" w:after="120" w:line="240" w:lineRule="atLeast"/>
        <w:ind w:firstLine="420" w:firstLineChars="200"/>
        <w:jc w:val="left"/>
        <w:textAlignment w:val="auto"/>
        <w:rPr>
          <w:szCs w:val="21"/>
        </w:rPr>
      </w:pPr>
      <w:r>
        <w:rPr>
          <w:rFonts w:hint="eastAsia"/>
          <w:szCs w:val="21"/>
        </w:rPr>
        <w:t>如果本招标文件包括多个合同（包）并且根据“投标人须知”第</w:t>
      </w:r>
      <w:r>
        <w:rPr>
          <w:szCs w:val="21"/>
        </w:rPr>
        <w:t>3</w:t>
      </w:r>
      <w:r>
        <w:rPr>
          <w:rFonts w:hint="eastAsia"/>
          <w:szCs w:val="21"/>
        </w:rPr>
        <w:t>2</w:t>
      </w:r>
      <w:r>
        <w:rPr>
          <w:szCs w:val="21"/>
        </w:rPr>
        <w:t>.4</w:t>
      </w:r>
      <w:r>
        <w:rPr>
          <w:rFonts w:hint="eastAsia"/>
          <w:szCs w:val="21"/>
        </w:rPr>
        <w:t>款的要求，将考虑投标人提供的被同时授予多个合同（包）时的折扣时，业主将基于一个合同（包）、任何组合的合同（包）或者所有合同（包）进行评价和比较以使业主授予多个合同（包）时的组合成本最低。</w:t>
      </w:r>
    </w:p>
    <w:p>
      <w:pPr>
        <w:widowControl/>
        <w:spacing w:before="120" w:after="120" w:line="240" w:lineRule="atLeast"/>
        <w:ind w:firstLine="420" w:firstLineChars="200"/>
        <w:jc w:val="left"/>
        <w:textAlignment w:val="auto"/>
        <w:rPr>
          <w:szCs w:val="21"/>
        </w:rPr>
      </w:pPr>
      <w:r>
        <w:rPr>
          <w:rFonts w:hint="eastAsia"/>
          <w:szCs w:val="21"/>
        </w:rPr>
        <w:t>如果同一个投标人被推荐授予多个合同（包），则评标时将评估该投标人在以下几个方面的能力，以确定其同时满足同时实施本章中规定的实施多个合同的资格标准和人员、设备累计要求：</w:t>
      </w:r>
    </w:p>
    <w:p>
      <w:pPr>
        <w:spacing w:before="120" w:after="120" w:line="240" w:lineRule="atLeast"/>
        <w:ind w:left="936" w:hanging="576"/>
        <w:jc w:val="left"/>
        <w:textAlignment w:val="auto"/>
        <w:rPr>
          <w:szCs w:val="21"/>
        </w:rPr>
      </w:pPr>
      <w:r>
        <w:rPr>
          <w:rFonts w:hint="eastAsia"/>
          <w:szCs w:val="21"/>
        </w:rPr>
        <w:t>（1）</w:t>
      </w:r>
      <w:r>
        <w:rPr>
          <w:szCs w:val="21"/>
        </w:rPr>
        <w:t>2.3.2</w:t>
      </w:r>
      <w:r>
        <w:rPr>
          <w:rFonts w:hint="eastAsia"/>
          <w:szCs w:val="21"/>
        </w:rPr>
        <w:t>年均施工营业额；</w:t>
      </w:r>
    </w:p>
    <w:p>
      <w:pPr>
        <w:spacing w:before="120" w:after="120" w:line="240" w:lineRule="atLeast"/>
        <w:ind w:left="936" w:hanging="576"/>
        <w:jc w:val="left"/>
        <w:textAlignment w:val="auto"/>
        <w:rPr>
          <w:szCs w:val="21"/>
        </w:rPr>
      </w:pPr>
      <w:r>
        <w:rPr>
          <w:rFonts w:hint="eastAsia"/>
          <w:szCs w:val="21"/>
        </w:rPr>
        <w:t>（2）</w:t>
      </w:r>
      <w:r>
        <w:rPr>
          <w:szCs w:val="21"/>
        </w:rPr>
        <w:t>2.3.3</w:t>
      </w:r>
      <w:r>
        <w:rPr>
          <w:rFonts w:hint="eastAsia"/>
          <w:szCs w:val="21"/>
        </w:rPr>
        <w:t>财务资源（现金流）；</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w:t>
      </w:r>
      <w:r>
        <w:rPr>
          <w:szCs w:val="21"/>
        </w:rPr>
        <w:t>2.4.2</w:t>
      </w:r>
      <w:r>
        <w:rPr>
          <w:rFonts w:hint="eastAsia"/>
          <w:szCs w:val="21"/>
        </w:rPr>
        <w:t>（1）特殊经验 ；</w:t>
      </w:r>
    </w:p>
    <w:p>
      <w:pPr>
        <w:spacing w:before="120" w:after="120" w:line="240" w:lineRule="atLeast"/>
        <w:ind w:left="936" w:hanging="576"/>
        <w:jc w:val="left"/>
        <w:textAlignment w:val="auto"/>
        <w:rPr>
          <w:szCs w:val="21"/>
        </w:rPr>
      </w:pPr>
      <w:r>
        <w:rPr>
          <w:rFonts w:hint="eastAsia"/>
          <w:szCs w:val="21"/>
        </w:rPr>
        <w:t>（4）3</w:t>
      </w:r>
      <w:r>
        <w:rPr>
          <w:szCs w:val="21"/>
        </w:rPr>
        <w:t xml:space="preserve"> </w:t>
      </w:r>
      <w:r>
        <w:rPr>
          <w:rFonts w:hint="eastAsia"/>
          <w:szCs w:val="21"/>
        </w:rPr>
        <w:t>人员；</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）4</w:t>
      </w:r>
      <w:r>
        <w:rPr>
          <w:szCs w:val="21"/>
        </w:rPr>
        <w:t xml:space="preserve"> </w:t>
      </w:r>
      <w:r>
        <w:rPr>
          <w:rFonts w:hint="eastAsia"/>
          <w:szCs w:val="21"/>
        </w:rPr>
        <w:t>设备。</w:t>
      </w:r>
    </w:p>
    <w:p>
      <w:pPr>
        <w:widowControl/>
        <w:spacing w:before="120" w:after="120" w:line="240" w:lineRule="atLeast"/>
        <w:ind w:firstLine="420" w:firstLineChars="200"/>
        <w:jc w:val="left"/>
        <w:textAlignment w:val="auto"/>
        <w:rPr>
          <w:rFonts w:hint="eastAsia"/>
          <w:bCs/>
          <w:szCs w:val="21"/>
        </w:rPr>
      </w:pPr>
      <w:r>
        <w:rPr>
          <w:rFonts w:hint="eastAsia"/>
          <w:bCs/>
          <w:szCs w:val="21"/>
        </w:rPr>
        <w:t>合同（包）将授予根据评标价为业主提供组合成本最低的投标人，前提是该投标人必须满足多个合同组合的资格标准和人员、设备累计要求。</w:t>
      </w:r>
    </w:p>
    <w:p>
      <w:pPr>
        <w:widowControl/>
        <w:spacing w:before="120" w:after="120" w:line="240" w:lineRule="atLeast"/>
        <w:ind w:firstLine="420" w:firstLineChars="200"/>
        <w:jc w:val="left"/>
        <w:textAlignment w:val="auto"/>
        <w:rPr>
          <w:rFonts w:hint="eastAsia"/>
          <w:bCs/>
          <w:szCs w:val="21"/>
          <w:highlight w:val="none"/>
        </w:rPr>
      </w:pPr>
      <w:r>
        <w:rPr>
          <w:rFonts w:hint="eastAsia"/>
          <w:bCs/>
          <w:szCs w:val="21"/>
          <w:highlight w:val="none"/>
        </w:rPr>
        <w:t>例子：经评审，实质性响应招标文件要求，且将报价过低投标的投标拒绝后，A合同包，投标报价从低到高依次排序为：投标人甲100 million；投标人乙120 million；投标人丙 150million；……； B合同包，投标报价从低到高依次排序为：投标人甲90 million；投标人丁130 million；……；此时投标人甲为A合同包及B合同包的潜在中标单位，则投标人甲必须满足同时实施A和B两个合同的资格标准累计要求，若投标人甲不能满足累计要求，则需对合同总价进行组合计算，此例中，若A合同包授予投标人甲，B合同包授予投标人丁，则总的合同价格为230 million（投标人甲100 million，投标人丁130 million）；若A合同包授予投标人乙，B合同包授予投标人甲，则总的合同价格为210 million（投标人乙120 million，投标人甲90 million），此时210million低于230million，根据最低合同组合的原则，将A合同包授予投标人乙，将B合同包授予投标人甲。</w:t>
      </w:r>
    </w:p>
    <w:p>
      <w:pPr>
        <w:pStyle w:val="5"/>
      </w:pPr>
      <w:bookmarkStart w:id="904" w:name="_Toc324772198"/>
      <w:bookmarkStart w:id="905" w:name="_Toc110262713"/>
      <w:bookmarkStart w:id="906" w:name="_Toc110264368"/>
      <w:bookmarkStart w:id="907" w:name="_Toc169103246"/>
      <w:bookmarkStart w:id="908" w:name="_Toc110330764"/>
      <w:bookmarkStart w:id="909" w:name="_Toc324771982"/>
      <w:bookmarkStart w:id="910" w:name="_Toc110267641"/>
      <w:bookmarkStart w:id="911" w:name="_Toc391287330"/>
      <w:bookmarkStart w:id="912" w:name="_Toc171063109"/>
      <w:bookmarkStart w:id="913" w:name="_Toc110263907"/>
      <w:r>
        <w:t>1.3</w:t>
      </w:r>
      <w:r>
        <w:rPr>
          <w:rFonts w:hint="eastAsia"/>
        </w:rPr>
        <w:t>完工时间</w:t>
      </w:r>
      <w:bookmarkEnd w:id="904"/>
      <w:bookmarkEnd w:id="905"/>
      <w:bookmarkEnd w:id="906"/>
      <w:bookmarkEnd w:id="907"/>
      <w:bookmarkEnd w:id="908"/>
      <w:bookmarkEnd w:id="909"/>
      <w:bookmarkEnd w:id="910"/>
      <w:bookmarkEnd w:id="911"/>
      <w:bookmarkEnd w:id="912"/>
      <w:bookmarkEnd w:id="913"/>
    </w:p>
    <w:p>
      <w:pPr>
        <w:widowControl/>
        <w:spacing w:before="120" w:after="120" w:line="240" w:lineRule="atLeast"/>
        <w:ind w:firstLine="420" w:firstLineChars="200"/>
        <w:jc w:val="left"/>
        <w:textAlignment w:val="auto"/>
        <w:rPr>
          <w:b/>
          <w:sz w:val="24"/>
        </w:rPr>
      </w:pPr>
      <w:bookmarkStart w:id="914" w:name="_Toc103401417"/>
      <w:bookmarkStart w:id="915" w:name="_Toc78774489"/>
      <w:bookmarkStart w:id="916" w:name="_Toc101516513"/>
      <w:r>
        <w:rPr>
          <w:rFonts w:hint="eastAsia"/>
          <w:szCs w:val="21"/>
        </w:rPr>
        <w:t>如果“投标人须知”第</w:t>
      </w:r>
      <w:r>
        <w:rPr>
          <w:szCs w:val="21"/>
        </w:rPr>
        <w:t>13.2</w:t>
      </w:r>
      <w:r>
        <w:rPr>
          <w:rFonts w:hint="eastAsia"/>
          <w:szCs w:val="21"/>
        </w:rPr>
        <w:t>款允许，替代完工时间将按以下标准进行评审：</w:t>
      </w:r>
      <w:bookmarkEnd w:id="914"/>
      <w:bookmarkEnd w:id="915"/>
      <w:bookmarkEnd w:id="916"/>
    </w:p>
    <w:p>
      <w:pPr>
        <w:pStyle w:val="5"/>
      </w:pPr>
      <w:bookmarkStart w:id="917" w:name="_Toc110262714"/>
      <w:bookmarkStart w:id="918" w:name="_Toc391287331"/>
      <w:bookmarkStart w:id="919" w:name="_Toc110264369"/>
      <w:bookmarkStart w:id="920" w:name="_Toc110330765"/>
      <w:bookmarkStart w:id="921" w:name="_Toc110263908"/>
      <w:bookmarkStart w:id="922" w:name="_Toc324771983"/>
      <w:bookmarkStart w:id="923" w:name="_Toc110267642"/>
      <w:bookmarkStart w:id="924" w:name="_Toc171063110"/>
      <w:bookmarkStart w:id="925" w:name="_Toc169103247"/>
      <w:bookmarkStart w:id="926" w:name="_Toc324772199"/>
      <w:r>
        <w:t>1.4</w:t>
      </w:r>
      <w:r>
        <w:rPr>
          <w:rFonts w:hint="eastAsia"/>
        </w:rPr>
        <w:t>替代方案</w:t>
      </w:r>
      <w:bookmarkEnd w:id="917"/>
      <w:bookmarkEnd w:id="918"/>
      <w:bookmarkEnd w:id="919"/>
      <w:bookmarkEnd w:id="920"/>
      <w:bookmarkEnd w:id="921"/>
      <w:bookmarkEnd w:id="922"/>
      <w:bookmarkEnd w:id="923"/>
      <w:bookmarkEnd w:id="924"/>
      <w:bookmarkEnd w:id="925"/>
      <w:bookmarkEnd w:id="926"/>
    </w:p>
    <w:p>
      <w:pPr>
        <w:widowControl/>
        <w:spacing w:before="120" w:after="120" w:line="240" w:lineRule="atLeast"/>
        <w:ind w:firstLine="420" w:firstLineChars="200"/>
        <w:jc w:val="left"/>
        <w:textAlignment w:val="auto"/>
        <w:rPr>
          <w:szCs w:val="21"/>
        </w:rPr>
      </w:pPr>
      <w:r>
        <w:rPr>
          <w:rFonts w:hint="eastAsia"/>
          <w:szCs w:val="21"/>
        </w:rPr>
        <w:t>如果“投标人须知”第</w:t>
      </w:r>
      <w:r>
        <w:rPr>
          <w:szCs w:val="21"/>
        </w:rPr>
        <w:t>13.</w:t>
      </w:r>
      <w:r>
        <w:rPr>
          <w:rFonts w:hint="eastAsia"/>
          <w:szCs w:val="21"/>
        </w:rPr>
        <w:t>4款允许，替代方案将按以下标准进行评审：</w:t>
      </w:r>
    </w:p>
    <w:p>
      <w:pPr>
        <w:pStyle w:val="5"/>
      </w:pPr>
      <w:bookmarkStart w:id="927" w:name="_Toc171063111"/>
      <w:bookmarkStart w:id="928" w:name="_Toc169103248"/>
      <w:bookmarkStart w:id="929" w:name="_Toc110330766"/>
      <w:r>
        <w:rPr>
          <w:rFonts w:hint="eastAsia"/>
        </w:rPr>
        <w:t>1.5可量化的偏差或遗漏项目</w:t>
      </w:r>
      <w:bookmarkEnd w:id="927"/>
      <w:bookmarkEnd w:id="928"/>
      <w:bookmarkEnd w:id="929"/>
    </w:p>
    <w:p>
      <w:pPr>
        <w:widowControl/>
        <w:spacing w:before="120" w:after="120" w:line="240" w:lineRule="atLeast"/>
        <w:ind w:firstLine="420" w:firstLineChars="200"/>
        <w:jc w:val="left"/>
        <w:textAlignment w:val="auto"/>
        <w:rPr>
          <w:highlight w:val="none"/>
        </w:rPr>
      </w:pPr>
      <w:r>
        <w:rPr>
          <w:rFonts w:hint="eastAsia"/>
          <w:bCs/>
          <w:szCs w:val="21"/>
        </w:rPr>
        <w:t>根据“投标人须知”第30.3款的规定，所有可以量化的非实质性的遗漏项目都将进行评审。为评标和比较起见，业主将采用其它实质性响应招标文件要求的所有投标人为该遗漏项目所报价格的最高价来计算非实质性的遗漏项目的价格。由此计算的投标价作为评标价参</w:t>
      </w:r>
      <w:r>
        <w:rPr>
          <w:rFonts w:hint="eastAsia"/>
          <w:bCs/>
          <w:szCs w:val="21"/>
          <w:highlight w:val="none"/>
        </w:rPr>
        <w:t>与价格比较。</w:t>
      </w:r>
    </w:p>
    <w:p>
      <w:pPr>
        <w:pStyle w:val="5"/>
        <w:rPr>
          <w:highlight w:val="none"/>
          <w:lang w:eastAsia="zh-CN"/>
        </w:rPr>
      </w:pPr>
      <w:bookmarkStart w:id="930" w:name="_Toc171063112"/>
      <w:bookmarkStart w:id="931" w:name="_Toc110330767"/>
      <w:bookmarkStart w:id="932" w:name="_Toc169103249"/>
      <w:r>
        <w:rPr>
          <w:highlight w:val="none"/>
        </w:rPr>
        <w:t xml:space="preserve">1.6 </w:t>
      </w:r>
      <w:bookmarkEnd w:id="930"/>
      <w:bookmarkEnd w:id="931"/>
      <w:bookmarkEnd w:id="932"/>
      <w:r>
        <w:rPr>
          <w:rFonts w:hint="eastAsia"/>
          <w:highlight w:val="none"/>
        </w:rPr>
        <w:t>拒绝报价过低投标的判断标准</w:t>
      </w:r>
    </w:p>
    <w:p>
      <w:pPr>
        <w:widowControl/>
        <w:spacing w:before="120" w:after="120" w:line="240" w:lineRule="atLeast"/>
        <w:ind w:firstLine="422" w:firstLineChars="200"/>
        <w:jc w:val="left"/>
        <w:textAlignment w:val="auto"/>
        <w:rPr>
          <w:b/>
          <w:szCs w:val="21"/>
          <w:highlight w:val="none"/>
        </w:rPr>
      </w:pPr>
      <w:r>
        <w:rPr>
          <w:rFonts w:hint="eastAsia"/>
          <w:b/>
          <w:szCs w:val="21"/>
          <w:highlight w:val="none"/>
        </w:rPr>
        <w:t>根据收到投标文件的数量，有两种初步识别潜在异常低价投标的方法：</w:t>
      </w:r>
    </w:p>
    <w:p>
      <w:pPr>
        <w:widowControl/>
        <w:spacing w:before="120" w:after="120" w:line="240" w:lineRule="atLeast"/>
        <w:ind w:firstLine="422" w:firstLineChars="200"/>
        <w:jc w:val="left"/>
        <w:textAlignment w:val="auto"/>
        <w:rPr>
          <w:szCs w:val="21"/>
          <w:highlight w:val="none"/>
        </w:rPr>
      </w:pPr>
      <w:r>
        <w:rPr>
          <w:b/>
          <w:szCs w:val="21"/>
          <w:highlight w:val="none"/>
        </w:rPr>
        <w:t>1.6.1 绝对值方法</w:t>
      </w:r>
      <w:r>
        <w:rPr>
          <w:bCs/>
          <w:szCs w:val="21"/>
          <w:highlight w:val="none"/>
        </w:rPr>
        <w:t>（当收到的实质性响应的投标</w:t>
      </w:r>
      <w:r>
        <w:rPr>
          <w:rFonts w:hint="eastAsia"/>
          <w:bCs/>
          <w:szCs w:val="21"/>
          <w:highlight w:val="none"/>
        </w:rPr>
        <w:t>文件</w:t>
      </w:r>
      <w:r>
        <w:rPr>
          <w:bCs/>
          <w:szCs w:val="21"/>
          <w:highlight w:val="none"/>
        </w:rPr>
        <w:t>少于5个时）： 如果某投标价</w:t>
      </w:r>
      <w:r>
        <w:rPr>
          <w:rFonts w:hint="eastAsia"/>
          <w:bCs/>
          <w:szCs w:val="21"/>
          <w:highlight w:val="none"/>
        </w:rPr>
        <w:t>（</w:t>
      </w:r>
      <w:r>
        <w:rPr>
          <w:rFonts w:hint="eastAsia"/>
          <w:b/>
          <w:szCs w:val="21"/>
          <w:highlight w:val="none"/>
        </w:rPr>
        <w:t>算数性校核后的投标总价</w:t>
      </w:r>
      <w:r>
        <w:rPr>
          <w:rFonts w:hint="eastAsia"/>
          <w:bCs/>
          <w:szCs w:val="21"/>
          <w:highlight w:val="none"/>
        </w:rPr>
        <w:t>）</w:t>
      </w:r>
      <w:r>
        <w:rPr>
          <w:bCs/>
          <w:szCs w:val="21"/>
          <w:highlight w:val="none"/>
        </w:rPr>
        <w:t>比所有实质性响应</w:t>
      </w:r>
      <w:r>
        <w:rPr>
          <w:rFonts w:hint="eastAsia"/>
          <w:bCs/>
          <w:szCs w:val="21"/>
          <w:highlight w:val="none"/>
        </w:rPr>
        <w:t>投</w:t>
      </w:r>
      <w:r>
        <w:rPr>
          <w:bCs/>
          <w:szCs w:val="21"/>
          <w:highlight w:val="none"/>
        </w:rPr>
        <w:t>标的平均投标价低20%以上时，</w:t>
      </w:r>
      <w:r>
        <w:rPr>
          <w:rFonts w:hint="eastAsia"/>
          <w:szCs w:val="21"/>
          <w:highlight w:val="none"/>
        </w:rPr>
        <w:t>该投标被认为是报价过低投标，应拒绝其投标</w:t>
      </w:r>
      <w:r>
        <w:rPr>
          <w:bCs/>
          <w:szCs w:val="21"/>
          <w:highlight w:val="none"/>
        </w:rPr>
        <w:t>。</w:t>
      </w:r>
    </w:p>
    <w:p>
      <w:pPr>
        <w:widowControl/>
        <w:spacing w:before="120" w:after="120" w:line="240" w:lineRule="atLeast"/>
        <w:ind w:firstLine="420" w:firstLineChars="200"/>
        <w:jc w:val="left"/>
        <w:textAlignment w:val="auto"/>
        <w:rPr>
          <w:i/>
          <w:szCs w:val="21"/>
          <w:highlight w:val="none"/>
        </w:rPr>
      </w:pPr>
      <w:r>
        <w:rPr>
          <w:i/>
          <w:szCs w:val="21"/>
          <w:highlight w:val="none"/>
        </w:rPr>
        <w:t xml:space="preserve">例子： </w:t>
      </w:r>
    </w:p>
    <w:p>
      <w:pPr>
        <w:widowControl/>
        <w:spacing w:before="120" w:after="120" w:line="240" w:lineRule="atLeast"/>
        <w:ind w:firstLine="420" w:firstLineChars="200"/>
        <w:jc w:val="left"/>
        <w:textAlignment w:val="auto"/>
        <w:rPr>
          <w:i/>
          <w:iCs/>
          <w:szCs w:val="21"/>
          <w:highlight w:val="none"/>
        </w:rPr>
      </w:pPr>
      <w:r>
        <w:rPr>
          <w:i/>
          <w:iCs/>
          <w:szCs w:val="21"/>
          <w:highlight w:val="none"/>
        </w:rPr>
        <w:t xml:space="preserve">收到的4个响应的投标价如下： </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投标价1:   CNY92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投标价2:  CNY82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投标价3:  CNY101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投标价4： CNY53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平均投标价：  (92+82+101+53)/4=CNY82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 xml:space="preserve">平均价的80% ：   82 </w:t>
      </w:r>
      <w:r>
        <w:rPr>
          <w:rFonts w:hint="eastAsia"/>
          <w:i/>
          <w:iCs/>
          <w:szCs w:val="21"/>
          <w:highlight w:val="none"/>
        </w:rPr>
        <w:t>×</w:t>
      </w:r>
      <w:r>
        <w:rPr>
          <w:i/>
          <w:iCs/>
          <w:szCs w:val="21"/>
          <w:highlight w:val="none"/>
        </w:rPr>
        <w:t xml:space="preserve"> 80% = CNY65.6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投标价4 低于CNY65.6 million，</w:t>
      </w:r>
      <w:r>
        <w:rPr>
          <w:rFonts w:hint="eastAsia"/>
          <w:iCs/>
          <w:szCs w:val="21"/>
          <w:highlight w:val="none"/>
        </w:rPr>
        <w:t>该投标被认为是报价过低投标，应拒绝其投标</w:t>
      </w:r>
      <w:r>
        <w:rPr>
          <w:i/>
          <w:iCs/>
          <w:szCs w:val="21"/>
          <w:highlight w:val="none"/>
        </w:rPr>
        <w:t xml:space="preserve">。 </w:t>
      </w:r>
    </w:p>
    <w:p>
      <w:pPr>
        <w:widowControl/>
        <w:spacing w:before="120" w:after="120" w:line="240" w:lineRule="atLeast"/>
        <w:ind w:firstLine="422" w:firstLineChars="200"/>
        <w:jc w:val="left"/>
        <w:textAlignment w:val="auto"/>
        <w:rPr>
          <w:szCs w:val="21"/>
          <w:highlight w:val="none"/>
        </w:rPr>
      </w:pPr>
      <w:r>
        <w:rPr>
          <w:b/>
          <w:szCs w:val="21"/>
          <w:highlight w:val="none"/>
        </w:rPr>
        <w:t>1.6.2 相对值方法</w:t>
      </w:r>
      <w:r>
        <w:rPr>
          <w:szCs w:val="21"/>
          <w:highlight w:val="none"/>
        </w:rPr>
        <w:t>（当收到的实质性响应的投标</w:t>
      </w:r>
      <w:r>
        <w:rPr>
          <w:rFonts w:hint="eastAsia"/>
          <w:szCs w:val="21"/>
          <w:highlight w:val="none"/>
        </w:rPr>
        <w:t>文件</w:t>
      </w:r>
      <w:r>
        <w:rPr>
          <w:szCs w:val="21"/>
          <w:highlight w:val="none"/>
        </w:rPr>
        <w:t>至少有5个时）：如果某投标价</w:t>
      </w:r>
      <w:r>
        <w:rPr>
          <w:rFonts w:hint="eastAsia"/>
          <w:bCs/>
          <w:szCs w:val="21"/>
          <w:highlight w:val="none"/>
        </w:rPr>
        <w:t>（</w:t>
      </w:r>
      <w:r>
        <w:rPr>
          <w:rFonts w:hint="eastAsia"/>
          <w:b/>
          <w:szCs w:val="21"/>
          <w:highlight w:val="none"/>
        </w:rPr>
        <w:t>算数性校核后的投标总价</w:t>
      </w:r>
      <w:r>
        <w:rPr>
          <w:rFonts w:hint="eastAsia"/>
          <w:bCs/>
          <w:szCs w:val="21"/>
          <w:highlight w:val="none"/>
        </w:rPr>
        <w:t>）</w:t>
      </w:r>
      <w:r>
        <w:rPr>
          <w:szCs w:val="21"/>
          <w:highlight w:val="none"/>
        </w:rPr>
        <w:t>比所有实质性响应标的平均投标价低一个均方差（也称标准差）以上时，</w:t>
      </w:r>
      <w:r>
        <w:rPr>
          <w:rFonts w:hint="eastAsia"/>
          <w:szCs w:val="21"/>
          <w:highlight w:val="none"/>
        </w:rPr>
        <w:t>该投标被认为是报价过低投标，应拒绝其投标</w:t>
      </w:r>
      <w:r>
        <w:rPr>
          <w:szCs w:val="21"/>
          <w:highlight w:val="none"/>
        </w:rPr>
        <w:t>。</w:t>
      </w:r>
    </w:p>
    <w:p>
      <w:pPr>
        <w:widowControl/>
        <w:spacing w:before="120" w:after="120" w:line="240" w:lineRule="atLeast"/>
        <w:ind w:firstLine="420" w:firstLineChars="200"/>
        <w:jc w:val="left"/>
        <w:textAlignment w:val="auto"/>
        <w:rPr>
          <w:i/>
          <w:szCs w:val="21"/>
          <w:highlight w:val="none"/>
        </w:rPr>
      </w:pPr>
      <w:r>
        <w:rPr>
          <w:i/>
          <w:szCs w:val="21"/>
          <w:highlight w:val="none"/>
        </w:rPr>
        <w:t>例子：</w:t>
      </w:r>
    </w:p>
    <w:p>
      <w:pPr>
        <w:widowControl/>
        <w:spacing w:before="120" w:after="120" w:line="240" w:lineRule="atLeast"/>
        <w:ind w:firstLine="420" w:firstLineChars="200"/>
        <w:jc w:val="left"/>
        <w:textAlignment w:val="auto"/>
        <w:rPr>
          <w:i/>
          <w:iCs/>
          <w:szCs w:val="21"/>
          <w:highlight w:val="none"/>
        </w:rPr>
      </w:pPr>
      <w:r>
        <w:rPr>
          <w:i/>
          <w:iCs/>
          <w:szCs w:val="21"/>
          <w:highlight w:val="none"/>
        </w:rPr>
        <w:t xml:space="preserve">收到如下5个响应的投标文件： </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投标价1:   CNY92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投标价2:  CNY82 million</w:t>
      </w:r>
    </w:p>
    <w:p>
      <w:pPr>
        <w:widowControl/>
        <w:spacing w:before="120" w:after="120" w:line="240" w:lineRule="atLeast"/>
        <w:ind w:firstLine="420" w:firstLineChars="200"/>
        <w:jc w:val="left"/>
        <w:textAlignment w:val="auto"/>
        <w:rPr>
          <w:i/>
          <w:iCs/>
          <w:szCs w:val="21"/>
          <w:highlight w:val="none"/>
        </w:rPr>
      </w:pPr>
      <w:r>
        <w:rPr>
          <w:i/>
          <w:iCs/>
          <w:szCs w:val="21"/>
          <w:highlight w:val="none"/>
        </w:rPr>
        <w:t>投标价3:  CNY101 million</w:t>
      </w:r>
    </w:p>
    <w:p>
      <w:pPr>
        <w:widowControl/>
        <w:spacing w:before="120" w:after="120" w:line="240" w:lineRule="atLeast"/>
        <w:ind w:firstLine="420" w:firstLineChars="200"/>
        <w:jc w:val="left"/>
        <w:textAlignment w:val="auto"/>
        <w:rPr>
          <w:i/>
          <w:iCs/>
          <w:szCs w:val="21"/>
        </w:rPr>
      </w:pPr>
      <w:r>
        <w:rPr>
          <w:i/>
          <w:iCs/>
          <w:szCs w:val="21"/>
        </w:rPr>
        <w:t>投标价4： CNY53 million</w:t>
      </w:r>
    </w:p>
    <w:p>
      <w:pPr>
        <w:widowControl/>
        <w:spacing w:before="120" w:after="120" w:line="240" w:lineRule="atLeast"/>
        <w:ind w:firstLine="420" w:firstLineChars="200"/>
        <w:jc w:val="left"/>
        <w:textAlignment w:val="auto"/>
        <w:rPr>
          <w:i/>
          <w:iCs/>
          <w:szCs w:val="21"/>
        </w:rPr>
      </w:pPr>
      <w:r>
        <w:rPr>
          <w:i/>
          <w:iCs/>
          <w:szCs w:val="21"/>
        </w:rPr>
        <w:t>投标价5： CNY72 million</w:t>
      </w:r>
    </w:p>
    <w:p>
      <w:pPr>
        <w:widowControl/>
        <w:spacing w:before="120" w:after="120" w:line="240" w:lineRule="atLeast"/>
        <w:ind w:firstLine="420" w:firstLineChars="200"/>
        <w:jc w:val="left"/>
        <w:textAlignment w:val="auto"/>
        <w:rPr>
          <w:i/>
          <w:iCs/>
          <w:szCs w:val="21"/>
        </w:rPr>
      </w:pPr>
      <w:r>
        <w:rPr>
          <w:i/>
          <w:iCs/>
          <w:szCs w:val="21"/>
        </w:rPr>
        <w:t>平均投标价:  (92+82+101+53+72)/5=CNY80 million</w:t>
      </w:r>
    </w:p>
    <w:p>
      <w:pPr>
        <w:widowControl/>
        <w:spacing w:before="120" w:after="120" w:line="240" w:lineRule="atLeast"/>
        <w:ind w:firstLine="420" w:firstLineChars="200"/>
        <w:jc w:val="left"/>
        <w:textAlignment w:val="auto"/>
        <w:rPr>
          <w:i/>
          <w:iCs/>
          <w:szCs w:val="21"/>
        </w:rPr>
      </w:pPr>
      <w:r>
        <w:rPr>
          <w:i/>
          <w:iCs/>
          <w:szCs w:val="21"/>
        </w:rPr>
        <w:t>均方差:</w:t>
      </w:r>
    </w:p>
    <w:p>
      <w:pPr>
        <w:widowControl/>
        <w:spacing w:before="120" w:after="120" w:line="240" w:lineRule="atLeast"/>
        <w:ind w:firstLine="420" w:firstLineChars="200"/>
        <w:jc w:val="left"/>
        <w:textAlignment w:val="auto"/>
        <w:rPr>
          <w:i/>
          <w:iCs/>
          <w:szCs w:val="21"/>
        </w:rPr>
      </w:pPr>
      <w:r>
        <w:rPr>
          <w:i/>
          <w:iCs/>
          <w:szCs w:val="21"/>
        </w:rPr>
        <w:t>=CNY17 million</w:t>
      </w:r>
    </w:p>
    <w:p>
      <w:pPr>
        <w:widowControl/>
        <w:spacing w:before="120" w:after="120" w:line="240" w:lineRule="atLeast"/>
        <w:ind w:firstLine="420" w:firstLineChars="200"/>
        <w:jc w:val="left"/>
        <w:textAlignment w:val="auto"/>
        <w:rPr>
          <w:i/>
          <w:iCs/>
          <w:szCs w:val="21"/>
          <w:highlight w:val="none"/>
        </w:rPr>
      </w:pPr>
      <w:r>
        <w:rPr>
          <w:i/>
          <w:iCs/>
          <w:szCs w:val="21"/>
        </w:rPr>
        <w:t>平均投标价减去均</w:t>
      </w:r>
      <w:r>
        <w:rPr>
          <w:i/>
          <w:iCs/>
          <w:szCs w:val="21"/>
          <w:highlight w:val="none"/>
        </w:rPr>
        <w:t>方差:  80-17=CNY63 million</w:t>
      </w:r>
    </w:p>
    <w:p>
      <w:pPr>
        <w:widowControl/>
        <w:spacing w:before="120" w:after="120" w:line="240" w:lineRule="atLeast"/>
        <w:ind w:firstLine="420" w:firstLineChars="200"/>
        <w:jc w:val="left"/>
        <w:textAlignment w:val="auto"/>
        <w:rPr>
          <w:iCs/>
          <w:szCs w:val="21"/>
          <w:highlight w:val="none"/>
        </w:rPr>
      </w:pPr>
      <w:r>
        <w:rPr>
          <w:iCs/>
          <w:szCs w:val="21"/>
          <w:highlight w:val="none"/>
        </w:rPr>
        <w:t>投标价4低于平均价一个均方差以上，</w:t>
      </w:r>
      <w:r>
        <w:rPr>
          <w:rFonts w:hint="eastAsia"/>
          <w:iCs/>
          <w:szCs w:val="21"/>
          <w:highlight w:val="none"/>
        </w:rPr>
        <w:t>该投标被认为是报价过低投标，应拒绝其投标</w:t>
      </w:r>
      <w:r>
        <w:rPr>
          <w:iCs/>
          <w:szCs w:val="21"/>
          <w:highlight w:val="none"/>
        </w:rPr>
        <w:t>。</w:t>
      </w:r>
    </w:p>
    <w:p>
      <w:pPr>
        <w:widowControl/>
        <w:spacing w:before="120" w:after="120" w:line="240" w:lineRule="atLeast"/>
        <w:ind w:firstLine="420" w:firstLineChars="200"/>
        <w:jc w:val="left"/>
        <w:textAlignment w:val="auto"/>
        <w:rPr>
          <w:highlight w:val="none"/>
        </w:rPr>
      </w:pPr>
    </w:p>
    <w:p>
      <w:pPr>
        <w:widowControl/>
        <w:spacing w:before="120" w:after="120" w:line="240" w:lineRule="atLeast"/>
        <w:ind w:firstLine="420" w:firstLineChars="200"/>
        <w:jc w:val="left"/>
        <w:textAlignment w:val="auto"/>
        <w:rPr>
          <w:rFonts w:hint="eastAsia" w:eastAsia="宋体"/>
          <w:lang w:eastAsia="zh-CN"/>
        </w:rPr>
        <w:sectPr>
          <w:headerReference r:id="rId9" w:type="default"/>
          <w:footnotePr>
            <w:numRestart w:val="eachPage"/>
          </w:footnotePr>
          <w:endnotePr>
            <w:numFmt w:val="decimal"/>
          </w:endnotePr>
          <w:pgSz w:w="11907" w:h="16840"/>
          <w:pgMar w:top="1440" w:right="1797" w:bottom="1440" w:left="1797" w:header="851" w:footer="992" w:gutter="0"/>
          <w:cols w:space="425" w:num="1"/>
          <w:docGrid w:linePitch="312" w:charSpace="0"/>
        </w:sectPr>
      </w:pPr>
      <w:r>
        <w:rPr>
          <w:rFonts w:hint="eastAsia"/>
          <w:highlight w:val="none"/>
        </w:rPr>
        <w:t>上述两种计算方法中，若投标人的报价超过合同预算价，则需去掉其报价后再计算平均投标价以及均方差</w:t>
      </w:r>
      <w:r>
        <w:rPr>
          <w:rFonts w:hint="eastAsia"/>
          <w:highlight w:val="none"/>
          <w:lang w:eastAsia="zh-CN"/>
        </w:rPr>
        <w:t>。</w:t>
      </w:r>
    </w:p>
    <w:p>
      <w:pPr>
        <w:pStyle w:val="133"/>
      </w:pPr>
      <w:bookmarkStart w:id="933" w:name="_Toc110264370"/>
      <w:bookmarkStart w:id="934" w:name="_Toc110265184"/>
      <w:bookmarkStart w:id="935" w:name="_Toc110268522"/>
      <w:bookmarkStart w:id="936" w:name="_Toc324772200"/>
      <w:bookmarkStart w:id="937" w:name="_Toc169103250"/>
      <w:bookmarkStart w:id="938" w:name="_Toc391287332"/>
      <w:bookmarkStart w:id="939" w:name="_Toc110263909"/>
      <w:bookmarkStart w:id="940" w:name="_Toc110272056"/>
      <w:bookmarkStart w:id="941" w:name="_Toc324771984"/>
      <w:bookmarkStart w:id="942" w:name="_Toc110264948"/>
      <w:bookmarkStart w:id="943" w:name="_Toc110330768"/>
      <w:bookmarkStart w:id="944" w:name="_Toc110264731"/>
      <w:bookmarkStart w:id="945" w:name="_Toc110267643"/>
      <w:bookmarkStart w:id="946" w:name="_Toc110262715"/>
      <w:bookmarkStart w:id="947" w:name="_Toc110264784"/>
      <w:bookmarkStart w:id="948" w:name="_Toc171063113"/>
      <w:r>
        <w:rPr>
          <w:lang w:eastAsia="zh-CN"/>
        </w:rPr>
        <w:t xml:space="preserve">2. </w:t>
      </w:r>
      <w:r>
        <w:rPr>
          <w:rFonts w:hint="eastAsia"/>
        </w:rPr>
        <w:t>资格</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Pr>
          <w:rFonts w:hint="eastAsia"/>
          <w:lang w:eastAsia="zh-CN"/>
        </w:rPr>
        <w:t>标准</w:t>
      </w:r>
      <w:bookmarkEnd w:id="948"/>
    </w:p>
    <w:tbl>
      <w:tblPr>
        <w:tblStyle w:val="62"/>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4489"/>
        <w:gridCol w:w="1116"/>
        <w:gridCol w:w="1853"/>
        <w:gridCol w:w="1387"/>
        <w:gridCol w:w="1532"/>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679" w:type="dxa"/>
            <w:vAlign w:val="center"/>
          </w:tcPr>
          <w:p>
            <w:pPr>
              <w:spacing w:before="120" w:after="120"/>
              <w:jc w:val="center"/>
              <w:textAlignment w:val="auto"/>
              <w:rPr>
                <w:b/>
                <w:szCs w:val="21"/>
              </w:rPr>
            </w:pPr>
            <w:r>
              <w:rPr>
                <w:rFonts w:hint="eastAsia"/>
                <w:b/>
                <w:szCs w:val="21"/>
              </w:rPr>
              <w:t>因素</w:t>
            </w:r>
          </w:p>
        </w:tc>
        <w:tc>
          <w:tcPr>
            <w:tcW w:w="12271" w:type="dxa"/>
            <w:gridSpan w:val="6"/>
            <w:vAlign w:val="center"/>
          </w:tcPr>
          <w:p>
            <w:pPr>
              <w:pStyle w:val="5"/>
            </w:pPr>
            <w:bookmarkStart w:id="949" w:name="_Toc324771985"/>
            <w:bookmarkStart w:id="950" w:name="_Toc499023468"/>
            <w:bookmarkStart w:id="951" w:name="_Toc503874228"/>
            <w:bookmarkStart w:id="952" w:name="_Toc391287333"/>
            <w:bookmarkStart w:id="953" w:name="_Toc501529950"/>
            <w:bookmarkStart w:id="954" w:name="_Toc169103251"/>
            <w:bookmarkStart w:id="955" w:name="_Toc110263910"/>
            <w:bookmarkStart w:id="956" w:name="_Toc110262716"/>
            <w:bookmarkStart w:id="957" w:name="_Toc110267644"/>
            <w:bookmarkStart w:id="958" w:name="_Toc496006430"/>
            <w:bookmarkStart w:id="959" w:name="_Toc496006831"/>
            <w:bookmarkStart w:id="960" w:name="_Toc498339860"/>
            <w:bookmarkStart w:id="961" w:name="_Toc324772201"/>
            <w:bookmarkStart w:id="962" w:name="_Toc496113482"/>
            <w:bookmarkStart w:id="963" w:name="_Toc498848207"/>
            <w:bookmarkStart w:id="964" w:name="_Toc496968116"/>
            <w:bookmarkStart w:id="965" w:name="_Toc110330769"/>
            <w:bookmarkStart w:id="966" w:name="_Toc499021785"/>
            <w:bookmarkStart w:id="967" w:name="_Toc496359153"/>
            <w:bookmarkStart w:id="968" w:name="_Toc110264371"/>
            <w:bookmarkStart w:id="969" w:name="_Toc23215164"/>
            <w:bookmarkStart w:id="970" w:name="_Toc171063114"/>
            <w:bookmarkStart w:id="971" w:name="_Toc77969922"/>
            <w:r>
              <w:t>2.1</w:t>
            </w:r>
            <w:r>
              <w:rPr>
                <w:rFonts w:hint="eastAsia"/>
              </w:rPr>
              <w:t>合格性</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679" w:type="dxa"/>
            <w:vMerge w:val="restart"/>
            <w:vAlign w:val="center"/>
          </w:tcPr>
          <w:p>
            <w:pPr>
              <w:pStyle w:val="90"/>
              <w:spacing w:before="120" w:after="120"/>
              <w:rPr>
                <w:rFonts w:ascii="Times New Roman" w:hAnsi="Times New Roman"/>
                <w:b w:val="0"/>
                <w:sz w:val="21"/>
                <w:szCs w:val="21"/>
                <w:lang w:val="en-US"/>
              </w:rPr>
            </w:pPr>
            <w:bookmarkStart w:id="972" w:name="_Toc110267645"/>
            <w:bookmarkStart w:id="973" w:name="_Toc110263911"/>
            <w:bookmarkStart w:id="974" w:name="_Toc110264372"/>
            <w:bookmarkStart w:id="975" w:name="_Toc110330770"/>
            <w:bookmarkStart w:id="976" w:name="_Toc110262717"/>
            <w:r>
              <w:rPr>
                <w:rFonts w:hint="eastAsia" w:ascii="Times New Roman" w:hAnsi="Times New Roman"/>
                <w:sz w:val="21"/>
                <w:szCs w:val="21"/>
                <w:lang w:val="en-US" w:eastAsia="zh-CN"/>
              </w:rPr>
              <w:t>子因素</w:t>
            </w:r>
            <w:bookmarkEnd w:id="972"/>
            <w:bookmarkEnd w:id="973"/>
            <w:bookmarkEnd w:id="974"/>
            <w:bookmarkEnd w:id="975"/>
            <w:bookmarkEnd w:id="976"/>
          </w:p>
        </w:tc>
        <w:tc>
          <w:tcPr>
            <w:tcW w:w="10377" w:type="dxa"/>
            <w:gridSpan w:val="5"/>
          </w:tcPr>
          <w:p>
            <w:pPr>
              <w:pStyle w:val="90"/>
              <w:spacing w:before="120" w:after="120"/>
              <w:rPr>
                <w:rFonts w:ascii="Times New Roman" w:hAnsi="Times New Roman"/>
                <w:sz w:val="21"/>
                <w:szCs w:val="21"/>
                <w:lang w:val="en-US" w:eastAsia="zh-CN"/>
              </w:rPr>
            </w:pPr>
            <w:bookmarkStart w:id="977" w:name="_Toc110264373"/>
            <w:bookmarkStart w:id="978" w:name="_Toc110262718"/>
            <w:bookmarkStart w:id="979" w:name="_Toc110263912"/>
            <w:bookmarkStart w:id="980" w:name="_Toc110267646"/>
            <w:bookmarkStart w:id="981" w:name="_Toc110330771"/>
            <w:r>
              <w:rPr>
                <w:rFonts w:hint="eastAsia" w:ascii="Times New Roman" w:hAnsi="Times New Roman"/>
                <w:sz w:val="21"/>
                <w:szCs w:val="21"/>
                <w:lang w:val="en-US" w:eastAsia="zh-CN"/>
              </w:rPr>
              <w:t>标准</w:t>
            </w:r>
            <w:bookmarkEnd w:id="977"/>
            <w:bookmarkEnd w:id="978"/>
            <w:bookmarkEnd w:id="979"/>
            <w:bookmarkEnd w:id="980"/>
            <w:bookmarkEnd w:id="981"/>
          </w:p>
        </w:tc>
        <w:tc>
          <w:tcPr>
            <w:tcW w:w="1894" w:type="dxa"/>
            <w:vMerge w:val="restart"/>
            <w:vAlign w:val="center"/>
          </w:tcPr>
          <w:p>
            <w:pPr>
              <w:pStyle w:val="90"/>
              <w:spacing w:before="120" w:after="120"/>
              <w:rPr>
                <w:rFonts w:ascii="Times New Roman" w:hAnsi="Times New Roman"/>
                <w:sz w:val="21"/>
                <w:szCs w:val="21"/>
                <w:lang w:val="en-US" w:eastAsia="zh-CN"/>
              </w:rPr>
            </w:pPr>
            <w:bookmarkStart w:id="982" w:name="_Toc110267647"/>
            <w:bookmarkStart w:id="983" w:name="_Toc110263913"/>
            <w:bookmarkStart w:id="984" w:name="_Toc110262719"/>
            <w:bookmarkStart w:id="985" w:name="_Toc110330772"/>
            <w:bookmarkStart w:id="986" w:name="_Toc110264374"/>
            <w:r>
              <w:rPr>
                <w:rFonts w:hint="eastAsia" w:ascii="Times New Roman" w:hAnsi="Times New Roman"/>
                <w:sz w:val="21"/>
                <w:szCs w:val="21"/>
                <w:lang w:val="en-US" w:eastAsia="zh-CN"/>
              </w:rPr>
              <w:t>要求投标人提交的文件</w:t>
            </w:r>
            <w:bookmarkEnd w:id="982"/>
            <w:bookmarkEnd w:id="983"/>
            <w:bookmarkEnd w:id="984"/>
            <w:bookmarkEnd w:id="985"/>
            <w:bookmarkEnd w:id="9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679" w:type="dxa"/>
            <w:vMerge w:val="continue"/>
          </w:tcPr>
          <w:p>
            <w:pPr>
              <w:spacing w:before="120" w:after="120"/>
              <w:ind w:left="360"/>
              <w:jc w:val="center"/>
              <w:textAlignment w:val="auto"/>
              <w:rPr>
                <w:b/>
                <w:szCs w:val="21"/>
              </w:rPr>
            </w:pPr>
          </w:p>
        </w:tc>
        <w:tc>
          <w:tcPr>
            <w:tcW w:w="4489" w:type="dxa"/>
            <w:vMerge w:val="restart"/>
            <w:tcBorders>
              <w:bottom w:val="nil"/>
            </w:tcBorders>
            <w:vAlign w:val="center"/>
          </w:tcPr>
          <w:p>
            <w:pPr>
              <w:pStyle w:val="90"/>
              <w:spacing w:before="120" w:after="120"/>
              <w:rPr>
                <w:rFonts w:ascii="Times New Roman" w:hAnsi="Times New Roman"/>
                <w:b w:val="0"/>
                <w:sz w:val="21"/>
                <w:szCs w:val="21"/>
                <w:lang w:val="en-US"/>
              </w:rPr>
            </w:pPr>
            <w:bookmarkStart w:id="987" w:name="_Toc110264375"/>
            <w:bookmarkStart w:id="988" w:name="_Toc110267648"/>
            <w:bookmarkStart w:id="989" w:name="_Toc110262720"/>
            <w:bookmarkStart w:id="990" w:name="_Toc110263914"/>
            <w:bookmarkStart w:id="991" w:name="_Toc110330773"/>
            <w:r>
              <w:rPr>
                <w:rFonts w:hint="eastAsia" w:ascii="Times New Roman" w:hAnsi="Times New Roman"/>
                <w:sz w:val="21"/>
                <w:szCs w:val="21"/>
                <w:lang w:val="en-US" w:eastAsia="zh-CN"/>
              </w:rPr>
              <w:t>要求</w:t>
            </w:r>
            <w:bookmarkEnd w:id="987"/>
            <w:bookmarkEnd w:id="988"/>
            <w:bookmarkEnd w:id="989"/>
            <w:bookmarkEnd w:id="990"/>
            <w:bookmarkEnd w:id="991"/>
          </w:p>
        </w:tc>
        <w:tc>
          <w:tcPr>
            <w:tcW w:w="5888" w:type="dxa"/>
            <w:gridSpan w:val="4"/>
          </w:tcPr>
          <w:p>
            <w:pPr>
              <w:pStyle w:val="90"/>
              <w:spacing w:before="120" w:after="120"/>
              <w:rPr>
                <w:rFonts w:ascii="Times New Roman" w:hAnsi="Times New Roman"/>
                <w:sz w:val="21"/>
                <w:szCs w:val="21"/>
                <w:lang w:val="en-US"/>
              </w:rPr>
            </w:pPr>
            <w:bookmarkStart w:id="992" w:name="_Toc110262721"/>
            <w:bookmarkStart w:id="993" w:name="_Toc110264376"/>
            <w:bookmarkStart w:id="994" w:name="_Toc110330774"/>
            <w:bookmarkStart w:id="995" w:name="_Toc110263915"/>
            <w:bookmarkStart w:id="996" w:name="_Toc110267649"/>
            <w:r>
              <w:rPr>
                <w:rFonts w:hint="eastAsia" w:ascii="Times New Roman" w:hAnsi="Times New Roman"/>
                <w:sz w:val="21"/>
                <w:szCs w:val="21"/>
                <w:lang w:val="en-US" w:eastAsia="zh-CN"/>
              </w:rPr>
              <w:t>投标人</w:t>
            </w:r>
            <w:bookmarkEnd w:id="992"/>
            <w:bookmarkEnd w:id="993"/>
            <w:bookmarkEnd w:id="994"/>
            <w:bookmarkEnd w:id="995"/>
            <w:bookmarkEnd w:id="996"/>
          </w:p>
        </w:tc>
        <w:tc>
          <w:tcPr>
            <w:tcW w:w="1894" w:type="dxa"/>
            <w:vMerge w:val="continue"/>
            <w:tcBorders>
              <w:bottom w:val="nil"/>
            </w:tcBorders>
          </w:tcPr>
          <w:p>
            <w:pPr>
              <w:pStyle w:val="90"/>
              <w:spacing w:before="120" w:after="120"/>
              <w:rPr>
                <w:rFonts w:ascii="Times New Roman" w:hAnsi="Times New Roman"/>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679" w:type="dxa"/>
            <w:vMerge w:val="continue"/>
          </w:tcPr>
          <w:p>
            <w:pPr>
              <w:spacing w:before="120" w:after="120"/>
              <w:ind w:left="360"/>
              <w:jc w:val="center"/>
              <w:textAlignment w:val="auto"/>
              <w:rPr>
                <w:b/>
                <w:szCs w:val="21"/>
              </w:rPr>
            </w:pPr>
          </w:p>
        </w:tc>
        <w:tc>
          <w:tcPr>
            <w:tcW w:w="4489" w:type="dxa"/>
            <w:vMerge w:val="continue"/>
            <w:tcBorders>
              <w:top w:val="nil"/>
              <w:bottom w:val="nil"/>
            </w:tcBorders>
          </w:tcPr>
          <w:p>
            <w:pPr>
              <w:spacing w:before="120" w:after="120"/>
              <w:ind w:left="360"/>
              <w:jc w:val="center"/>
              <w:textAlignment w:val="auto"/>
              <w:rPr>
                <w:b/>
                <w:szCs w:val="21"/>
              </w:rPr>
            </w:pPr>
          </w:p>
        </w:tc>
        <w:tc>
          <w:tcPr>
            <w:tcW w:w="1116" w:type="dxa"/>
            <w:vMerge w:val="restart"/>
            <w:vAlign w:val="center"/>
          </w:tcPr>
          <w:p>
            <w:pPr>
              <w:spacing w:before="120" w:after="120"/>
              <w:jc w:val="center"/>
              <w:textAlignment w:val="auto"/>
              <w:rPr>
                <w:b/>
                <w:szCs w:val="21"/>
              </w:rPr>
            </w:pPr>
            <w:r>
              <w:rPr>
                <w:rFonts w:hint="eastAsia"/>
                <w:b/>
                <w:szCs w:val="21"/>
              </w:rPr>
              <w:t>单一实体</w:t>
            </w:r>
          </w:p>
        </w:tc>
        <w:tc>
          <w:tcPr>
            <w:tcW w:w="4772" w:type="dxa"/>
            <w:gridSpan w:val="3"/>
          </w:tcPr>
          <w:p>
            <w:pPr>
              <w:pStyle w:val="90"/>
              <w:spacing w:before="120" w:after="120"/>
              <w:rPr>
                <w:rFonts w:ascii="Times New Roman" w:hAnsi="Times New Roman"/>
                <w:sz w:val="21"/>
                <w:szCs w:val="21"/>
                <w:lang w:val="en-US" w:eastAsia="zh-CN"/>
              </w:rPr>
            </w:pPr>
            <w:bookmarkStart w:id="997" w:name="_Toc110263916"/>
            <w:bookmarkStart w:id="998" w:name="_Toc110267650"/>
            <w:bookmarkStart w:id="999" w:name="_Toc110264377"/>
            <w:bookmarkStart w:id="1000" w:name="_Toc110330775"/>
            <w:bookmarkStart w:id="1001" w:name="_Toc110262722"/>
            <w:r>
              <w:rPr>
                <w:rFonts w:hint="eastAsia" w:ascii="Times New Roman" w:hAnsi="Times New Roman"/>
                <w:sz w:val="21"/>
                <w:szCs w:val="21"/>
                <w:lang w:val="en-US" w:eastAsia="zh-CN"/>
              </w:rPr>
              <w:t>联合体</w:t>
            </w:r>
            <w:bookmarkEnd w:id="997"/>
            <w:bookmarkEnd w:id="998"/>
            <w:bookmarkEnd w:id="999"/>
            <w:bookmarkEnd w:id="1000"/>
            <w:bookmarkEnd w:id="1001"/>
          </w:p>
        </w:tc>
        <w:tc>
          <w:tcPr>
            <w:tcW w:w="1894" w:type="dxa"/>
            <w:vMerge w:val="continue"/>
            <w:tcBorders>
              <w:bottom w:val="nil"/>
            </w:tcBorders>
          </w:tcPr>
          <w:p>
            <w:pPr>
              <w:pStyle w:val="90"/>
              <w:spacing w:before="120" w:after="120"/>
              <w:rPr>
                <w:rFonts w:ascii="Times New Roman" w:hAnsi="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679" w:type="dxa"/>
            <w:vMerge w:val="continue"/>
          </w:tcPr>
          <w:p>
            <w:pPr>
              <w:spacing w:before="120" w:after="120"/>
              <w:ind w:left="360"/>
              <w:textAlignment w:val="auto"/>
              <w:rPr>
                <w:b/>
                <w:szCs w:val="21"/>
              </w:rPr>
            </w:pPr>
          </w:p>
        </w:tc>
        <w:tc>
          <w:tcPr>
            <w:tcW w:w="4489" w:type="dxa"/>
            <w:vMerge w:val="continue"/>
            <w:tcBorders>
              <w:top w:val="nil"/>
            </w:tcBorders>
          </w:tcPr>
          <w:p>
            <w:pPr>
              <w:spacing w:before="120" w:after="120"/>
              <w:ind w:left="360"/>
              <w:textAlignment w:val="auto"/>
              <w:rPr>
                <w:b/>
                <w:szCs w:val="21"/>
              </w:rPr>
            </w:pPr>
          </w:p>
        </w:tc>
        <w:tc>
          <w:tcPr>
            <w:tcW w:w="1116" w:type="dxa"/>
            <w:vMerge w:val="continue"/>
          </w:tcPr>
          <w:p>
            <w:pPr>
              <w:spacing w:before="120" w:after="120"/>
              <w:jc w:val="center"/>
              <w:textAlignment w:val="auto"/>
              <w:rPr>
                <w:b/>
                <w:szCs w:val="21"/>
              </w:rPr>
            </w:pPr>
          </w:p>
        </w:tc>
        <w:tc>
          <w:tcPr>
            <w:tcW w:w="1853" w:type="dxa"/>
            <w:tcBorders>
              <w:top w:val="nil"/>
            </w:tcBorders>
            <w:vAlign w:val="center"/>
          </w:tcPr>
          <w:p>
            <w:pPr>
              <w:spacing w:before="120" w:after="120"/>
              <w:jc w:val="center"/>
              <w:textAlignment w:val="auto"/>
              <w:rPr>
                <w:b/>
                <w:szCs w:val="21"/>
              </w:rPr>
            </w:pPr>
            <w:r>
              <w:rPr>
                <w:rFonts w:hint="eastAsia"/>
                <w:b/>
                <w:szCs w:val="21"/>
              </w:rPr>
              <w:t>全体成员合计</w:t>
            </w:r>
          </w:p>
        </w:tc>
        <w:tc>
          <w:tcPr>
            <w:tcW w:w="1387" w:type="dxa"/>
            <w:tcBorders>
              <w:top w:val="nil"/>
            </w:tcBorders>
            <w:vAlign w:val="center"/>
          </w:tcPr>
          <w:p>
            <w:pPr>
              <w:pStyle w:val="90"/>
              <w:spacing w:before="120" w:after="120"/>
              <w:rPr>
                <w:rFonts w:ascii="Times New Roman" w:hAnsi="Times New Roman"/>
                <w:sz w:val="21"/>
                <w:szCs w:val="21"/>
                <w:lang w:val="en-US" w:eastAsia="zh-CN"/>
              </w:rPr>
            </w:pPr>
            <w:bookmarkStart w:id="1002" w:name="_Toc110263917"/>
            <w:bookmarkStart w:id="1003" w:name="_Toc110330776"/>
            <w:bookmarkStart w:id="1004" w:name="_Toc110262723"/>
            <w:bookmarkStart w:id="1005" w:name="_Toc110264378"/>
            <w:bookmarkStart w:id="1006" w:name="_Toc110267651"/>
            <w:r>
              <w:rPr>
                <w:rFonts w:hint="eastAsia" w:ascii="Times New Roman" w:hAnsi="Times New Roman"/>
                <w:sz w:val="21"/>
                <w:szCs w:val="21"/>
                <w:lang w:val="en-US" w:eastAsia="zh-CN"/>
              </w:rPr>
              <w:t>每一个</w:t>
            </w:r>
            <w:bookmarkEnd w:id="1002"/>
            <w:bookmarkEnd w:id="1003"/>
            <w:bookmarkEnd w:id="1004"/>
            <w:bookmarkEnd w:id="1005"/>
            <w:bookmarkEnd w:id="1006"/>
            <w:bookmarkStart w:id="1007" w:name="_Toc110263918"/>
            <w:bookmarkStart w:id="1008" w:name="_Toc110267652"/>
            <w:bookmarkStart w:id="1009" w:name="_Toc110330777"/>
            <w:bookmarkStart w:id="1010" w:name="_Toc110264379"/>
            <w:bookmarkStart w:id="1011" w:name="_Toc110262724"/>
            <w:r>
              <w:rPr>
                <w:rFonts w:hint="eastAsia" w:ascii="Times New Roman" w:hAnsi="Times New Roman"/>
                <w:sz w:val="21"/>
                <w:szCs w:val="21"/>
                <w:lang w:val="en-US" w:eastAsia="zh-CN"/>
              </w:rPr>
              <w:t>成员</w:t>
            </w:r>
            <w:bookmarkEnd w:id="1007"/>
            <w:bookmarkEnd w:id="1008"/>
            <w:bookmarkEnd w:id="1009"/>
            <w:bookmarkEnd w:id="1010"/>
            <w:bookmarkEnd w:id="1011"/>
          </w:p>
        </w:tc>
        <w:tc>
          <w:tcPr>
            <w:tcW w:w="1532" w:type="dxa"/>
            <w:tcBorders>
              <w:top w:val="nil"/>
            </w:tcBorders>
            <w:vAlign w:val="center"/>
          </w:tcPr>
          <w:p>
            <w:pPr>
              <w:spacing w:before="120" w:after="120"/>
              <w:jc w:val="center"/>
              <w:textAlignment w:val="auto"/>
              <w:rPr>
                <w:b/>
                <w:szCs w:val="21"/>
              </w:rPr>
            </w:pPr>
            <w:r>
              <w:rPr>
                <w:rFonts w:hint="eastAsia"/>
                <w:b/>
                <w:szCs w:val="21"/>
              </w:rPr>
              <w:t>至少一个成员</w:t>
            </w:r>
          </w:p>
        </w:tc>
        <w:tc>
          <w:tcPr>
            <w:tcW w:w="1894" w:type="dxa"/>
            <w:vMerge w:val="continue"/>
            <w:tcBorders>
              <w:top w:val="nil"/>
            </w:tcBorders>
          </w:tcPr>
          <w:p>
            <w:pPr>
              <w:spacing w:before="120" w:after="120"/>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tcPr>
          <w:p>
            <w:pPr>
              <w:spacing w:before="120" w:after="120"/>
              <w:jc w:val="left"/>
              <w:textAlignment w:val="auto"/>
              <w:rPr>
                <w:szCs w:val="21"/>
              </w:rPr>
            </w:pPr>
            <w:bookmarkStart w:id="1012" w:name="_Toc496968117"/>
            <w:r>
              <w:rPr>
                <w:szCs w:val="21"/>
              </w:rPr>
              <w:t>2.1.1</w:t>
            </w:r>
            <w:r>
              <w:rPr>
                <w:rFonts w:hint="eastAsia"/>
                <w:szCs w:val="21"/>
              </w:rPr>
              <w:t>国籍</w:t>
            </w:r>
            <w:bookmarkEnd w:id="1012"/>
          </w:p>
        </w:tc>
        <w:tc>
          <w:tcPr>
            <w:tcW w:w="4489" w:type="dxa"/>
          </w:tcPr>
          <w:p>
            <w:pPr>
              <w:spacing w:before="120" w:after="120"/>
              <w:jc w:val="left"/>
              <w:textAlignment w:val="auto"/>
              <w:rPr>
                <w:szCs w:val="21"/>
              </w:rPr>
            </w:pPr>
            <w:r>
              <w:rPr>
                <w:rFonts w:hint="eastAsia"/>
                <w:szCs w:val="21"/>
              </w:rPr>
              <w:t>投标人国籍符合“投标人须知”第4.</w:t>
            </w:r>
            <w:r>
              <w:rPr>
                <w:szCs w:val="21"/>
              </w:rPr>
              <w:t>2</w:t>
            </w:r>
            <w:r>
              <w:rPr>
                <w:rFonts w:hint="eastAsia"/>
                <w:szCs w:val="21"/>
              </w:rPr>
              <w:t>款的要求</w:t>
            </w:r>
          </w:p>
        </w:tc>
        <w:tc>
          <w:tcPr>
            <w:tcW w:w="1116" w:type="dxa"/>
          </w:tcPr>
          <w:p>
            <w:pPr>
              <w:spacing w:before="120" w:after="120"/>
              <w:jc w:val="center"/>
              <w:textAlignment w:val="auto"/>
              <w:rPr>
                <w:szCs w:val="21"/>
              </w:rPr>
            </w:pPr>
            <w:r>
              <w:rPr>
                <w:rFonts w:hint="eastAsia"/>
                <w:szCs w:val="21"/>
              </w:rPr>
              <w:t>必须满足要求</w:t>
            </w:r>
          </w:p>
        </w:tc>
        <w:tc>
          <w:tcPr>
            <w:tcW w:w="1853" w:type="dxa"/>
          </w:tcPr>
          <w:p>
            <w:pPr>
              <w:spacing w:before="120" w:after="120"/>
              <w:jc w:val="left"/>
              <w:textAlignment w:val="auto"/>
              <w:rPr>
                <w:szCs w:val="21"/>
              </w:rPr>
            </w:pPr>
            <w:r>
              <w:rPr>
                <w:rFonts w:hint="eastAsia"/>
                <w:szCs w:val="21"/>
              </w:rPr>
              <w:t>已成立或将成立的联合体应满足要求</w:t>
            </w:r>
          </w:p>
        </w:tc>
        <w:tc>
          <w:tcPr>
            <w:tcW w:w="1387" w:type="dxa"/>
          </w:tcPr>
          <w:p>
            <w:pPr>
              <w:spacing w:before="120" w:after="120"/>
              <w:jc w:val="center"/>
              <w:textAlignment w:val="auto"/>
              <w:rPr>
                <w:szCs w:val="21"/>
              </w:rPr>
            </w:pPr>
            <w:r>
              <w:rPr>
                <w:rFonts w:hint="eastAsia"/>
                <w:szCs w:val="21"/>
              </w:rPr>
              <w:t>必须满足要求</w:t>
            </w:r>
          </w:p>
        </w:tc>
        <w:tc>
          <w:tcPr>
            <w:tcW w:w="1532" w:type="dxa"/>
          </w:tcPr>
          <w:p>
            <w:pPr>
              <w:spacing w:before="120" w:after="120"/>
              <w:jc w:val="center"/>
              <w:textAlignment w:val="auto"/>
              <w:rPr>
                <w:szCs w:val="21"/>
              </w:rPr>
            </w:pPr>
            <w:r>
              <w:rPr>
                <w:rFonts w:hint="eastAsia"/>
                <w:szCs w:val="21"/>
              </w:rPr>
              <w:t>不适用</w:t>
            </w:r>
          </w:p>
        </w:tc>
        <w:tc>
          <w:tcPr>
            <w:tcW w:w="1894" w:type="dxa"/>
          </w:tcPr>
          <w:p>
            <w:pPr>
              <w:spacing w:before="120" w:after="120"/>
              <w:jc w:val="left"/>
              <w:textAlignment w:val="auto"/>
              <w:rPr>
                <w:szCs w:val="21"/>
              </w:rPr>
            </w:pPr>
            <w:r>
              <w:rPr>
                <w:rFonts w:hint="eastAsia"/>
                <w:szCs w:val="21"/>
              </w:rPr>
              <w:t>表格</w:t>
            </w:r>
            <w:r>
              <w:rPr>
                <w:szCs w:val="21"/>
              </w:rPr>
              <w:t>ELI</w:t>
            </w:r>
            <w:r>
              <w:rPr>
                <w:rFonts w:hint="eastAsia"/>
                <w:szCs w:val="21"/>
              </w:rPr>
              <w:t>-2.1</w:t>
            </w:r>
            <w:r>
              <w:rPr>
                <w:szCs w:val="21"/>
              </w:rPr>
              <w:t>(1)</w:t>
            </w:r>
            <w:r>
              <w:rPr>
                <w:rFonts w:hint="eastAsia"/>
                <w:szCs w:val="21"/>
              </w:rPr>
              <w:t>和表格</w:t>
            </w:r>
            <w:r>
              <w:rPr>
                <w:szCs w:val="21"/>
              </w:rPr>
              <w:t>ELI</w:t>
            </w:r>
            <w:r>
              <w:rPr>
                <w:rFonts w:hint="eastAsia"/>
                <w:szCs w:val="21"/>
              </w:rPr>
              <w:t>-</w:t>
            </w:r>
            <w:r>
              <w:rPr>
                <w:szCs w:val="21"/>
              </w:rPr>
              <w:t>2.1(2)</w:t>
            </w:r>
            <w:r>
              <w:rPr>
                <w:rFonts w:hint="eastAsia"/>
                <w:szCs w:val="21"/>
              </w:rPr>
              <w:t>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tcPr>
          <w:p>
            <w:pPr>
              <w:spacing w:before="120" w:after="120"/>
              <w:jc w:val="left"/>
              <w:textAlignment w:val="auto"/>
              <w:rPr>
                <w:szCs w:val="21"/>
              </w:rPr>
            </w:pPr>
            <w:r>
              <w:rPr>
                <w:szCs w:val="21"/>
              </w:rPr>
              <w:t>2.1.2</w:t>
            </w:r>
            <w:r>
              <w:rPr>
                <w:rFonts w:hint="eastAsia"/>
                <w:szCs w:val="21"/>
              </w:rPr>
              <w:t>利益冲突</w:t>
            </w:r>
          </w:p>
        </w:tc>
        <w:tc>
          <w:tcPr>
            <w:tcW w:w="4489" w:type="dxa"/>
          </w:tcPr>
          <w:p>
            <w:pPr>
              <w:spacing w:before="120" w:after="120"/>
              <w:jc w:val="left"/>
              <w:textAlignment w:val="auto"/>
              <w:rPr>
                <w:szCs w:val="21"/>
              </w:rPr>
            </w:pPr>
            <w:r>
              <w:rPr>
                <w:rFonts w:hint="eastAsia"/>
                <w:szCs w:val="21"/>
              </w:rPr>
              <w:t>投标人不存在“投标人须知”第4.</w:t>
            </w:r>
            <w:r>
              <w:rPr>
                <w:szCs w:val="21"/>
              </w:rPr>
              <w:t>3</w:t>
            </w:r>
            <w:r>
              <w:rPr>
                <w:rFonts w:hint="eastAsia"/>
                <w:szCs w:val="21"/>
              </w:rPr>
              <w:t>款所述的利益冲突</w:t>
            </w:r>
            <w:r>
              <w:rPr>
                <w:rStyle w:val="72"/>
                <w:szCs w:val="21"/>
              </w:rPr>
              <w:footnoteReference w:id="0"/>
            </w:r>
          </w:p>
        </w:tc>
        <w:tc>
          <w:tcPr>
            <w:tcW w:w="1116" w:type="dxa"/>
          </w:tcPr>
          <w:p>
            <w:pPr>
              <w:spacing w:before="120" w:after="120"/>
              <w:jc w:val="center"/>
              <w:textAlignment w:val="auto"/>
              <w:rPr>
                <w:szCs w:val="21"/>
              </w:rPr>
            </w:pPr>
            <w:r>
              <w:rPr>
                <w:rFonts w:hint="eastAsia"/>
                <w:szCs w:val="21"/>
              </w:rPr>
              <w:t>必须满足要求</w:t>
            </w:r>
          </w:p>
        </w:tc>
        <w:tc>
          <w:tcPr>
            <w:tcW w:w="1853" w:type="dxa"/>
          </w:tcPr>
          <w:p>
            <w:pPr>
              <w:spacing w:before="120" w:after="120"/>
              <w:jc w:val="left"/>
              <w:textAlignment w:val="auto"/>
            </w:pPr>
            <w:r>
              <w:rPr>
                <w:rFonts w:hint="eastAsia"/>
                <w:szCs w:val="21"/>
              </w:rPr>
              <w:t>已成立或将成立的联合体应满足要求</w:t>
            </w:r>
          </w:p>
        </w:tc>
        <w:tc>
          <w:tcPr>
            <w:tcW w:w="1387" w:type="dxa"/>
          </w:tcPr>
          <w:p>
            <w:pPr>
              <w:spacing w:before="120" w:after="120"/>
              <w:jc w:val="center"/>
              <w:textAlignment w:val="auto"/>
            </w:pPr>
            <w:r>
              <w:rPr>
                <w:rFonts w:hint="eastAsia"/>
                <w:szCs w:val="21"/>
              </w:rPr>
              <w:t>必须满足要求</w:t>
            </w:r>
          </w:p>
        </w:tc>
        <w:tc>
          <w:tcPr>
            <w:tcW w:w="1532" w:type="dxa"/>
          </w:tcPr>
          <w:p>
            <w:pPr>
              <w:spacing w:before="120" w:after="120"/>
              <w:jc w:val="center"/>
              <w:textAlignment w:val="auto"/>
              <w:rPr>
                <w:szCs w:val="21"/>
              </w:rPr>
            </w:pPr>
            <w:r>
              <w:rPr>
                <w:rFonts w:hint="eastAsia"/>
                <w:szCs w:val="21"/>
              </w:rPr>
              <w:t>不适用</w:t>
            </w:r>
          </w:p>
        </w:tc>
        <w:tc>
          <w:tcPr>
            <w:tcW w:w="1894" w:type="dxa"/>
          </w:tcPr>
          <w:p>
            <w:pPr>
              <w:spacing w:before="120" w:after="120"/>
              <w:jc w:val="left"/>
              <w:textAlignment w:val="auto"/>
              <w:rPr>
                <w:szCs w:val="21"/>
              </w:rPr>
            </w:pPr>
            <w:r>
              <w:rPr>
                <w:rFonts w:hint="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tcPr>
          <w:p>
            <w:pPr>
              <w:spacing w:before="120" w:after="120"/>
              <w:jc w:val="left"/>
              <w:textAlignment w:val="auto"/>
              <w:rPr>
                <w:szCs w:val="21"/>
              </w:rPr>
            </w:pPr>
            <w:r>
              <w:rPr>
                <w:szCs w:val="21"/>
              </w:rPr>
              <w:t>2.1.3</w:t>
            </w:r>
            <w:r>
              <w:rPr>
                <w:rFonts w:hint="eastAsia"/>
                <w:szCs w:val="21"/>
              </w:rPr>
              <w:t>是否被亚投行宣布为不合格</w:t>
            </w:r>
          </w:p>
        </w:tc>
        <w:tc>
          <w:tcPr>
            <w:tcW w:w="4489" w:type="dxa"/>
          </w:tcPr>
          <w:p>
            <w:pPr>
              <w:spacing w:before="120" w:after="120"/>
              <w:jc w:val="left"/>
              <w:textAlignment w:val="auto"/>
              <w:rPr>
                <w:szCs w:val="21"/>
              </w:rPr>
            </w:pPr>
            <w:r>
              <w:rPr>
                <w:rFonts w:hint="eastAsia"/>
                <w:szCs w:val="21"/>
              </w:rPr>
              <w:t>如“投标人须知”第4.</w:t>
            </w:r>
            <w:r>
              <w:rPr>
                <w:szCs w:val="21"/>
              </w:rPr>
              <w:t>4</w:t>
            </w:r>
            <w:r>
              <w:rPr>
                <w:rFonts w:hint="eastAsia"/>
                <w:szCs w:val="21"/>
              </w:rPr>
              <w:t>款所述，投标人未被宣布为不合格</w:t>
            </w:r>
          </w:p>
        </w:tc>
        <w:tc>
          <w:tcPr>
            <w:tcW w:w="1116" w:type="dxa"/>
          </w:tcPr>
          <w:p>
            <w:pPr>
              <w:spacing w:before="120" w:after="120"/>
              <w:jc w:val="center"/>
              <w:textAlignment w:val="auto"/>
            </w:pPr>
            <w:r>
              <w:rPr>
                <w:rFonts w:hint="eastAsia"/>
                <w:szCs w:val="21"/>
              </w:rPr>
              <w:t>必须满足要求</w:t>
            </w:r>
          </w:p>
        </w:tc>
        <w:tc>
          <w:tcPr>
            <w:tcW w:w="1853" w:type="dxa"/>
          </w:tcPr>
          <w:p>
            <w:pPr>
              <w:spacing w:before="120" w:after="120"/>
              <w:jc w:val="left"/>
              <w:textAlignment w:val="auto"/>
            </w:pPr>
            <w:r>
              <w:rPr>
                <w:rFonts w:hint="eastAsia"/>
                <w:szCs w:val="21"/>
              </w:rPr>
              <w:t>已成立或将成立的联合体应满足要求</w:t>
            </w:r>
          </w:p>
        </w:tc>
        <w:tc>
          <w:tcPr>
            <w:tcW w:w="1387" w:type="dxa"/>
          </w:tcPr>
          <w:p>
            <w:pPr>
              <w:spacing w:before="120" w:after="120"/>
              <w:jc w:val="center"/>
              <w:textAlignment w:val="auto"/>
            </w:pPr>
            <w:r>
              <w:rPr>
                <w:rFonts w:hint="eastAsia"/>
                <w:szCs w:val="21"/>
              </w:rPr>
              <w:t>必须满足要求</w:t>
            </w:r>
          </w:p>
        </w:tc>
        <w:tc>
          <w:tcPr>
            <w:tcW w:w="1532" w:type="dxa"/>
          </w:tcPr>
          <w:p>
            <w:pPr>
              <w:spacing w:before="120" w:after="120"/>
              <w:jc w:val="center"/>
              <w:textAlignment w:val="auto"/>
              <w:rPr>
                <w:szCs w:val="21"/>
              </w:rPr>
            </w:pPr>
            <w:r>
              <w:rPr>
                <w:rFonts w:hint="eastAsia"/>
                <w:szCs w:val="21"/>
              </w:rPr>
              <w:t>不适用</w:t>
            </w:r>
          </w:p>
        </w:tc>
        <w:tc>
          <w:tcPr>
            <w:tcW w:w="1894" w:type="dxa"/>
          </w:tcPr>
          <w:p>
            <w:pPr>
              <w:spacing w:before="120" w:after="120"/>
              <w:jc w:val="left"/>
              <w:textAlignment w:val="auto"/>
              <w:rPr>
                <w:szCs w:val="21"/>
              </w:rPr>
            </w:pPr>
            <w:r>
              <w:rPr>
                <w:rFonts w:hint="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tcPr>
          <w:p>
            <w:pPr>
              <w:spacing w:before="120" w:after="120"/>
              <w:jc w:val="left"/>
              <w:textAlignment w:val="auto"/>
              <w:rPr>
                <w:szCs w:val="21"/>
              </w:rPr>
            </w:pPr>
            <w:r>
              <w:rPr>
                <w:szCs w:val="21"/>
              </w:rPr>
              <w:t>2.1.4</w:t>
            </w:r>
            <w:r>
              <w:rPr>
                <w:rFonts w:hint="eastAsia"/>
                <w:szCs w:val="21"/>
              </w:rPr>
              <w:t>国有企业</w:t>
            </w:r>
          </w:p>
        </w:tc>
        <w:tc>
          <w:tcPr>
            <w:tcW w:w="4489" w:type="dxa"/>
          </w:tcPr>
          <w:p>
            <w:pPr>
              <w:spacing w:before="120" w:after="120"/>
              <w:jc w:val="left"/>
              <w:textAlignment w:val="auto"/>
              <w:rPr>
                <w:szCs w:val="21"/>
              </w:rPr>
            </w:pPr>
            <w:r>
              <w:rPr>
                <w:rFonts w:hint="eastAsia"/>
                <w:szCs w:val="21"/>
              </w:rPr>
              <w:t>投标人符合“投标人须知”第4.</w:t>
            </w:r>
            <w:r>
              <w:rPr>
                <w:szCs w:val="21"/>
              </w:rPr>
              <w:t>5</w:t>
            </w:r>
            <w:r>
              <w:rPr>
                <w:rFonts w:hint="eastAsia"/>
                <w:szCs w:val="21"/>
              </w:rPr>
              <w:t>款的条件</w:t>
            </w:r>
          </w:p>
        </w:tc>
        <w:tc>
          <w:tcPr>
            <w:tcW w:w="1116" w:type="dxa"/>
          </w:tcPr>
          <w:p>
            <w:pPr>
              <w:spacing w:before="120" w:after="120"/>
              <w:jc w:val="center"/>
              <w:textAlignment w:val="auto"/>
            </w:pPr>
            <w:r>
              <w:rPr>
                <w:rFonts w:hint="eastAsia"/>
                <w:szCs w:val="21"/>
              </w:rPr>
              <w:t>必须满足要求</w:t>
            </w:r>
          </w:p>
        </w:tc>
        <w:tc>
          <w:tcPr>
            <w:tcW w:w="1853" w:type="dxa"/>
          </w:tcPr>
          <w:p>
            <w:pPr>
              <w:spacing w:before="120" w:after="120"/>
              <w:jc w:val="left"/>
              <w:textAlignment w:val="auto"/>
            </w:pPr>
            <w:r>
              <w:rPr>
                <w:rFonts w:hint="eastAsia"/>
                <w:szCs w:val="21"/>
              </w:rPr>
              <w:t>必须满足要求</w:t>
            </w:r>
          </w:p>
        </w:tc>
        <w:tc>
          <w:tcPr>
            <w:tcW w:w="1387" w:type="dxa"/>
          </w:tcPr>
          <w:p>
            <w:pPr>
              <w:spacing w:before="120" w:after="120"/>
              <w:jc w:val="center"/>
              <w:textAlignment w:val="auto"/>
            </w:pPr>
            <w:r>
              <w:rPr>
                <w:rFonts w:hint="eastAsia"/>
                <w:szCs w:val="21"/>
              </w:rPr>
              <w:t>必须满足要求</w:t>
            </w:r>
          </w:p>
        </w:tc>
        <w:tc>
          <w:tcPr>
            <w:tcW w:w="1532" w:type="dxa"/>
          </w:tcPr>
          <w:p>
            <w:pPr>
              <w:spacing w:before="120" w:after="120"/>
              <w:jc w:val="center"/>
              <w:textAlignment w:val="auto"/>
              <w:rPr>
                <w:szCs w:val="21"/>
              </w:rPr>
            </w:pPr>
            <w:r>
              <w:rPr>
                <w:rFonts w:hint="eastAsia"/>
                <w:szCs w:val="21"/>
              </w:rPr>
              <w:t>不适用</w:t>
            </w:r>
          </w:p>
        </w:tc>
        <w:tc>
          <w:tcPr>
            <w:tcW w:w="1894" w:type="dxa"/>
          </w:tcPr>
          <w:p>
            <w:pPr>
              <w:spacing w:before="120" w:after="120"/>
              <w:jc w:val="left"/>
              <w:textAlignment w:val="auto"/>
              <w:rPr>
                <w:szCs w:val="21"/>
              </w:rPr>
            </w:pPr>
            <w:r>
              <w:rPr>
                <w:rFonts w:hint="eastAsia"/>
                <w:szCs w:val="21"/>
              </w:rPr>
              <w:t>表格</w:t>
            </w:r>
            <w:r>
              <w:rPr>
                <w:szCs w:val="21"/>
              </w:rPr>
              <w:t>ELI</w:t>
            </w:r>
            <w:r>
              <w:rPr>
                <w:rFonts w:hint="eastAsia"/>
                <w:szCs w:val="21"/>
              </w:rPr>
              <w:t>-</w:t>
            </w:r>
            <w:r>
              <w:rPr>
                <w:szCs w:val="21"/>
              </w:rPr>
              <w:t>2.1(1)</w:t>
            </w:r>
            <w:r>
              <w:rPr>
                <w:rFonts w:hint="eastAsia"/>
                <w:szCs w:val="21"/>
              </w:rPr>
              <w:t>和表格</w:t>
            </w:r>
            <w:r>
              <w:rPr>
                <w:szCs w:val="21"/>
              </w:rPr>
              <w:t>ELI</w:t>
            </w:r>
            <w:r>
              <w:rPr>
                <w:rFonts w:hint="eastAsia"/>
                <w:szCs w:val="21"/>
              </w:rPr>
              <w:t>-</w:t>
            </w:r>
            <w:r>
              <w:rPr>
                <w:szCs w:val="21"/>
              </w:rPr>
              <w:t>2.1(2)</w:t>
            </w:r>
            <w:r>
              <w:rPr>
                <w:rFonts w:hint="eastAsia"/>
                <w:szCs w:val="21"/>
              </w:rPr>
              <w:t>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tcPr>
          <w:p>
            <w:pPr>
              <w:spacing w:before="120" w:after="120"/>
              <w:jc w:val="left"/>
              <w:textAlignment w:val="auto"/>
              <w:rPr>
                <w:szCs w:val="21"/>
              </w:rPr>
            </w:pPr>
            <w:r>
              <w:rPr>
                <w:rFonts w:hint="eastAsia"/>
                <w:szCs w:val="21"/>
              </w:rPr>
              <w:t>2.1.5中国根据联合国决议是否宣布投标人不合格</w:t>
            </w:r>
          </w:p>
        </w:tc>
        <w:tc>
          <w:tcPr>
            <w:tcW w:w="4489" w:type="dxa"/>
          </w:tcPr>
          <w:p>
            <w:pPr>
              <w:spacing w:before="120" w:after="120"/>
              <w:jc w:val="left"/>
              <w:textAlignment w:val="auto"/>
              <w:rPr>
                <w:szCs w:val="21"/>
              </w:rPr>
            </w:pPr>
            <w:r>
              <w:rPr>
                <w:rFonts w:hint="eastAsia"/>
                <w:szCs w:val="21"/>
              </w:rPr>
              <w:t>投标人未被中国根据联合国安理会决议宣布为不合格投标人（“投标人须知”第4.</w:t>
            </w:r>
            <w:r>
              <w:rPr>
                <w:szCs w:val="21"/>
              </w:rPr>
              <w:t>7</w:t>
            </w:r>
            <w:r>
              <w:rPr>
                <w:rFonts w:hint="eastAsia"/>
                <w:szCs w:val="21"/>
              </w:rPr>
              <w:t>款）</w:t>
            </w:r>
          </w:p>
        </w:tc>
        <w:tc>
          <w:tcPr>
            <w:tcW w:w="1116" w:type="dxa"/>
          </w:tcPr>
          <w:p>
            <w:pPr>
              <w:spacing w:before="120" w:after="120"/>
              <w:jc w:val="left"/>
              <w:textAlignment w:val="auto"/>
              <w:rPr>
                <w:szCs w:val="21"/>
              </w:rPr>
            </w:pPr>
            <w:r>
              <w:rPr>
                <w:rFonts w:hint="eastAsia"/>
                <w:szCs w:val="21"/>
              </w:rPr>
              <w:t>必须满足要求</w:t>
            </w:r>
          </w:p>
        </w:tc>
        <w:tc>
          <w:tcPr>
            <w:tcW w:w="1853" w:type="dxa"/>
          </w:tcPr>
          <w:p>
            <w:pPr>
              <w:spacing w:before="120" w:after="120"/>
              <w:jc w:val="left"/>
              <w:textAlignment w:val="auto"/>
              <w:rPr>
                <w:szCs w:val="21"/>
              </w:rPr>
            </w:pPr>
            <w:r>
              <w:rPr>
                <w:rFonts w:hint="eastAsia"/>
                <w:szCs w:val="21"/>
              </w:rPr>
              <w:t>已成立的联合体必须满足要求</w:t>
            </w:r>
          </w:p>
        </w:tc>
        <w:tc>
          <w:tcPr>
            <w:tcW w:w="1387" w:type="dxa"/>
          </w:tcPr>
          <w:p>
            <w:pPr>
              <w:spacing w:before="120" w:after="120"/>
              <w:jc w:val="center"/>
              <w:textAlignment w:val="auto"/>
              <w:rPr>
                <w:szCs w:val="21"/>
              </w:rPr>
            </w:pPr>
            <w:r>
              <w:rPr>
                <w:rFonts w:hint="eastAsia"/>
                <w:szCs w:val="21"/>
              </w:rPr>
              <w:t>必须满足</w:t>
            </w:r>
          </w:p>
        </w:tc>
        <w:tc>
          <w:tcPr>
            <w:tcW w:w="1532" w:type="dxa"/>
          </w:tcPr>
          <w:p>
            <w:pPr>
              <w:spacing w:before="120" w:after="120"/>
              <w:jc w:val="center"/>
              <w:textAlignment w:val="auto"/>
              <w:rPr>
                <w:szCs w:val="21"/>
              </w:rPr>
            </w:pPr>
            <w:r>
              <w:rPr>
                <w:rFonts w:hint="eastAsia"/>
                <w:szCs w:val="21"/>
              </w:rPr>
              <w:t>不适用</w:t>
            </w:r>
          </w:p>
        </w:tc>
        <w:tc>
          <w:tcPr>
            <w:tcW w:w="1894" w:type="dxa"/>
          </w:tcPr>
          <w:p>
            <w:pPr>
              <w:spacing w:before="120" w:after="120"/>
              <w:jc w:val="left"/>
              <w:textAlignment w:val="auto"/>
              <w:rPr>
                <w:szCs w:val="21"/>
              </w:rPr>
            </w:pPr>
            <w:r>
              <w:rPr>
                <w:rFonts w:hint="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9" w:type="dxa"/>
            <w:vAlign w:val="top"/>
          </w:tcPr>
          <w:p>
            <w:pPr>
              <w:spacing w:before="120" w:after="120"/>
              <w:ind w:left="504" w:leftChars="0" w:hanging="504" w:firstLineChars="0"/>
              <w:jc w:val="left"/>
              <w:rPr>
                <w:rFonts w:hint="eastAsia"/>
                <w:szCs w:val="21"/>
                <w:highlight w:val="none"/>
              </w:rPr>
            </w:pPr>
            <w:r>
              <w:rPr>
                <w:rFonts w:hint="eastAsia"/>
                <w:szCs w:val="21"/>
                <w:highlight w:val="none"/>
              </w:rPr>
              <w:t>2.1.6 资质</w:t>
            </w:r>
          </w:p>
        </w:tc>
        <w:tc>
          <w:tcPr>
            <w:tcW w:w="4489" w:type="dxa"/>
            <w:vAlign w:val="top"/>
          </w:tcPr>
          <w:p>
            <w:pPr>
              <w:spacing w:before="120" w:after="120"/>
              <w:jc w:val="left"/>
              <w:rPr>
                <w:rFonts w:ascii="宋体" w:hAnsi="宋体"/>
                <w:highlight w:val="none"/>
              </w:rPr>
            </w:pPr>
            <w:r>
              <w:rPr>
                <w:rFonts w:hint="eastAsia" w:ascii="宋体" w:hAnsi="宋体"/>
                <w:highlight w:val="none"/>
              </w:rPr>
              <w:t>作为合同签定的条件：</w:t>
            </w:r>
          </w:p>
          <w:p>
            <w:pPr>
              <w:spacing w:before="120" w:after="120"/>
              <w:jc w:val="left"/>
              <w:rPr>
                <w:rFonts w:ascii="宋体" w:hAnsi="宋体"/>
                <w:highlight w:val="none"/>
              </w:rPr>
            </w:pPr>
            <w:r>
              <w:rPr>
                <w:rFonts w:hint="eastAsia" w:ascii="宋体" w:hAnsi="宋体"/>
                <w:highlight w:val="none"/>
              </w:rPr>
              <w:t>1.</w:t>
            </w:r>
            <w:r>
              <w:rPr>
                <w:rFonts w:hint="eastAsia"/>
                <w:highlight w:val="none"/>
              </w:rPr>
              <w:t>田涧沟(解放西路-林园路)治理工程（合同号：</w:t>
            </w:r>
            <w:r>
              <w:rPr>
                <w:rFonts w:hint="eastAsia"/>
                <w:highlight w:val="none"/>
                <w:lang w:eastAsia="zh-CN"/>
              </w:rPr>
              <w:t>JZTJ121A</w:t>
            </w:r>
            <w:r>
              <w:rPr>
                <w:rFonts w:hint="eastAsia"/>
                <w:highlight w:val="none"/>
              </w:rPr>
              <w:t>）</w:t>
            </w:r>
            <w:r>
              <w:rPr>
                <w:rFonts w:hint="eastAsia" w:ascii="宋体" w:hAnsi="宋体"/>
                <w:highlight w:val="none"/>
              </w:rPr>
              <w:t>：施工单位应具有市政公用工程施工总承包二级及以上资质;</w:t>
            </w:r>
          </w:p>
          <w:p>
            <w:pPr>
              <w:spacing w:before="120" w:after="120"/>
              <w:jc w:val="left"/>
              <w:rPr>
                <w:rFonts w:ascii="宋体" w:hAnsi="宋体"/>
                <w:highlight w:val="none"/>
              </w:rPr>
            </w:pPr>
            <w:r>
              <w:rPr>
                <w:rFonts w:hint="eastAsia" w:ascii="宋体" w:hAnsi="宋体"/>
                <w:highlight w:val="none"/>
              </w:rPr>
              <w:t>2.</w:t>
            </w:r>
            <w:r>
              <w:rPr>
                <w:rFonts w:hint="eastAsia"/>
                <w:szCs w:val="21"/>
                <w:highlight w:val="none"/>
              </w:rPr>
              <w:t>田涧沟(林园路-普济河)治理工程（合同号：</w:t>
            </w:r>
            <w:r>
              <w:rPr>
                <w:rFonts w:hint="eastAsia"/>
                <w:szCs w:val="21"/>
                <w:highlight w:val="none"/>
                <w:lang w:eastAsia="zh-CN"/>
              </w:rPr>
              <w:t>JZTJ121B</w:t>
            </w:r>
            <w:r>
              <w:rPr>
                <w:rFonts w:hint="eastAsia"/>
                <w:szCs w:val="21"/>
                <w:highlight w:val="none"/>
              </w:rPr>
              <w:t>）</w:t>
            </w:r>
            <w:r>
              <w:rPr>
                <w:rFonts w:hint="eastAsia" w:ascii="宋体" w:hAnsi="宋体"/>
                <w:highlight w:val="none"/>
              </w:rPr>
              <w:t>:施工单位应具有市政公用工程施工总承包二级及以上资质;</w:t>
            </w:r>
          </w:p>
          <w:p>
            <w:pPr>
              <w:rPr>
                <w:rFonts w:hint="eastAsia"/>
                <w:szCs w:val="21"/>
                <w:highlight w:val="none"/>
              </w:rPr>
            </w:pPr>
            <w:r>
              <w:rPr>
                <w:rFonts w:hint="eastAsia"/>
                <w:highlight w:val="none"/>
              </w:rPr>
              <w:t>此要求对国外投标人</w:t>
            </w:r>
            <w:r>
              <w:rPr>
                <w:rFonts w:hint="eastAsia"/>
                <w:szCs w:val="21"/>
                <w:highlight w:val="none"/>
              </w:rPr>
              <w:t>不适用。</w:t>
            </w:r>
          </w:p>
        </w:tc>
        <w:tc>
          <w:tcPr>
            <w:tcW w:w="1116" w:type="dxa"/>
            <w:vAlign w:val="top"/>
          </w:tcPr>
          <w:p>
            <w:pPr>
              <w:spacing w:before="120" w:after="120"/>
              <w:rPr>
                <w:rFonts w:hint="eastAsia"/>
                <w:szCs w:val="21"/>
                <w:highlight w:val="none"/>
              </w:rPr>
            </w:pPr>
            <w:r>
              <w:rPr>
                <w:rFonts w:hint="eastAsia"/>
                <w:szCs w:val="21"/>
                <w:highlight w:val="none"/>
              </w:rPr>
              <w:t>必须满足要求</w:t>
            </w:r>
          </w:p>
        </w:tc>
        <w:tc>
          <w:tcPr>
            <w:tcW w:w="1853" w:type="dxa"/>
            <w:vAlign w:val="top"/>
          </w:tcPr>
          <w:p>
            <w:pPr>
              <w:spacing w:before="120" w:after="120"/>
              <w:rPr>
                <w:rFonts w:hint="eastAsia"/>
                <w:szCs w:val="21"/>
                <w:highlight w:val="none"/>
              </w:rPr>
            </w:pPr>
            <w:r>
              <w:rPr>
                <w:rFonts w:hint="eastAsia" w:cs="宋体"/>
                <w:highlight w:val="none"/>
              </w:rPr>
              <w:t>已成立或将成立的联合体应满足要求。如果投标人是联合体，组成联合体的成员不能多于</w:t>
            </w:r>
            <w:r>
              <w:rPr>
                <w:highlight w:val="none"/>
              </w:rPr>
              <w:t>2</w:t>
            </w:r>
            <w:r>
              <w:rPr>
                <w:rFonts w:hint="eastAsia" w:cs="宋体"/>
                <w:highlight w:val="none"/>
              </w:rPr>
              <w:t>家，联合体的主办人须</w:t>
            </w:r>
            <w:r>
              <w:rPr>
                <w:rFonts w:hint="eastAsia" w:ascii="宋体" w:hAnsi="宋体"/>
                <w:szCs w:val="21"/>
                <w:highlight w:val="none"/>
              </w:rPr>
              <w:t>具备</w:t>
            </w:r>
            <w:r>
              <w:rPr>
                <w:rFonts w:hint="eastAsia" w:ascii="宋体" w:hAnsi="宋体"/>
                <w:highlight w:val="none"/>
              </w:rPr>
              <w:t>市政公用工程施工总承包二级及以上资质。</w:t>
            </w:r>
          </w:p>
        </w:tc>
        <w:tc>
          <w:tcPr>
            <w:tcW w:w="1387" w:type="dxa"/>
            <w:vAlign w:val="top"/>
          </w:tcPr>
          <w:p>
            <w:pPr>
              <w:spacing w:before="120" w:after="120"/>
              <w:rPr>
                <w:rFonts w:hint="eastAsia"/>
                <w:szCs w:val="21"/>
                <w:highlight w:val="none"/>
              </w:rPr>
            </w:pPr>
            <w:r>
              <w:rPr>
                <w:rFonts w:hint="eastAsia"/>
                <w:szCs w:val="21"/>
                <w:highlight w:val="none"/>
              </w:rPr>
              <w:t>不适用</w:t>
            </w:r>
          </w:p>
        </w:tc>
        <w:tc>
          <w:tcPr>
            <w:tcW w:w="1532" w:type="dxa"/>
            <w:vAlign w:val="top"/>
          </w:tcPr>
          <w:p>
            <w:pPr>
              <w:spacing w:before="120" w:after="120"/>
              <w:rPr>
                <w:rFonts w:hint="eastAsia"/>
                <w:szCs w:val="21"/>
                <w:highlight w:val="none"/>
              </w:rPr>
            </w:pPr>
            <w:r>
              <w:rPr>
                <w:rFonts w:hint="eastAsia"/>
                <w:szCs w:val="21"/>
                <w:highlight w:val="none"/>
              </w:rPr>
              <w:t>必须满足对应于该成员所需完成工作的资质要求</w:t>
            </w:r>
          </w:p>
        </w:tc>
        <w:tc>
          <w:tcPr>
            <w:tcW w:w="1894" w:type="dxa"/>
            <w:vAlign w:val="top"/>
          </w:tcPr>
          <w:p>
            <w:pPr>
              <w:spacing w:before="120" w:after="120"/>
              <w:jc w:val="left"/>
              <w:rPr>
                <w:rFonts w:hint="eastAsia"/>
                <w:szCs w:val="21"/>
                <w:highlight w:val="none"/>
              </w:rPr>
            </w:pPr>
            <w:r>
              <w:rPr>
                <w:rFonts w:hint="eastAsia"/>
                <w:szCs w:val="21"/>
                <w:highlight w:val="none"/>
              </w:rPr>
              <w:t>资质证书复印件</w:t>
            </w:r>
          </w:p>
        </w:tc>
      </w:tr>
    </w:tbl>
    <w:p>
      <w:pPr>
        <w:widowControl/>
        <w:spacing w:before="120" w:after="120" w:line="240" w:lineRule="atLeast"/>
        <w:ind w:firstLine="422"/>
        <w:jc w:val="left"/>
        <w:textAlignment w:val="auto"/>
        <w:rPr>
          <w:b/>
          <w:bCs/>
          <w:szCs w:val="21"/>
        </w:rPr>
        <w:sectPr>
          <w:headerReference r:id="rId10" w:type="default"/>
          <w:footnotePr>
            <w:numRestart w:val="eachPage"/>
          </w:footnotePr>
          <w:endnotePr>
            <w:numFmt w:val="decimal"/>
          </w:endnotePr>
          <w:pgSz w:w="16840" w:h="11907" w:orient="landscape"/>
          <w:pgMar w:top="1797" w:right="1440" w:bottom="1797" w:left="1440" w:header="851" w:footer="992" w:gutter="0"/>
          <w:cols w:space="425" w:num="1"/>
          <w:docGrid w:linePitch="312" w:charSpace="0"/>
        </w:sectPr>
      </w:pPr>
    </w:p>
    <w:tbl>
      <w:tblPr>
        <w:tblStyle w:val="62"/>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500"/>
        <w:gridCol w:w="1080"/>
        <w:gridCol w:w="1800"/>
        <w:gridCol w:w="1350"/>
        <w:gridCol w:w="153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4" w:type="dxa"/>
            <w:vAlign w:val="center"/>
          </w:tcPr>
          <w:p>
            <w:pPr>
              <w:spacing w:before="120" w:after="120"/>
              <w:jc w:val="center"/>
              <w:textAlignment w:val="auto"/>
              <w:rPr>
                <w:b/>
                <w:szCs w:val="21"/>
              </w:rPr>
            </w:pPr>
            <w:r>
              <w:rPr>
                <w:rFonts w:hint="eastAsia"/>
                <w:b/>
                <w:szCs w:val="21"/>
              </w:rPr>
              <w:t>因素</w:t>
            </w:r>
          </w:p>
        </w:tc>
        <w:tc>
          <w:tcPr>
            <w:tcW w:w="12246" w:type="dxa"/>
            <w:gridSpan w:val="6"/>
            <w:vAlign w:val="center"/>
          </w:tcPr>
          <w:p>
            <w:pPr>
              <w:pStyle w:val="5"/>
            </w:pPr>
            <w:bookmarkStart w:id="1013" w:name="_Toc110267653"/>
            <w:bookmarkStart w:id="1014" w:name="_Toc499021786"/>
            <w:bookmarkStart w:id="1015" w:name="_Toc110262725"/>
            <w:bookmarkStart w:id="1016" w:name="_Toc110264380"/>
            <w:bookmarkStart w:id="1017" w:name="_Toc110330778"/>
            <w:bookmarkStart w:id="1018" w:name="_Toc324771986"/>
            <w:bookmarkStart w:id="1019" w:name="_Toc498848208"/>
            <w:bookmarkStart w:id="1020" w:name="_Toc324772202"/>
            <w:bookmarkStart w:id="1021" w:name="_Toc171063115"/>
            <w:bookmarkStart w:id="1022" w:name="_Toc110263919"/>
            <w:bookmarkStart w:id="1023" w:name="_Toc499023469"/>
            <w:bookmarkStart w:id="1024" w:name="_Toc498339861"/>
            <w:bookmarkStart w:id="1025" w:name="_Toc501529951"/>
            <w:bookmarkStart w:id="1026" w:name="_Toc23215165"/>
            <w:bookmarkStart w:id="1027" w:name="_Toc77969923"/>
            <w:bookmarkStart w:id="1028" w:name="_Toc503874229"/>
            <w:bookmarkStart w:id="1029" w:name="_Toc391287334"/>
            <w:bookmarkStart w:id="1030" w:name="_Toc169103252"/>
            <w:r>
              <w:t>2.2</w:t>
            </w:r>
            <w:r>
              <w:rPr>
                <w:rFonts w:hint="eastAsia"/>
              </w:rPr>
              <w:t>未履行合同记录</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4" w:type="dxa"/>
            <w:vMerge w:val="restart"/>
            <w:vAlign w:val="center"/>
          </w:tcPr>
          <w:p>
            <w:pPr>
              <w:pStyle w:val="90"/>
              <w:spacing w:before="120" w:after="120"/>
              <w:rPr>
                <w:rFonts w:ascii="Times New Roman" w:hAnsi="Times New Roman"/>
                <w:b w:val="0"/>
                <w:sz w:val="21"/>
                <w:szCs w:val="21"/>
                <w:lang w:val="en-US"/>
              </w:rPr>
            </w:pPr>
            <w:bookmarkStart w:id="1031" w:name="_Toc110267654"/>
            <w:bookmarkStart w:id="1032" w:name="_Toc110264381"/>
            <w:bookmarkStart w:id="1033" w:name="_Toc110262726"/>
            <w:bookmarkStart w:id="1034" w:name="_Toc110330779"/>
            <w:bookmarkStart w:id="1035" w:name="_Toc110263920"/>
            <w:r>
              <w:rPr>
                <w:rFonts w:hint="eastAsia" w:ascii="Times New Roman" w:hAnsi="Times New Roman"/>
                <w:sz w:val="21"/>
                <w:szCs w:val="21"/>
                <w:lang w:val="en-US" w:eastAsia="zh-CN"/>
              </w:rPr>
              <w:t>子因素</w:t>
            </w:r>
            <w:bookmarkEnd w:id="1031"/>
            <w:bookmarkEnd w:id="1032"/>
            <w:bookmarkEnd w:id="1033"/>
            <w:bookmarkEnd w:id="1034"/>
            <w:bookmarkEnd w:id="1035"/>
          </w:p>
        </w:tc>
        <w:tc>
          <w:tcPr>
            <w:tcW w:w="10262" w:type="dxa"/>
            <w:gridSpan w:val="5"/>
          </w:tcPr>
          <w:p>
            <w:pPr>
              <w:pStyle w:val="90"/>
              <w:spacing w:before="120" w:after="120"/>
              <w:rPr>
                <w:rFonts w:ascii="Times New Roman" w:hAnsi="Times New Roman"/>
                <w:sz w:val="21"/>
                <w:szCs w:val="21"/>
                <w:lang w:val="en-US" w:eastAsia="zh-CN"/>
              </w:rPr>
            </w:pPr>
            <w:bookmarkStart w:id="1036" w:name="_Toc110262727"/>
            <w:bookmarkStart w:id="1037" w:name="_Toc110267655"/>
            <w:bookmarkStart w:id="1038" w:name="_Toc110330780"/>
            <w:bookmarkStart w:id="1039" w:name="_Toc110264382"/>
            <w:bookmarkStart w:id="1040" w:name="_Toc110263921"/>
            <w:r>
              <w:rPr>
                <w:rFonts w:hint="eastAsia" w:ascii="Times New Roman" w:hAnsi="Times New Roman"/>
                <w:sz w:val="21"/>
                <w:szCs w:val="21"/>
                <w:lang w:val="en-US" w:eastAsia="zh-CN"/>
              </w:rPr>
              <w:t>标准</w:t>
            </w:r>
            <w:bookmarkEnd w:id="1036"/>
            <w:bookmarkEnd w:id="1037"/>
            <w:bookmarkEnd w:id="1038"/>
            <w:bookmarkEnd w:id="1039"/>
            <w:bookmarkEnd w:id="1040"/>
          </w:p>
        </w:tc>
        <w:tc>
          <w:tcPr>
            <w:tcW w:w="1984" w:type="dxa"/>
            <w:vMerge w:val="restart"/>
            <w:vAlign w:val="center"/>
          </w:tcPr>
          <w:p>
            <w:pPr>
              <w:pStyle w:val="90"/>
              <w:spacing w:before="120" w:after="120"/>
              <w:rPr>
                <w:rFonts w:ascii="Times New Roman" w:hAnsi="Times New Roman"/>
                <w:sz w:val="21"/>
                <w:szCs w:val="21"/>
                <w:lang w:val="en-US" w:eastAsia="zh-CN"/>
              </w:rPr>
            </w:pPr>
            <w:bookmarkStart w:id="1041" w:name="_Toc110267656"/>
            <w:bookmarkStart w:id="1042" w:name="_Toc110264383"/>
            <w:bookmarkStart w:id="1043" w:name="_Toc110262728"/>
            <w:bookmarkStart w:id="1044" w:name="_Toc110263922"/>
            <w:bookmarkStart w:id="1045" w:name="_Toc110330781"/>
            <w:r>
              <w:rPr>
                <w:rFonts w:hint="eastAsia" w:ascii="Times New Roman" w:hAnsi="Times New Roman"/>
                <w:sz w:val="21"/>
                <w:szCs w:val="21"/>
                <w:lang w:val="en-US" w:eastAsia="zh-CN"/>
              </w:rPr>
              <w:t>要求投标人提交的文件</w:t>
            </w:r>
            <w:bookmarkEnd w:id="1041"/>
            <w:bookmarkEnd w:id="1042"/>
            <w:bookmarkEnd w:id="1043"/>
            <w:bookmarkEnd w:id="1044"/>
            <w:bookmarkEnd w:id="10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4" w:type="dxa"/>
            <w:vMerge w:val="continue"/>
          </w:tcPr>
          <w:p>
            <w:pPr>
              <w:spacing w:before="120" w:after="120"/>
              <w:jc w:val="center"/>
              <w:textAlignment w:val="auto"/>
              <w:rPr>
                <w:b/>
                <w:szCs w:val="21"/>
              </w:rPr>
            </w:pPr>
          </w:p>
        </w:tc>
        <w:tc>
          <w:tcPr>
            <w:tcW w:w="4500" w:type="dxa"/>
            <w:vMerge w:val="restart"/>
            <w:vAlign w:val="center"/>
          </w:tcPr>
          <w:p>
            <w:pPr>
              <w:pStyle w:val="90"/>
              <w:spacing w:before="120" w:after="120"/>
              <w:rPr>
                <w:rFonts w:ascii="Times New Roman" w:hAnsi="Times New Roman"/>
                <w:sz w:val="21"/>
                <w:szCs w:val="21"/>
                <w:lang w:val="en-US"/>
              </w:rPr>
            </w:pPr>
            <w:bookmarkStart w:id="1046" w:name="_Toc110263923"/>
            <w:bookmarkStart w:id="1047" w:name="_Toc110262729"/>
            <w:bookmarkStart w:id="1048" w:name="_Toc110264384"/>
            <w:bookmarkStart w:id="1049" w:name="_Toc110330782"/>
            <w:bookmarkStart w:id="1050" w:name="_Toc110267657"/>
            <w:r>
              <w:rPr>
                <w:rFonts w:hint="eastAsia" w:ascii="Times New Roman" w:hAnsi="Times New Roman"/>
                <w:sz w:val="21"/>
                <w:szCs w:val="21"/>
                <w:lang w:val="en-US" w:eastAsia="zh-CN"/>
              </w:rPr>
              <w:t>要求</w:t>
            </w:r>
            <w:bookmarkEnd w:id="1046"/>
            <w:bookmarkEnd w:id="1047"/>
            <w:bookmarkEnd w:id="1048"/>
            <w:bookmarkEnd w:id="1049"/>
            <w:bookmarkEnd w:id="1050"/>
          </w:p>
        </w:tc>
        <w:tc>
          <w:tcPr>
            <w:tcW w:w="5762" w:type="dxa"/>
            <w:gridSpan w:val="4"/>
          </w:tcPr>
          <w:p>
            <w:pPr>
              <w:pStyle w:val="90"/>
              <w:spacing w:before="120" w:after="120"/>
              <w:rPr>
                <w:rFonts w:ascii="Times New Roman" w:hAnsi="Times New Roman"/>
                <w:sz w:val="21"/>
                <w:szCs w:val="21"/>
                <w:lang w:val="en-US"/>
              </w:rPr>
            </w:pPr>
            <w:bookmarkStart w:id="1051" w:name="_Toc110264385"/>
            <w:bookmarkStart w:id="1052" w:name="_Toc110267658"/>
            <w:bookmarkStart w:id="1053" w:name="_Toc110262730"/>
            <w:bookmarkStart w:id="1054" w:name="_Toc110330783"/>
            <w:bookmarkStart w:id="1055" w:name="_Toc110263924"/>
            <w:r>
              <w:rPr>
                <w:rFonts w:hint="eastAsia" w:ascii="Times New Roman" w:hAnsi="Times New Roman"/>
                <w:sz w:val="21"/>
                <w:szCs w:val="21"/>
                <w:lang w:val="en-US" w:eastAsia="zh-CN"/>
              </w:rPr>
              <w:t>投标人</w:t>
            </w:r>
            <w:bookmarkEnd w:id="1051"/>
            <w:bookmarkEnd w:id="1052"/>
            <w:bookmarkEnd w:id="1053"/>
            <w:bookmarkEnd w:id="1054"/>
            <w:bookmarkEnd w:id="1055"/>
          </w:p>
        </w:tc>
        <w:tc>
          <w:tcPr>
            <w:tcW w:w="1984" w:type="dxa"/>
            <w:vMerge w:val="continue"/>
          </w:tcPr>
          <w:p>
            <w:pPr>
              <w:spacing w:before="120" w:after="120"/>
              <w:ind w:left="36"/>
              <w:jc w:val="center"/>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4" w:type="dxa"/>
            <w:vMerge w:val="continue"/>
          </w:tcPr>
          <w:p>
            <w:pPr>
              <w:spacing w:before="120" w:after="120"/>
              <w:textAlignment w:val="auto"/>
              <w:rPr>
                <w:b/>
                <w:szCs w:val="21"/>
              </w:rPr>
            </w:pPr>
          </w:p>
        </w:tc>
        <w:tc>
          <w:tcPr>
            <w:tcW w:w="4500" w:type="dxa"/>
            <w:vMerge w:val="continue"/>
          </w:tcPr>
          <w:p>
            <w:pPr>
              <w:spacing w:before="120" w:after="120"/>
              <w:textAlignment w:val="auto"/>
              <w:rPr>
                <w:b/>
                <w:szCs w:val="21"/>
              </w:rPr>
            </w:pPr>
          </w:p>
        </w:tc>
        <w:tc>
          <w:tcPr>
            <w:tcW w:w="1080" w:type="dxa"/>
            <w:vMerge w:val="restart"/>
            <w:vAlign w:val="center"/>
          </w:tcPr>
          <w:p>
            <w:pPr>
              <w:spacing w:before="120" w:after="120"/>
              <w:jc w:val="center"/>
              <w:textAlignment w:val="auto"/>
              <w:rPr>
                <w:b/>
                <w:szCs w:val="21"/>
              </w:rPr>
            </w:pPr>
            <w:r>
              <w:rPr>
                <w:rFonts w:hint="eastAsia"/>
                <w:b/>
                <w:szCs w:val="21"/>
              </w:rPr>
              <w:t>单一实体</w:t>
            </w:r>
          </w:p>
        </w:tc>
        <w:tc>
          <w:tcPr>
            <w:tcW w:w="4682" w:type="dxa"/>
            <w:gridSpan w:val="3"/>
          </w:tcPr>
          <w:p>
            <w:pPr>
              <w:pStyle w:val="90"/>
              <w:spacing w:before="120" w:after="120"/>
              <w:rPr>
                <w:rFonts w:ascii="Times New Roman" w:hAnsi="Times New Roman"/>
                <w:sz w:val="21"/>
                <w:szCs w:val="21"/>
                <w:lang w:val="en-US" w:eastAsia="zh-CN"/>
              </w:rPr>
            </w:pPr>
            <w:bookmarkStart w:id="1056" w:name="_Toc110267659"/>
            <w:bookmarkStart w:id="1057" w:name="_Toc110264386"/>
            <w:bookmarkStart w:id="1058" w:name="_Toc110262731"/>
            <w:bookmarkStart w:id="1059" w:name="_Toc110330784"/>
            <w:bookmarkStart w:id="1060" w:name="_Toc110263925"/>
            <w:r>
              <w:rPr>
                <w:rFonts w:hint="eastAsia" w:ascii="Times New Roman" w:hAnsi="Times New Roman"/>
                <w:sz w:val="21"/>
                <w:szCs w:val="21"/>
                <w:lang w:val="en-US" w:eastAsia="zh-CN"/>
              </w:rPr>
              <w:t>联合体</w:t>
            </w:r>
            <w:bookmarkEnd w:id="1056"/>
            <w:bookmarkEnd w:id="1057"/>
            <w:bookmarkEnd w:id="1058"/>
            <w:bookmarkEnd w:id="1059"/>
            <w:bookmarkEnd w:id="1060"/>
          </w:p>
        </w:tc>
        <w:tc>
          <w:tcPr>
            <w:tcW w:w="1984" w:type="dxa"/>
            <w:vMerge w:val="continue"/>
          </w:tcPr>
          <w:p>
            <w:pPr>
              <w:spacing w:before="120" w:after="120"/>
              <w:ind w:left="36"/>
              <w:jc w:val="center"/>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4" w:type="dxa"/>
            <w:vMerge w:val="continue"/>
          </w:tcPr>
          <w:p>
            <w:pPr>
              <w:spacing w:before="120" w:after="120"/>
              <w:textAlignment w:val="auto"/>
              <w:rPr>
                <w:b/>
                <w:szCs w:val="21"/>
              </w:rPr>
            </w:pPr>
          </w:p>
        </w:tc>
        <w:tc>
          <w:tcPr>
            <w:tcW w:w="4500" w:type="dxa"/>
            <w:vMerge w:val="continue"/>
          </w:tcPr>
          <w:p>
            <w:pPr>
              <w:spacing w:before="120" w:after="120"/>
              <w:textAlignment w:val="auto"/>
              <w:rPr>
                <w:b/>
                <w:szCs w:val="21"/>
              </w:rPr>
            </w:pPr>
          </w:p>
        </w:tc>
        <w:tc>
          <w:tcPr>
            <w:tcW w:w="1080" w:type="dxa"/>
            <w:vMerge w:val="continue"/>
          </w:tcPr>
          <w:p>
            <w:pPr>
              <w:spacing w:before="120" w:after="120"/>
              <w:ind w:left="36"/>
              <w:jc w:val="center"/>
              <w:textAlignment w:val="auto"/>
              <w:rPr>
                <w:b/>
                <w:szCs w:val="21"/>
              </w:rPr>
            </w:pPr>
          </w:p>
        </w:tc>
        <w:tc>
          <w:tcPr>
            <w:tcW w:w="1800" w:type="dxa"/>
            <w:vAlign w:val="center"/>
          </w:tcPr>
          <w:p>
            <w:pPr>
              <w:spacing w:before="120" w:after="120"/>
              <w:jc w:val="center"/>
              <w:textAlignment w:val="auto"/>
              <w:rPr>
                <w:b/>
                <w:szCs w:val="21"/>
              </w:rPr>
            </w:pPr>
            <w:r>
              <w:rPr>
                <w:rFonts w:hint="eastAsia"/>
                <w:b/>
                <w:szCs w:val="21"/>
              </w:rPr>
              <w:t>全体成员合计</w:t>
            </w:r>
          </w:p>
        </w:tc>
        <w:tc>
          <w:tcPr>
            <w:tcW w:w="1350" w:type="dxa"/>
            <w:vAlign w:val="center"/>
          </w:tcPr>
          <w:p>
            <w:pPr>
              <w:pStyle w:val="90"/>
              <w:spacing w:before="120" w:after="120"/>
              <w:rPr>
                <w:rFonts w:ascii="Times New Roman" w:hAnsi="Times New Roman"/>
                <w:sz w:val="21"/>
                <w:szCs w:val="21"/>
                <w:lang w:val="en-US"/>
              </w:rPr>
            </w:pPr>
            <w:bookmarkStart w:id="1061" w:name="_Toc110267660"/>
            <w:bookmarkStart w:id="1062" w:name="_Toc110330785"/>
            <w:bookmarkStart w:id="1063" w:name="_Toc110264387"/>
            <w:bookmarkStart w:id="1064" w:name="_Toc110262732"/>
            <w:bookmarkStart w:id="1065" w:name="_Toc110263926"/>
            <w:r>
              <w:rPr>
                <w:rFonts w:hint="eastAsia" w:ascii="Times New Roman" w:hAnsi="Times New Roman"/>
                <w:sz w:val="21"/>
                <w:szCs w:val="21"/>
                <w:lang w:val="en-US" w:eastAsia="zh-CN"/>
              </w:rPr>
              <w:t>每一个成员</w:t>
            </w:r>
            <w:bookmarkEnd w:id="1061"/>
            <w:bookmarkEnd w:id="1062"/>
            <w:bookmarkEnd w:id="1063"/>
            <w:bookmarkEnd w:id="1064"/>
            <w:bookmarkEnd w:id="1065"/>
          </w:p>
        </w:tc>
        <w:tc>
          <w:tcPr>
            <w:tcW w:w="1532" w:type="dxa"/>
            <w:vAlign w:val="center"/>
          </w:tcPr>
          <w:p>
            <w:pPr>
              <w:spacing w:before="120" w:after="120"/>
              <w:jc w:val="center"/>
              <w:textAlignment w:val="auto"/>
              <w:rPr>
                <w:b/>
                <w:szCs w:val="21"/>
              </w:rPr>
            </w:pPr>
            <w:r>
              <w:rPr>
                <w:rFonts w:hint="eastAsia"/>
                <w:b/>
                <w:szCs w:val="21"/>
              </w:rPr>
              <w:t>至少一个成员</w:t>
            </w:r>
          </w:p>
        </w:tc>
        <w:tc>
          <w:tcPr>
            <w:tcW w:w="1984" w:type="dxa"/>
            <w:vMerge w:val="continue"/>
          </w:tcPr>
          <w:p>
            <w:pPr>
              <w:spacing w:before="120" w:after="120"/>
              <w:ind w:left="36"/>
              <w:jc w:val="center"/>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tcPr>
          <w:p>
            <w:pPr>
              <w:spacing w:before="120" w:after="120"/>
              <w:jc w:val="left"/>
              <w:textAlignment w:val="auto"/>
              <w:rPr>
                <w:szCs w:val="21"/>
              </w:rPr>
            </w:pPr>
            <w:bookmarkStart w:id="1066" w:name="_Toc496968124"/>
            <w:r>
              <w:rPr>
                <w:szCs w:val="21"/>
              </w:rPr>
              <w:t>2.2.1未履行合同记录</w:t>
            </w:r>
            <w:bookmarkEnd w:id="1066"/>
          </w:p>
        </w:tc>
        <w:tc>
          <w:tcPr>
            <w:tcW w:w="4500" w:type="dxa"/>
          </w:tcPr>
          <w:p>
            <w:pPr>
              <w:pStyle w:val="27"/>
              <w:spacing w:before="120" w:after="120"/>
              <w:ind w:firstLine="0"/>
              <w:rPr>
                <w:rFonts w:eastAsia="宋体"/>
                <w:sz w:val="21"/>
                <w:szCs w:val="21"/>
                <w:lang w:val="en-US" w:eastAsia="zh-CN"/>
              </w:rPr>
            </w:pPr>
            <w:r>
              <w:rPr>
                <w:rFonts w:eastAsia="宋体"/>
                <w:sz w:val="21"/>
                <w:szCs w:val="21"/>
                <w:lang w:val="en-US" w:eastAsia="zh-CN"/>
              </w:rPr>
              <w:t>根据完全解决的</w:t>
            </w:r>
            <w:r>
              <w:rPr>
                <w:rFonts w:hint="eastAsia" w:eastAsia="宋体"/>
                <w:sz w:val="21"/>
                <w:szCs w:val="21"/>
                <w:lang w:val="en-US" w:eastAsia="zh-CN"/>
              </w:rPr>
              <w:t>争端</w:t>
            </w:r>
            <w:r>
              <w:rPr>
                <w:rFonts w:eastAsia="宋体"/>
                <w:sz w:val="21"/>
                <w:szCs w:val="21"/>
                <w:lang w:val="en-US" w:eastAsia="zh-CN"/>
              </w:rPr>
              <w:t>或诉讼信息，投标截止时间前5年内</w:t>
            </w:r>
            <w:r>
              <w:rPr>
                <w:rFonts w:hint="eastAsia" w:eastAsia="宋体"/>
                <w:sz w:val="21"/>
                <w:szCs w:val="21"/>
                <w:lang w:val="en-US" w:eastAsia="zh-CN"/>
              </w:rPr>
              <w:t>投标人</w:t>
            </w:r>
            <w:r>
              <w:rPr>
                <w:rFonts w:eastAsia="宋体"/>
                <w:sz w:val="21"/>
                <w:szCs w:val="21"/>
                <w:lang w:val="en-US" w:eastAsia="zh-CN"/>
              </w:rPr>
              <w:t>没有发生过</w:t>
            </w:r>
            <w:r>
              <w:rPr>
                <w:rFonts w:hint="eastAsia" w:eastAsia="宋体"/>
                <w:sz w:val="21"/>
                <w:szCs w:val="21"/>
                <w:lang w:val="en-US" w:eastAsia="zh-CN"/>
              </w:rPr>
              <w:t>承包商土建合同未履约记录</w:t>
            </w:r>
            <w:r>
              <w:rPr>
                <w:rFonts w:eastAsia="宋体"/>
                <w:sz w:val="21"/>
                <w:szCs w:val="21"/>
                <w:lang w:val="en-US" w:eastAsia="zh-CN"/>
              </w:rPr>
              <w:t>。完全解决的</w:t>
            </w:r>
            <w:r>
              <w:rPr>
                <w:rFonts w:hint="eastAsia" w:eastAsia="宋体"/>
                <w:sz w:val="21"/>
                <w:szCs w:val="21"/>
                <w:lang w:val="en-US" w:eastAsia="zh-CN"/>
              </w:rPr>
              <w:t>争端</w:t>
            </w:r>
            <w:r>
              <w:rPr>
                <w:rFonts w:eastAsia="宋体"/>
                <w:sz w:val="21"/>
                <w:szCs w:val="21"/>
                <w:lang w:val="en-US" w:eastAsia="zh-CN"/>
              </w:rPr>
              <w:t>或诉讼是指</w:t>
            </w:r>
            <w:r>
              <w:rPr>
                <w:rFonts w:hint="eastAsia" w:eastAsia="宋体"/>
                <w:sz w:val="21"/>
                <w:szCs w:val="21"/>
                <w:lang w:val="en-US" w:eastAsia="zh-CN"/>
              </w:rPr>
              <w:t>争端</w:t>
            </w:r>
            <w:r>
              <w:rPr>
                <w:rFonts w:eastAsia="宋体"/>
                <w:sz w:val="21"/>
                <w:szCs w:val="21"/>
                <w:lang w:val="en-US" w:eastAsia="zh-CN"/>
              </w:rPr>
              <w:t>或诉讼已根据有关合同的争端解决机制</w:t>
            </w:r>
            <w:r>
              <w:rPr>
                <w:rFonts w:hint="eastAsia" w:eastAsia="宋体"/>
                <w:sz w:val="21"/>
                <w:szCs w:val="21"/>
                <w:lang w:val="en-US" w:eastAsia="zh-CN"/>
              </w:rPr>
              <w:t>（包括仲裁）</w:t>
            </w:r>
            <w:r>
              <w:rPr>
                <w:rFonts w:eastAsia="宋体"/>
                <w:sz w:val="21"/>
                <w:szCs w:val="21"/>
                <w:lang w:val="en-US" w:eastAsia="zh-CN"/>
              </w:rPr>
              <w:t>得以解决，并且投标人</w:t>
            </w:r>
            <w:r>
              <w:rPr>
                <w:rFonts w:hint="eastAsia" w:eastAsia="宋体"/>
                <w:sz w:val="21"/>
                <w:szCs w:val="21"/>
                <w:lang w:val="en-US" w:eastAsia="zh-CN"/>
              </w:rPr>
              <w:t>不再有任何上诉空间或者上诉机会</w:t>
            </w:r>
            <w:r>
              <w:rPr>
                <w:rFonts w:eastAsia="宋体"/>
                <w:sz w:val="21"/>
                <w:szCs w:val="21"/>
                <w:lang w:val="en-US" w:eastAsia="zh-CN"/>
              </w:rPr>
              <w:t>。</w:t>
            </w:r>
          </w:p>
        </w:tc>
        <w:tc>
          <w:tcPr>
            <w:tcW w:w="1080" w:type="dxa"/>
          </w:tcPr>
          <w:p>
            <w:pPr>
              <w:pStyle w:val="27"/>
              <w:spacing w:before="120" w:after="120"/>
              <w:ind w:firstLine="0"/>
              <w:rPr>
                <w:rFonts w:eastAsia="宋体"/>
                <w:szCs w:val="21"/>
                <w:lang w:val="en-US" w:eastAsia="zh-CN"/>
              </w:rPr>
            </w:pPr>
            <w:r>
              <w:rPr>
                <w:rFonts w:eastAsia="宋体"/>
                <w:sz w:val="21"/>
                <w:szCs w:val="21"/>
                <w:lang w:val="en-US" w:eastAsia="zh-CN"/>
              </w:rPr>
              <w:t>自身或作为过去或现有联合体的成员</w:t>
            </w:r>
            <w:r>
              <w:rPr>
                <w:rFonts w:eastAsia="宋体"/>
                <w:szCs w:val="21"/>
                <w:lang w:val="en-US" w:eastAsia="zh-CN"/>
              </w:rPr>
              <w:t>，必须满足要求</w:t>
            </w:r>
          </w:p>
        </w:tc>
        <w:tc>
          <w:tcPr>
            <w:tcW w:w="1800" w:type="dxa"/>
          </w:tcPr>
          <w:p>
            <w:pPr>
              <w:spacing w:before="120" w:after="120"/>
              <w:jc w:val="center"/>
              <w:textAlignment w:val="auto"/>
              <w:rPr>
                <w:szCs w:val="21"/>
              </w:rPr>
            </w:pPr>
            <w:r>
              <w:rPr>
                <w:szCs w:val="21"/>
              </w:rPr>
              <w:t>不适用</w:t>
            </w:r>
          </w:p>
        </w:tc>
        <w:tc>
          <w:tcPr>
            <w:tcW w:w="1350" w:type="dxa"/>
          </w:tcPr>
          <w:p>
            <w:pPr>
              <w:spacing w:before="120" w:after="120"/>
              <w:jc w:val="left"/>
              <w:textAlignment w:val="auto"/>
              <w:rPr>
                <w:szCs w:val="21"/>
              </w:rPr>
            </w:pPr>
            <w:r>
              <w:rPr>
                <w:szCs w:val="21"/>
              </w:rPr>
              <w:t>自身或作为过去或现有联合体的成员，必须满足要求</w:t>
            </w:r>
          </w:p>
        </w:tc>
        <w:tc>
          <w:tcPr>
            <w:tcW w:w="1532" w:type="dxa"/>
          </w:tcPr>
          <w:p>
            <w:pPr>
              <w:spacing w:before="120" w:after="120"/>
              <w:jc w:val="left"/>
              <w:textAlignment w:val="auto"/>
              <w:rPr>
                <w:szCs w:val="21"/>
                <w:lang w:val="pt-BR"/>
              </w:rPr>
            </w:pPr>
            <w:r>
              <w:rPr>
                <w:szCs w:val="21"/>
              </w:rPr>
              <w:t>不适用</w:t>
            </w:r>
          </w:p>
        </w:tc>
        <w:tc>
          <w:tcPr>
            <w:tcW w:w="1984" w:type="dxa"/>
          </w:tcPr>
          <w:p>
            <w:pPr>
              <w:spacing w:before="120" w:after="120"/>
              <w:jc w:val="left"/>
              <w:textAlignment w:val="auto"/>
              <w:rPr>
                <w:szCs w:val="21"/>
                <w:lang w:val="pt-BR"/>
              </w:rPr>
            </w:pPr>
            <w:r>
              <w:rPr>
                <w:szCs w:val="21"/>
                <w:lang w:val="pt-BR"/>
              </w:rPr>
              <w:t>表格CON-</w:t>
            </w:r>
            <w:r>
              <w:rPr>
                <w:rFonts w:hint="eastAsia"/>
                <w:szCs w:val="21"/>
                <w:lang w:val="pt-B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tcPr>
          <w:p>
            <w:pPr>
              <w:spacing w:before="120" w:after="120"/>
              <w:jc w:val="left"/>
              <w:textAlignment w:val="auto"/>
            </w:pPr>
            <w:bookmarkStart w:id="1067" w:name="_Toc496968125"/>
            <w:r>
              <w:t>2.2.2</w:t>
            </w:r>
            <w:r>
              <w:rPr>
                <w:szCs w:val="21"/>
              </w:rPr>
              <w:t>未决</w:t>
            </w:r>
            <w:r>
              <w:t>诉讼</w:t>
            </w:r>
            <w:bookmarkEnd w:id="1067"/>
          </w:p>
        </w:tc>
        <w:tc>
          <w:tcPr>
            <w:tcW w:w="4500" w:type="dxa"/>
          </w:tcPr>
          <w:p>
            <w:pPr>
              <w:pStyle w:val="27"/>
              <w:spacing w:before="120" w:after="120"/>
              <w:ind w:firstLine="0"/>
              <w:rPr>
                <w:rFonts w:eastAsia="宋体"/>
                <w:sz w:val="21"/>
                <w:szCs w:val="21"/>
                <w:lang w:val="en-US" w:eastAsia="zh-CN"/>
              </w:rPr>
            </w:pPr>
            <w:bookmarkStart w:id="1068" w:name="_Hlk111043502"/>
            <w:r>
              <w:rPr>
                <w:rFonts w:eastAsia="宋体"/>
                <w:sz w:val="21"/>
                <w:szCs w:val="21"/>
                <w:lang w:val="en-US"/>
              </w:rPr>
              <w:t>所有未决诉讼</w:t>
            </w:r>
            <w:r>
              <w:rPr>
                <w:rFonts w:hint="eastAsia" w:eastAsia="宋体"/>
                <w:sz w:val="21"/>
                <w:szCs w:val="21"/>
                <w:lang w:val="en-US"/>
              </w:rPr>
              <w:t>和仲裁</w:t>
            </w:r>
            <w:r>
              <w:rPr>
                <w:rFonts w:eastAsia="宋体"/>
                <w:sz w:val="21"/>
                <w:szCs w:val="21"/>
                <w:lang w:val="en-US"/>
              </w:rPr>
              <w:t>总额不得超过投标人净资产的</w:t>
            </w:r>
            <w:r>
              <w:rPr>
                <w:rFonts w:hint="eastAsia" w:eastAsia="宋体"/>
                <w:szCs w:val="21"/>
                <w:lang w:val="en-US"/>
              </w:rPr>
              <w:t>50</w:t>
            </w:r>
            <w:r>
              <w:rPr>
                <w:szCs w:val="21"/>
              </w:rPr>
              <w:t>%</w:t>
            </w:r>
            <w:bookmarkEnd w:id="1068"/>
            <w:r>
              <w:rPr>
                <w:rFonts w:hint="eastAsia" w:eastAsia="宋体"/>
                <w:sz w:val="21"/>
                <w:szCs w:val="21"/>
                <w:lang w:val="en-US"/>
              </w:rPr>
              <w:t>。所有未决诉讼均按照投标人败诉进行统计</w:t>
            </w:r>
            <w:r>
              <w:rPr>
                <w:rFonts w:hint="eastAsia" w:eastAsia="宋体"/>
                <w:sz w:val="21"/>
                <w:szCs w:val="21"/>
                <w:lang w:val="en-US" w:eastAsia="zh-CN"/>
              </w:rPr>
              <w:t>。</w:t>
            </w:r>
          </w:p>
        </w:tc>
        <w:tc>
          <w:tcPr>
            <w:tcW w:w="1080" w:type="dxa"/>
          </w:tcPr>
          <w:p>
            <w:pPr>
              <w:pStyle w:val="27"/>
              <w:spacing w:before="120" w:after="120"/>
              <w:ind w:firstLine="0"/>
              <w:rPr>
                <w:rFonts w:eastAsia="宋体"/>
                <w:szCs w:val="21"/>
                <w:lang w:val="en-US" w:eastAsia="zh-CN"/>
              </w:rPr>
            </w:pPr>
            <w:r>
              <w:rPr>
                <w:rFonts w:eastAsia="宋体"/>
                <w:sz w:val="21"/>
                <w:szCs w:val="21"/>
                <w:lang w:val="en-US" w:eastAsia="zh-CN"/>
              </w:rPr>
              <w:t>自身作为过去或现有联合体的成员</w:t>
            </w:r>
            <w:r>
              <w:rPr>
                <w:rFonts w:eastAsia="宋体"/>
                <w:szCs w:val="21"/>
                <w:lang w:val="en-US" w:eastAsia="zh-CN"/>
              </w:rPr>
              <w:t>，必须满足要求</w:t>
            </w:r>
          </w:p>
        </w:tc>
        <w:tc>
          <w:tcPr>
            <w:tcW w:w="1800" w:type="dxa"/>
          </w:tcPr>
          <w:p>
            <w:pPr>
              <w:spacing w:before="120" w:after="120"/>
              <w:jc w:val="center"/>
              <w:textAlignment w:val="auto"/>
              <w:rPr>
                <w:szCs w:val="21"/>
              </w:rPr>
            </w:pPr>
            <w:r>
              <w:rPr>
                <w:szCs w:val="21"/>
              </w:rPr>
              <w:t>不适用</w:t>
            </w:r>
          </w:p>
        </w:tc>
        <w:tc>
          <w:tcPr>
            <w:tcW w:w="1350" w:type="dxa"/>
          </w:tcPr>
          <w:p>
            <w:pPr>
              <w:spacing w:before="120" w:after="120"/>
              <w:jc w:val="left"/>
              <w:textAlignment w:val="auto"/>
              <w:rPr>
                <w:szCs w:val="21"/>
              </w:rPr>
            </w:pPr>
            <w:r>
              <w:rPr>
                <w:szCs w:val="21"/>
              </w:rPr>
              <w:t>自身或作为过去或现有联合体的成员，必须满足要求</w:t>
            </w:r>
          </w:p>
        </w:tc>
        <w:tc>
          <w:tcPr>
            <w:tcW w:w="1532" w:type="dxa"/>
          </w:tcPr>
          <w:p>
            <w:pPr>
              <w:spacing w:before="120" w:after="120"/>
              <w:jc w:val="left"/>
              <w:textAlignment w:val="auto"/>
              <w:rPr>
                <w:szCs w:val="21"/>
                <w:lang w:val="pt-BR"/>
              </w:rPr>
            </w:pPr>
            <w:r>
              <w:rPr>
                <w:szCs w:val="21"/>
              </w:rPr>
              <w:t>不适用</w:t>
            </w:r>
          </w:p>
        </w:tc>
        <w:tc>
          <w:tcPr>
            <w:tcW w:w="1984" w:type="dxa"/>
          </w:tcPr>
          <w:p>
            <w:pPr>
              <w:spacing w:before="120" w:after="120"/>
              <w:jc w:val="left"/>
              <w:textAlignment w:val="auto"/>
              <w:rPr>
                <w:szCs w:val="21"/>
                <w:lang w:val="pt-BR"/>
              </w:rPr>
            </w:pPr>
            <w:r>
              <w:rPr>
                <w:szCs w:val="21"/>
                <w:lang w:val="pt-BR"/>
              </w:rPr>
              <w:t>表格CON-</w:t>
            </w:r>
            <w:r>
              <w:rPr>
                <w:rFonts w:hint="eastAsia"/>
                <w:szCs w:val="21"/>
                <w:lang w:val="pt-B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tcPr>
          <w:p>
            <w:pPr>
              <w:spacing w:before="120" w:after="120"/>
              <w:jc w:val="left"/>
              <w:textAlignment w:val="auto"/>
              <w:rPr>
                <w:highlight w:val="none"/>
              </w:rPr>
            </w:pPr>
            <w:r>
              <w:rPr>
                <w:rFonts w:hint="eastAsia"/>
                <w:highlight w:val="none"/>
              </w:rPr>
              <w:t>2.2.3</w:t>
            </w:r>
            <w:r>
              <w:rPr>
                <w:highlight w:val="none"/>
              </w:rPr>
              <w:t xml:space="preserve"> </w:t>
            </w:r>
            <w:r>
              <w:rPr>
                <w:rFonts w:hint="eastAsia"/>
                <w:highlight w:val="none"/>
              </w:rPr>
              <w:t>申报</w:t>
            </w:r>
            <w:r>
              <w:rPr>
                <w:rFonts w:hint="eastAsia" w:hAnsi="宋体"/>
                <w:szCs w:val="21"/>
                <w:highlight w:val="none"/>
              </w:rPr>
              <w:t>环境-社会-健康-安全（E</w:t>
            </w:r>
            <w:r>
              <w:rPr>
                <w:rFonts w:hAnsi="宋体"/>
                <w:szCs w:val="21"/>
                <w:highlight w:val="none"/>
              </w:rPr>
              <w:t>SHS）</w:t>
            </w:r>
            <w:r>
              <w:rPr>
                <w:rFonts w:hint="eastAsia" w:hAnsi="宋体"/>
                <w:szCs w:val="21"/>
                <w:highlight w:val="none"/>
              </w:rPr>
              <w:t>方面履约情况</w:t>
            </w:r>
          </w:p>
        </w:tc>
        <w:tc>
          <w:tcPr>
            <w:tcW w:w="4500" w:type="dxa"/>
          </w:tcPr>
          <w:p>
            <w:pPr>
              <w:pStyle w:val="27"/>
              <w:spacing w:before="120" w:after="120"/>
              <w:ind w:firstLine="0"/>
              <w:rPr>
                <w:rFonts w:eastAsia="宋体"/>
                <w:sz w:val="21"/>
                <w:szCs w:val="21"/>
                <w:highlight w:val="none"/>
                <w:lang w:val="en-US" w:eastAsia="zh-CN"/>
              </w:rPr>
            </w:pPr>
            <w:r>
              <w:rPr>
                <w:rFonts w:hint="eastAsia" w:hAnsi="宋体" w:eastAsia="宋体"/>
                <w:sz w:val="21"/>
                <w:szCs w:val="21"/>
                <w:highlight w:val="none"/>
              </w:rPr>
              <w:t>申报过去5年内由于未遵守环境-社会-健康-安全方面的规定而被业主要求停工或终止合同或履约保证金被业主没收的土建合同</w:t>
            </w:r>
            <w:r>
              <w:rPr>
                <w:rFonts w:hint="eastAsia" w:hAnsi="宋体" w:eastAsia="宋体"/>
                <w:sz w:val="21"/>
                <w:szCs w:val="21"/>
                <w:highlight w:val="none"/>
                <w:lang w:eastAsia="zh-CN"/>
              </w:rPr>
              <w:t>。</w:t>
            </w:r>
          </w:p>
        </w:tc>
        <w:tc>
          <w:tcPr>
            <w:tcW w:w="1080" w:type="dxa"/>
          </w:tcPr>
          <w:p>
            <w:pPr>
              <w:pStyle w:val="27"/>
              <w:spacing w:before="120" w:after="120"/>
              <w:ind w:firstLine="0"/>
              <w:rPr>
                <w:rFonts w:eastAsia="宋体"/>
                <w:sz w:val="21"/>
                <w:szCs w:val="21"/>
                <w:lang w:val="en-US" w:eastAsia="zh-CN"/>
              </w:rPr>
            </w:pPr>
            <w:r>
              <w:rPr>
                <w:rFonts w:hint="eastAsia" w:hAnsi="宋体" w:eastAsia="宋体"/>
                <w:sz w:val="21"/>
                <w:szCs w:val="21"/>
              </w:rPr>
              <w:t>必须申报</w:t>
            </w:r>
            <w:r>
              <w:rPr>
                <w:rFonts w:hint="eastAsia" w:hAnsi="宋体" w:eastAsia="宋体"/>
                <w:sz w:val="21"/>
                <w:szCs w:val="21"/>
                <w:lang w:eastAsia="zh-CN"/>
              </w:rPr>
              <w:t>。</w:t>
            </w:r>
            <w:r>
              <w:rPr>
                <w:rFonts w:hint="eastAsia" w:hAnsi="宋体" w:eastAsia="宋体"/>
                <w:sz w:val="21"/>
                <w:szCs w:val="21"/>
              </w:rPr>
              <w:t>如果有</w:t>
            </w:r>
            <w:r>
              <w:rPr>
                <w:rFonts w:hint="eastAsia" w:hAnsi="宋体" w:eastAsia="宋体"/>
                <w:sz w:val="21"/>
                <w:szCs w:val="21"/>
                <w:lang w:eastAsia="zh-CN"/>
              </w:rPr>
              <w:t>专业</w:t>
            </w:r>
            <w:r>
              <w:rPr>
                <w:rFonts w:hint="eastAsia" w:hAnsi="宋体" w:eastAsia="宋体"/>
                <w:sz w:val="21"/>
                <w:szCs w:val="21"/>
              </w:rPr>
              <w:t>分包商，</w:t>
            </w:r>
            <w:r>
              <w:rPr>
                <w:rFonts w:hint="eastAsia" w:hAnsi="宋体" w:eastAsia="宋体"/>
                <w:sz w:val="21"/>
                <w:szCs w:val="21"/>
                <w:lang w:eastAsia="zh-CN"/>
              </w:rPr>
              <w:t>专业</w:t>
            </w:r>
            <w:r>
              <w:rPr>
                <w:rFonts w:hint="eastAsia" w:hAnsi="宋体" w:eastAsia="宋体"/>
                <w:sz w:val="21"/>
                <w:szCs w:val="21"/>
              </w:rPr>
              <w:t>分包商也应申报。</w:t>
            </w:r>
          </w:p>
        </w:tc>
        <w:tc>
          <w:tcPr>
            <w:tcW w:w="1800" w:type="dxa"/>
          </w:tcPr>
          <w:p>
            <w:pPr>
              <w:spacing w:before="120" w:after="120"/>
              <w:jc w:val="center"/>
              <w:textAlignment w:val="auto"/>
              <w:rPr>
                <w:szCs w:val="21"/>
              </w:rPr>
            </w:pPr>
            <w:r>
              <w:rPr>
                <w:rFonts w:hint="eastAsia" w:hAnsi="宋体"/>
                <w:szCs w:val="21"/>
              </w:rPr>
              <w:t>不适用</w:t>
            </w:r>
          </w:p>
        </w:tc>
        <w:tc>
          <w:tcPr>
            <w:tcW w:w="1350" w:type="dxa"/>
          </w:tcPr>
          <w:p>
            <w:pPr>
              <w:spacing w:before="120" w:after="120"/>
              <w:jc w:val="left"/>
              <w:textAlignment w:val="auto"/>
              <w:rPr>
                <w:szCs w:val="21"/>
              </w:rPr>
            </w:pPr>
            <w:r>
              <w:rPr>
                <w:rFonts w:hint="eastAsia" w:hAnsi="宋体"/>
                <w:szCs w:val="21"/>
              </w:rPr>
              <w:t>必须申报。如果有专业分包商，专业分包商也应申报。</w:t>
            </w:r>
          </w:p>
        </w:tc>
        <w:tc>
          <w:tcPr>
            <w:tcW w:w="1532" w:type="dxa"/>
          </w:tcPr>
          <w:p>
            <w:pPr>
              <w:spacing w:before="120" w:after="120"/>
              <w:jc w:val="left"/>
              <w:textAlignment w:val="auto"/>
              <w:rPr>
                <w:szCs w:val="21"/>
              </w:rPr>
            </w:pPr>
            <w:r>
              <w:rPr>
                <w:rFonts w:hint="eastAsia" w:hAnsi="宋体"/>
                <w:szCs w:val="21"/>
              </w:rPr>
              <w:t>不适用</w:t>
            </w:r>
          </w:p>
        </w:tc>
        <w:tc>
          <w:tcPr>
            <w:tcW w:w="1984" w:type="dxa"/>
          </w:tcPr>
          <w:p>
            <w:pPr>
              <w:spacing w:before="120" w:after="120"/>
              <w:jc w:val="left"/>
              <w:textAlignment w:val="auto"/>
              <w:rPr>
                <w:szCs w:val="21"/>
                <w:lang w:val="pt-BR"/>
              </w:rPr>
            </w:pPr>
            <w:r>
              <w:rPr>
                <w:rFonts w:hAnsi="宋体"/>
                <w:szCs w:val="21"/>
                <w:lang w:val="pt-BR"/>
              </w:rPr>
              <w:t>表格</w:t>
            </w:r>
            <w:r>
              <w:rPr>
                <w:szCs w:val="21"/>
                <w:lang w:val="pt-BR"/>
              </w:rPr>
              <w:t>CON-</w:t>
            </w:r>
            <w:r>
              <w:rPr>
                <w:rFonts w:hint="eastAsia"/>
                <w:szCs w:val="21"/>
                <w:lang w:val="pt-B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9" w:hRule="atLeast"/>
        </w:trPr>
        <w:tc>
          <w:tcPr>
            <w:tcW w:w="1704" w:type="dxa"/>
            <w:vAlign w:val="top"/>
          </w:tcPr>
          <w:p>
            <w:pPr>
              <w:spacing w:before="120" w:after="120"/>
              <w:jc w:val="left"/>
              <w:textAlignment w:val="auto"/>
              <w:rPr>
                <w:rFonts w:hint="eastAsia"/>
                <w:highlight w:val="none"/>
              </w:rPr>
            </w:pPr>
            <w:r>
              <w:rPr>
                <w:rFonts w:hint="eastAsia"/>
                <w:highlight w:val="none"/>
              </w:rPr>
              <w:t>2.2.</w:t>
            </w:r>
            <w:r>
              <w:rPr>
                <w:rFonts w:hint="eastAsia"/>
                <w:highlight w:val="none"/>
                <w:lang w:val="en-US" w:eastAsia="zh-CN"/>
              </w:rPr>
              <w:t>4</w:t>
            </w:r>
            <w:r>
              <w:rPr>
                <w:rFonts w:hint="eastAsia"/>
                <w:highlight w:val="none"/>
              </w:rPr>
              <w:t>信誉要求</w:t>
            </w:r>
          </w:p>
        </w:tc>
        <w:tc>
          <w:tcPr>
            <w:tcW w:w="4500" w:type="dxa"/>
            <w:vAlign w:val="top"/>
          </w:tcPr>
          <w:p>
            <w:pPr>
              <w:pStyle w:val="27"/>
              <w:numPr>
                <w:ilvl w:val="255"/>
                <w:numId w:val="0"/>
              </w:numPr>
              <w:spacing w:before="120" w:after="120"/>
              <w:ind w:left="0" w:leftChars="0" w:firstLine="0" w:firstLineChars="0"/>
              <w:rPr>
                <w:rFonts w:hint="eastAsia" w:hAnsi="宋体" w:eastAsia="宋体"/>
                <w:sz w:val="21"/>
                <w:szCs w:val="21"/>
                <w:highlight w:val="none"/>
              </w:rPr>
            </w:pPr>
            <w:r>
              <w:rPr>
                <w:rFonts w:hint="eastAsia" w:eastAsia="宋体"/>
                <w:sz w:val="21"/>
                <w:szCs w:val="21"/>
                <w:highlight w:val="none"/>
                <w:lang w:val="en-US"/>
              </w:rPr>
              <w:t>执行《关于在招标投标活动中对失信被执行人实施联合惩戒的通知》法（2016）285 号文件：通过“信用中国”网站（www.creditchina.gov.cn）及中国政府采购网（www.ccgp. gov.cn）查询潜在投标人的信用记录，凡是列入失信被执行人、重大税收违法失信主体、政府采购严重违法失信行为记录名单的，依法拒绝其参与本次投标。查询渠道失信被执行人：“信用中国” 网站（www.creditchina.gov.cn）；重大税收违法：“信用中国”网站（www.creditchina.gov.cn）；政府采购严重违法失信行为：中国政府采购网（www.ccgp.gov.cn）。</w:t>
            </w:r>
          </w:p>
        </w:tc>
        <w:tc>
          <w:tcPr>
            <w:tcW w:w="1080" w:type="dxa"/>
            <w:vAlign w:val="top"/>
          </w:tcPr>
          <w:p>
            <w:pPr>
              <w:spacing w:before="120" w:after="120"/>
              <w:jc w:val="left"/>
              <w:textAlignment w:val="auto"/>
              <w:rPr>
                <w:rFonts w:hint="eastAsia" w:hAnsi="宋体" w:eastAsia="宋体"/>
                <w:sz w:val="21"/>
                <w:szCs w:val="21"/>
                <w:highlight w:val="none"/>
              </w:rPr>
            </w:pPr>
            <w:r>
              <w:rPr>
                <w:rFonts w:hint="eastAsia"/>
                <w:szCs w:val="21"/>
                <w:highlight w:val="none"/>
              </w:rPr>
              <w:t>必须满足要求</w:t>
            </w:r>
          </w:p>
        </w:tc>
        <w:tc>
          <w:tcPr>
            <w:tcW w:w="1800" w:type="dxa"/>
            <w:vAlign w:val="top"/>
          </w:tcPr>
          <w:p>
            <w:pPr>
              <w:spacing w:before="120" w:after="120"/>
              <w:jc w:val="left"/>
              <w:textAlignment w:val="auto"/>
              <w:rPr>
                <w:rFonts w:hint="eastAsia" w:hAnsi="宋体"/>
                <w:szCs w:val="21"/>
                <w:highlight w:val="none"/>
              </w:rPr>
            </w:pPr>
            <w:r>
              <w:rPr>
                <w:rFonts w:hint="eastAsia"/>
                <w:szCs w:val="21"/>
                <w:highlight w:val="none"/>
              </w:rPr>
              <w:t>已成立的联合体必须满足要求</w:t>
            </w:r>
          </w:p>
        </w:tc>
        <w:tc>
          <w:tcPr>
            <w:tcW w:w="1350" w:type="dxa"/>
            <w:vAlign w:val="top"/>
          </w:tcPr>
          <w:p>
            <w:pPr>
              <w:spacing w:before="120" w:after="120"/>
              <w:jc w:val="center"/>
              <w:textAlignment w:val="auto"/>
              <w:rPr>
                <w:rFonts w:hint="eastAsia" w:hAnsi="宋体"/>
                <w:szCs w:val="21"/>
                <w:highlight w:val="none"/>
              </w:rPr>
            </w:pPr>
            <w:r>
              <w:rPr>
                <w:rFonts w:hint="eastAsia"/>
                <w:szCs w:val="21"/>
                <w:highlight w:val="none"/>
              </w:rPr>
              <w:t>必须满足</w:t>
            </w:r>
          </w:p>
        </w:tc>
        <w:tc>
          <w:tcPr>
            <w:tcW w:w="1532" w:type="dxa"/>
            <w:vAlign w:val="top"/>
          </w:tcPr>
          <w:p>
            <w:pPr>
              <w:spacing w:before="120" w:after="120"/>
              <w:jc w:val="center"/>
              <w:textAlignment w:val="auto"/>
              <w:rPr>
                <w:rFonts w:hint="eastAsia" w:hAnsi="宋体"/>
                <w:szCs w:val="21"/>
                <w:highlight w:val="none"/>
              </w:rPr>
            </w:pPr>
            <w:r>
              <w:rPr>
                <w:rFonts w:hint="eastAsia"/>
                <w:szCs w:val="21"/>
                <w:highlight w:val="none"/>
              </w:rPr>
              <w:t>不适用</w:t>
            </w:r>
          </w:p>
        </w:tc>
        <w:tc>
          <w:tcPr>
            <w:tcW w:w="1984" w:type="dxa"/>
            <w:vAlign w:val="top"/>
          </w:tcPr>
          <w:p>
            <w:pPr>
              <w:spacing w:before="120" w:after="120"/>
              <w:jc w:val="left"/>
              <w:textAlignment w:val="auto"/>
              <w:rPr>
                <w:rFonts w:hAnsi="宋体"/>
                <w:szCs w:val="21"/>
                <w:highlight w:val="none"/>
                <w:lang w:val="pt-BR"/>
              </w:rPr>
            </w:pPr>
            <w:r>
              <w:rPr>
                <w:rFonts w:hint="eastAsia" w:eastAsia="宋体"/>
                <w:sz w:val="21"/>
                <w:szCs w:val="21"/>
                <w:highlight w:val="none"/>
                <w:lang w:val="en-US"/>
              </w:rPr>
              <w:t>投标单位需提供网站查询截图，加盖企业公章，查询日期为招标公告发布之日起至投标文件递交截止日前</w:t>
            </w:r>
          </w:p>
        </w:tc>
      </w:tr>
    </w:tbl>
    <w:p>
      <w:pPr>
        <w:widowControl/>
        <w:spacing w:before="120" w:after="120" w:line="240" w:lineRule="atLeast"/>
        <w:ind w:firstLine="422"/>
        <w:jc w:val="left"/>
        <w:textAlignment w:val="auto"/>
        <w:rPr>
          <w:b/>
          <w:bCs/>
          <w:szCs w:val="21"/>
        </w:rPr>
        <w:sectPr>
          <w:footnotePr>
            <w:numRestart w:val="eachPage"/>
          </w:footnotePr>
          <w:endnotePr>
            <w:numFmt w:val="decimal"/>
          </w:endnotePr>
          <w:pgSz w:w="16840" w:h="11907" w:orient="landscape"/>
          <w:pgMar w:top="1797" w:right="1440" w:bottom="1797" w:left="1440" w:header="851" w:footer="992" w:gutter="0"/>
          <w:cols w:space="425" w:num="1"/>
          <w:docGrid w:linePitch="312" w:charSpace="0"/>
        </w:sectPr>
      </w:pPr>
    </w:p>
    <w:tbl>
      <w:tblPr>
        <w:tblStyle w:val="62"/>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4464"/>
        <w:gridCol w:w="1116"/>
        <w:gridCol w:w="1786"/>
        <w:gridCol w:w="1401"/>
        <w:gridCol w:w="153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65" w:type="dxa"/>
            <w:vAlign w:val="center"/>
          </w:tcPr>
          <w:p>
            <w:pPr>
              <w:spacing w:before="120" w:after="120"/>
              <w:jc w:val="center"/>
              <w:textAlignment w:val="auto"/>
              <w:rPr>
                <w:b/>
                <w:szCs w:val="21"/>
              </w:rPr>
            </w:pPr>
            <w:r>
              <w:rPr>
                <w:rFonts w:hint="eastAsia"/>
                <w:b/>
                <w:szCs w:val="21"/>
              </w:rPr>
              <w:t>因素</w:t>
            </w:r>
          </w:p>
        </w:tc>
        <w:tc>
          <w:tcPr>
            <w:tcW w:w="12285" w:type="dxa"/>
            <w:gridSpan w:val="6"/>
            <w:vAlign w:val="center"/>
          </w:tcPr>
          <w:p>
            <w:pPr>
              <w:pStyle w:val="5"/>
            </w:pPr>
            <w:bookmarkStart w:id="1069" w:name="_Toc499023470"/>
            <w:bookmarkStart w:id="1070" w:name="_Toc499021787"/>
            <w:bookmarkStart w:id="1071" w:name="_Toc501529952"/>
            <w:bookmarkStart w:id="1072" w:name="_Toc498339862"/>
            <w:bookmarkStart w:id="1073" w:name="_Toc23215166"/>
            <w:bookmarkStart w:id="1074" w:name="_Toc503874230"/>
            <w:bookmarkStart w:id="1075" w:name="_Toc498848209"/>
            <w:bookmarkStart w:id="1076" w:name="_Toc77969924"/>
            <w:bookmarkStart w:id="1077" w:name="_Toc169103253"/>
            <w:bookmarkStart w:id="1078" w:name="_Toc324771987"/>
            <w:bookmarkStart w:id="1079" w:name="_Toc324772203"/>
            <w:bookmarkStart w:id="1080" w:name="_Toc110262733"/>
            <w:bookmarkStart w:id="1081" w:name="_Toc110264388"/>
            <w:bookmarkStart w:id="1082" w:name="_Toc110330786"/>
            <w:bookmarkStart w:id="1083" w:name="_Toc110267661"/>
            <w:bookmarkStart w:id="1084" w:name="_Toc110263927"/>
            <w:bookmarkStart w:id="1085" w:name="_Toc391287335"/>
            <w:bookmarkStart w:id="1086" w:name="_Toc171063116"/>
            <w:r>
              <w:t>2.3</w:t>
            </w:r>
            <w:bookmarkEnd w:id="1069"/>
            <w:bookmarkEnd w:id="1070"/>
            <w:bookmarkEnd w:id="1071"/>
            <w:bookmarkEnd w:id="1072"/>
            <w:bookmarkEnd w:id="1073"/>
            <w:bookmarkEnd w:id="1074"/>
            <w:bookmarkEnd w:id="1075"/>
            <w:bookmarkEnd w:id="1076"/>
            <w:r>
              <w:rPr>
                <w:rFonts w:hint="eastAsia"/>
              </w:rPr>
              <w:t>财务状况</w:t>
            </w:r>
            <w:bookmarkEnd w:id="1077"/>
            <w:bookmarkEnd w:id="1078"/>
            <w:bookmarkEnd w:id="1079"/>
            <w:bookmarkEnd w:id="1080"/>
            <w:bookmarkEnd w:id="1081"/>
            <w:bookmarkEnd w:id="1082"/>
            <w:bookmarkEnd w:id="1083"/>
            <w:bookmarkEnd w:id="1084"/>
            <w:bookmarkEnd w:id="1085"/>
            <w:bookmarkEnd w:id="10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65" w:type="dxa"/>
            <w:vMerge w:val="restart"/>
            <w:vAlign w:val="center"/>
          </w:tcPr>
          <w:p>
            <w:pPr>
              <w:pStyle w:val="90"/>
              <w:spacing w:before="120" w:after="120"/>
              <w:rPr>
                <w:rFonts w:ascii="Times New Roman" w:hAnsi="Times New Roman"/>
                <w:b w:val="0"/>
                <w:sz w:val="21"/>
                <w:szCs w:val="21"/>
                <w:lang w:val="en-US"/>
              </w:rPr>
            </w:pPr>
            <w:bookmarkStart w:id="1087" w:name="_Toc110264389"/>
            <w:bookmarkStart w:id="1088" w:name="_Toc110262734"/>
            <w:bookmarkStart w:id="1089" w:name="_Toc110263928"/>
            <w:bookmarkStart w:id="1090" w:name="_Toc110267662"/>
            <w:bookmarkStart w:id="1091" w:name="_Toc110330787"/>
            <w:r>
              <w:rPr>
                <w:rFonts w:hint="eastAsia" w:ascii="Times New Roman" w:hAnsi="Times New Roman"/>
                <w:sz w:val="21"/>
                <w:szCs w:val="21"/>
                <w:lang w:val="en-US" w:eastAsia="zh-CN"/>
              </w:rPr>
              <w:t>子因素</w:t>
            </w:r>
            <w:bookmarkEnd w:id="1087"/>
            <w:bookmarkEnd w:id="1088"/>
            <w:bookmarkEnd w:id="1089"/>
            <w:bookmarkEnd w:id="1090"/>
            <w:bookmarkEnd w:id="1091"/>
          </w:p>
        </w:tc>
        <w:tc>
          <w:tcPr>
            <w:tcW w:w="10299" w:type="dxa"/>
            <w:gridSpan w:val="5"/>
          </w:tcPr>
          <w:p>
            <w:pPr>
              <w:pStyle w:val="90"/>
              <w:spacing w:before="120" w:after="120"/>
              <w:ind w:firstLine="422"/>
              <w:rPr>
                <w:rFonts w:ascii="Times New Roman" w:hAnsi="Times New Roman"/>
                <w:sz w:val="21"/>
                <w:szCs w:val="21"/>
                <w:lang w:val="en-US"/>
              </w:rPr>
            </w:pPr>
            <w:bookmarkStart w:id="1092" w:name="_Toc110330788"/>
            <w:bookmarkStart w:id="1093" w:name="_Toc110267663"/>
            <w:bookmarkStart w:id="1094" w:name="_Toc110263929"/>
            <w:bookmarkStart w:id="1095" w:name="_Toc110262735"/>
            <w:bookmarkStart w:id="1096" w:name="_Toc110264390"/>
            <w:r>
              <w:rPr>
                <w:rFonts w:hint="eastAsia" w:ascii="Times New Roman" w:hAnsi="Times New Roman"/>
                <w:sz w:val="21"/>
                <w:szCs w:val="21"/>
                <w:lang w:val="en-US" w:eastAsia="zh-CN"/>
              </w:rPr>
              <w:t>标准</w:t>
            </w:r>
            <w:bookmarkEnd w:id="1092"/>
            <w:bookmarkEnd w:id="1093"/>
            <w:bookmarkEnd w:id="1094"/>
            <w:bookmarkEnd w:id="1095"/>
            <w:bookmarkEnd w:id="1096"/>
          </w:p>
        </w:tc>
        <w:tc>
          <w:tcPr>
            <w:tcW w:w="1986" w:type="dxa"/>
            <w:vMerge w:val="restart"/>
            <w:vAlign w:val="center"/>
          </w:tcPr>
          <w:p>
            <w:pPr>
              <w:pStyle w:val="90"/>
              <w:spacing w:before="120" w:after="120"/>
              <w:rPr>
                <w:rFonts w:ascii="Times New Roman" w:hAnsi="Times New Roman"/>
                <w:sz w:val="21"/>
                <w:szCs w:val="21"/>
                <w:lang w:val="en-US" w:eastAsia="zh-CN"/>
              </w:rPr>
            </w:pPr>
            <w:bookmarkStart w:id="1097" w:name="_Toc110330789"/>
            <w:bookmarkStart w:id="1098" w:name="_Toc110262736"/>
            <w:bookmarkStart w:id="1099" w:name="_Toc110267664"/>
            <w:bookmarkStart w:id="1100" w:name="_Toc110264391"/>
            <w:bookmarkStart w:id="1101" w:name="_Toc110263930"/>
            <w:r>
              <w:rPr>
                <w:rFonts w:hint="eastAsia" w:ascii="Times New Roman" w:hAnsi="Times New Roman"/>
                <w:sz w:val="21"/>
                <w:szCs w:val="21"/>
                <w:lang w:val="en-US" w:eastAsia="zh-CN"/>
              </w:rPr>
              <w:t>要求投标人提交的文件</w:t>
            </w:r>
            <w:bookmarkEnd w:id="1097"/>
            <w:bookmarkEnd w:id="1098"/>
            <w:bookmarkEnd w:id="1099"/>
            <w:bookmarkEnd w:id="1100"/>
            <w:bookmarkEnd w:id="1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65" w:type="dxa"/>
            <w:vMerge w:val="continue"/>
          </w:tcPr>
          <w:p>
            <w:pPr>
              <w:spacing w:before="120" w:after="120"/>
              <w:jc w:val="center"/>
              <w:textAlignment w:val="auto"/>
              <w:rPr>
                <w:b/>
                <w:szCs w:val="21"/>
              </w:rPr>
            </w:pPr>
          </w:p>
        </w:tc>
        <w:tc>
          <w:tcPr>
            <w:tcW w:w="4464" w:type="dxa"/>
            <w:vMerge w:val="restart"/>
            <w:vAlign w:val="center"/>
          </w:tcPr>
          <w:p>
            <w:pPr>
              <w:pStyle w:val="90"/>
              <w:spacing w:before="120" w:after="120"/>
              <w:ind w:firstLine="422"/>
              <w:rPr>
                <w:rFonts w:ascii="Times New Roman" w:hAnsi="Times New Roman"/>
                <w:sz w:val="21"/>
                <w:szCs w:val="21"/>
                <w:lang w:val="en-US"/>
              </w:rPr>
            </w:pPr>
            <w:bookmarkStart w:id="1102" w:name="_Toc110330790"/>
            <w:bookmarkStart w:id="1103" w:name="_Toc110267665"/>
            <w:bookmarkStart w:id="1104" w:name="_Toc110263931"/>
            <w:bookmarkStart w:id="1105" w:name="_Toc110264392"/>
            <w:bookmarkStart w:id="1106" w:name="_Toc110262737"/>
            <w:r>
              <w:rPr>
                <w:rFonts w:hint="eastAsia" w:ascii="Times New Roman" w:hAnsi="Times New Roman"/>
                <w:sz w:val="21"/>
                <w:szCs w:val="21"/>
                <w:lang w:val="en-US" w:eastAsia="zh-CN"/>
              </w:rPr>
              <w:t>要求</w:t>
            </w:r>
            <w:bookmarkEnd w:id="1102"/>
            <w:bookmarkEnd w:id="1103"/>
            <w:bookmarkEnd w:id="1104"/>
            <w:bookmarkEnd w:id="1105"/>
            <w:bookmarkEnd w:id="1106"/>
          </w:p>
        </w:tc>
        <w:tc>
          <w:tcPr>
            <w:tcW w:w="5835" w:type="dxa"/>
            <w:gridSpan w:val="4"/>
            <w:tcBorders>
              <w:bottom w:val="single" w:color="auto" w:sz="4" w:space="0"/>
            </w:tcBorders>
          </w:tcPr>
          <w:p>
            <w:pPr>
              <w:pStyle w:val="90"/>
              <w:spacing w:before="120" w:after="120"/>
              <w:ind w:firstLine="422"/>
              <w:rPr>
                <w:rFonts w:ascii="Times New Roman" w:hAnsi="Times New Roman"/>
                <w:sz w:val="21"/>
                <w:szCs w:val="21"/>
                <w:lang w:val="en-US"/>
              </w:rPr>
            </w:pPr>
            <w:bookmarkStart w:id="1107" w:name="_Toc110263932"/>
            <w:bookmarkStart w:id="1108" w:name="_Toc110262738"/>
            <w:bookmarkStart w:id="1109" w:name="_Toc110267666"/>
            <w:bookmarkStart w:id="1110" w:name="_Toc110264393"/>
            <w:bookmarkStart w:id="1111" w:name="_Toc110330791"/>
            <w:r>
              <w:rPr>
                <w:rFonts w:hint="eastAsia" w:ascii="Times New Roman" w:hAnsi="Times New Roman"/>
                <w:sz w:val="21"/>
                <w:szCs w:val="21"/>
                <w:lang w:val="en-US" w:eastAsia="zh-CN"/>
              </w:rPr>
              <w:t>投标人</w:t>
            </w:r>
            <w:bookmarkEnd w:id="1107"/>
            <w:bookmarkEnd w:id="1108"/>
            <w:bookmarkEnd w:id="1109"/>
            <w:bookmarkEnd w:id="1110"/>
            <w:bookmarkEnd w:id="1111"/>
          </w:p>
        </w:tc>
        <w:tc>
          <w:tcPr>
            <w:tcW w:w="1986" w:type="dxa"/>
            <w:vMerge w:val="continue"/>
          </w:tcPr>
          <w:p>
            <w:pPr>
              <w:pStyle w:val="90"/>
              <w:spacing w:before="120" w:after="120"/>
              <w:rPr>
                <w:rFonts w:ascii="Times New Roman" w:hAnsi="Times New Roman"/>
                <w:b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65" w:type="dxa"/>
            <w:vMerge w:val="continue"/>
          </w:tcPr>
          <w:p>
            <w:pPr>
              <w:spacing w:before="120" w:after="120"/>
              <w:jc w:val="center"/>
              <w:textAlignment w:val="auto"/>
              <w:rPr>
                <w:b/>
                <w:szCs w:val="21"/>
              </w:rPr>
            </w:pPr>
          </w:p>
        </w:tc>
        <w:tc>
          <w:tcPr>
            <w:tcW w:w="4464" w:type="dxa"/>
            <w:vMerge w:val="continue"/>
          </w:tcPr>
          <w:p>
            <w:pPr>
              <w:spacing w:before="120" w:after="120"/>
              <w:ind w:firstLine="422"/>
              <w:jc w:val="center"/>
              <w:textAlignment w:val="auto"/>
              <w:rPr>
                <w:b/>
                <w:szCs w:val="21"/>
              </w:rPr>
            </w:pPr>
          </w:p>
        </w:tc>
        <w:tc>
          <w:tcPr>
            <w:tcW w:w="1116" w:type="dxa"/>
            <w:vMerge w:val="restart"/>
            <w:tcBorders>
              <w:bottom w:val="nil"/>
            </w:tcBorders>
            <w:vAlign w:val="center"/>
          </w:tcPr>
          <w:p>
            <w:pPr>
              <w:spacing w:before="120" w:after="120"/>
              <w:textAlignment w:val="auto"/>
              <w:rPr>
                <w:b/>
                <w:szCs w:val="21"/>
              </w:rPr>
            </w:pPr>
            <w:r>
              <w:rPr>
                <w:rFonts w:hint="eastAsia"/>
                <w:b/>
                <w:szCs w:val="21"/>
              </w:rPr>
              <w:t>单一实体</w:t>
            </w:r>
          </w:p>
        </w:tc>
        <w:tc>
          <w:tcPr>
            <w:tcW w:w="4719" w:type="dxa"/>
            <w:gridSpan w:val="3"/>
          </w:tcPr>
          <w:p>
            <w:pPr>
              <w:pStyle w:val="90"/>
              <w:spacing w:before="120" w:after="120"/>
              <w:ind w:firstLine="422"/>
              <w:rPr>
                <w:rFonts w:ascii="Times New Roman" w:hAnsi="Times New Roman"/>
                <w:sz w:val="21"/>
                <w:szCs w:val="21"/>
                <w:lang w:val="en-US" w:eastAsia="zh-CN"/>
              </w:rPr>
            </w:pPr>
            <w:bookmarkStart w:id="1112" w:name="_Toc110263933"/>
            <w:bookmarkStart w:id="1113" w:name="_Toc110330792"/>
            <w:bookmarkStart w:id="1114" w:name="_Toc110267667"/>
            <w:bookmarkStart w:id="1115" w:name="_Toc110262739"/>
            <w:bookmarkStart w:id="1116" w:name="_Toc110264394"/>
            <w:r>
              <w:rPr>
                <w:rFonts w:hint="eastAsia" w:ascii="Times New Roman" w:hAnsi="Times New Roman"/>
                <w:sz w:val="21"/>
                <w:szCs w:val="21"/>
                <w:lang w:val="en-US" w:eastAsia="zh-CN"/>
              </w:rPr>
              <w:t>联合体</w:t>
            </w:r>
            <w:bookmarkEnd w:id="1112"/>
            <w:bookmarkEnd w:id="1113"/>
            <w:bookmarkEnd w:id="1114"/>
            <w:bookmarkEnd w:id="1115"/>
            <w:bookmarkEnd w:id="1116"/>
          </w:p>
        </w:tc>
        <w:tc>
          <w:tcPr>
            <w:tcW w:w="1986" w:type="dxa"/>
            <w:vMerge w:val="continue"/>
          </w:tcPr>
          <w:p>
            <w:pPr>
              <w:pStyle w:val="90"/>
              <w:spacing w:before="120" w:after="120"/>
              <w:ind w:firstLine="422"/>
              <w:rPr>
                <w:rFonts w:ascii="Times New Roman" w:hAnsi="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65" w:type="dxa"/>
            <w:vMerge w:val="continue"/>
          </w:tcPr>
          <w:p>
            <w:pPr>
              <w:spacing w:before="120" w:after="120"/>
              <w:ind w:left="360"/>
              <w:textAlignment w:val="auto"/>
              <w:rPr>
                <w:b/>
                <w:szCs w:val="21"/>
              </w:rPr>
            </w:pPr>
          </w:p>
        </w:tc>
        <w:tc>
          <w:tcPr>
            <w:tcW w:w="4464" w:type="dxa"/>
            <w:vMerge w:val="continue"/>
          </w:tcPr>
          <w:p>
            <w:pPr>
              <w:spacing w:before="120" w:after="120"/>
              <w:ind w:left="360" w:firstLine="422"/>
              <w:textAlignment w:val="auto"/>
              <w:rPr>
                <w:b/>
                <w:szCs w:val="21"/>
              </w:rPr>
            </w:pPr>
          </w:p>
        </w:tc>
        <w:tc>
          <w:tcPr>
            <w:tcW w:w="1116" w:type="dxa"/>
            <w:vMerge w:val="continue"/>
            <w:tcBorders>
              <w:bottom w:val="single" w:color="auto" w:sz="4" w:space="0"/>
            </w:tcBorders>
          </w:tcPr>
          <w:p>
            <w:pPr>
              <w:keepNext/>
              <w:spacing w:before="120" w:after="120"/>
              <w:ind w:firstLine="422"/>
              <w:textAlignment w:val="auto"/>
              <w:rPr>
                <w:b/>
                <w:szCs w:val="21"/>
              </w:rPr>
            </w:pPr>
          </w:p>
        </w:tc>
        <w:tc>
          <w:tcPr>
            <w:tcW w:w="1786" w:type="dxa"/>
            <w:tcBorders>
              <w:bottom w:val="single" w:color="auto" w:sz="4" w:space="0"/>
            </w:tcBorders>
            <w:vAlign w:val="center"/>
          </w:tcPr>
          <w:p>
            <w:pPr>
              <w:spacing w:before="120" w:after="120"/>
              <w:jc w:val="center"/>
              <w:textAlignment w:val="auto"/>
              <w:rPr>
                <w:b/>
                <w:szCs w:val="21"/>
              </w:rPr>
            </w:pPr>
            <w:r>
              <w:rPr>
                <w:rFonts w:hint="eastAsia"/>
                <w:b/>
                <w:szCs w:val="21"/>
              </w:rPr>
              <w:t>全体成员合计</w:t>
            </w:r>
          </w:p>
        </w:tc>
        <w:tc>
          <w:tcPr>
            <w:tcW w:w="1401" w:type="dxa"/>
            <w:tcBorders>
              <w:bottom w:val="single" w:color="auto" w:sz="4" w:space="0"/>
            </w:tcBorders>
            <w:vAlign w:val="center"/>
          </w:tcPr>
          <w:p>
            <w:pPr>
              <w:spacing w:before="120" w:after="120"/>
              <w:jc w:val="center"/>
              <w:textAlignment w:val="auto"/>
              <w:rPr>
                <w:b/>
                <w:szCs w:val="21"/>
              </w:rPr>
            </w:pPr>
            <w:r>
              <w:rPr>
                <w:rFonts w:hint="eastAsia"/>
                <w:b/>
                <w:szCs w:val="21"/>
              </w:rPr>
              <w:t>每一个成员</w:t>
            </w:r>
          </w:p>
        </w:tc>
        <w:tc>
          <w:tcPr>
            <w:tcW w:w="1532" w:type="dxa"/>
            <w:tcBorders>
              <w:bottom w:val="single" w:color="auto" w:sz="4" w:space="0"/>
            </w:tcBorders>
            <w:vAlign w:val="center"/>
          </w:tcPr>
          <w:p>
            <w:pPr>
              <w:spacing w:before="120" w:after="120"/>
              <w:jc w:val="center"/>
              <w:textAlignment w:val="auto"/>
              <w:rPr>
                <w:b/>
                <w:szCs w:val="21"/>
              </w:rPr>
            </w:pPr>
            <w:r>
              <w:rPr>
                <w:rFonts w:hint="eastAsia"/>
                <w:b/>
                <w:szCs w:val="21"/>
              </w:rPr>
              <w:t>至少一个成员</w:t>
            </w:r>
          </w:p>
        </w:tc>
        <w:tc>
          <w:tcPr>
            <w:tcW w:w="1986" w:type="dxa"/>
            <w:vMerge w:val="continue"/>
          </w:tcPr>
          <w:p>
            <w:pPr>
              <w:spacing w:before="120" w:after="120"/>
              <w:ind w:firstLine="422"/>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tcBorders>
              <w:bottom w:val="nil"/>
            </w:tcBorders>
          </w:tcPr>
          <w:p>
            <w:pPr>
              <w:spacing w:before="120" w:after="120"/>
              <w:jc w:val="left"/>
              <w:textAlignment w:val="auto"/>
              <w:rPr>
                <w:szCs w:val="21"/>
              </w:rPr>
            </w:pPr>
            <w:bookmarkStart w:id="1117" w:name="_Toc496968131"/>
            <w:r>
              <w:rPr>
                <w:szCs w:val="21"/>
              </w:rPr>
              <w:t>2.3.1</w:t>
            </w:r>
            <w:r>
              <w:rPr>
                <w:rFonts w:hint="eastAsia"/>
                <w:szCs w:val="21"/>
              </w:rPr>
              <w:t>历史财务状况</w:t>
            </w:r>
            <w:bookmarkEnd w:id="1117"/>
          </w:p>
        </w:tc>
        <w:tc>
          <w:tcPr>
            <w:tcW w:w="4464" w:type="dxa"/>
            <w:tcBorders>
              <w:bottom w:val="nil"/>
            </w:tcBorders>
          </w:tcPr>
          <w:p>
            <w:pPr>
              <w:spacing w:before="120" w:after="120"/>
              <w:jc w:val="left"/>
              <w:textAlignment w:val="auto"/>
              <w:rPr>
                <w:rFonts w:hint="eastAsia"/>
                <w:szCs w:val="21"/>
              </w:rPr>
            </w:pPr>
            <w:r>
              <w:rPr>
                <w:rFonts w:hint="eastAsia"/>
                <w:szCs w:val="21"/>
              </w:rPr>
              <w:t>提交过去3年经审计的财务报表，以反映投标人现在财务状况的稳定性及其长期的盈利性。最低要求，投标人过去三年每年的净资产</w:t>
            </w:r>
            <w:r>
              <w:rPr>
                <w:rFonts w:hint="eastAsia"/>
              </w:rPr>
              <w:t>（</w:t>
            </w:r>
            <w:r>
              <w:rPr>
                <w:rFonts w:hint="eastAsia"/>
                <w:szCs w:val="21"/>
              </w:rPr>
              <w:t>按总资产与总负债之差计算）均应为正值。</w:t>
            </w:r>
          </w:p>
          <w:p>
            <w:pPr>
              <w:spacing w:before="120" w:after="120"/>
              <w:jc w:val="left"/>
              <w:textAlignment w:val="auto"/>
              <w:rPr>
                <w:rFonts w:hint="eastAsia"/>
                <w:szCs w:val="21"/>
              </w:rPr>
            </w:pPr>
            <w:r>
              <w:rPr>
                <w:rFonts w:hint="eastAsia"/>
                <w:szCs w:val="21"/>
              </w:rPr>
              <w:t>过去3年(2021年、2022年、2023年)的财务报告：资产负债表、损益报告、审计报告等。请列出文件清单并附副本。</w:t>
            </w:r>
          </w:p>
        </w:tc>
        <w:tc>
          <w:tcPr>
            <w:tcW w:w="1116" w:type="dxa"/>
            <w:tcBorders>
              <w:bottom w:val="single" w:color="auto" w:sz="4" w:space="0"/>
            </w:tcBorders>
          </w:tcPr>
          <w:p>
            <w:pPr>
              <w:spacing w:before="120" w:after="120"/>
              <w:jc w:val="left"/>
              <w:textAlignment w:val="auto"/>
              <w:rPr>
                <w:szCs w:val="21"/>
              </w:rPr>
            </w:pPr>
            <w:r>
              <w:rPr>
                <w:rFonts w:hint="eastAsia"/>
                <w:szCs w:val="21"/>
              </w:rPr>
              <w:t>必须满足要求</w:t>
            </w:r>
          </w:p>
        </w:tc>
        <w:tc>
          <w:tcPr>
            <w:tcW w:w="1786" w:type="dxa"/>
            <w:tcBorders>
              <w:bottom w:val="single" w:color="auto" w:sz="4" w:space="0"/>
            </w:tcBorders>
          </w:tcPr>
          <w:p>
            <w:pPr>
              <w:spacing w:before="120" w:after="120"/>
              <w:jc w:val="left"/>
              <w:textAlignment w:val="auto"/>
              <w:rPr>
                <w:szCs w:val="21"/>
              </w:rPr>
            </w:pPr>
            <w:r>
              <w:rPr>
                <w:rFonts w:hint="eastAsia"/>
                <w:szCs w:val="21"/>
              </w:rPr>
              <w:t>不适用</w:t>
            </w:r>
          </w:p>
        </w:tc>
        <w:tc>
          <w:tcPr>
            <w:tcW w:w="1401" w:type="dxa"/>
            <w:tcBorders>
              <w:bottom w:val="single" w:color="auto" w:sz="4" w:space="0"/>
            </w:tcBorders>
          </w:tcPr>
          <w:p>
            <w:pPr>
              <w:spacing w:before="120" w:after="120"/>
              <w:jc w:val="left"/>
              <w:textAlignment w:val="auto"/>
              <w:rPr>
                <w:szCs w:val="21"/>
              </w:rPr>
            </w:pPr>
            <w:r>
              <w:rPr>
                <w:rFonts w:hint="eastAsia"/>
                <w:szCs w:val="21"/>
              </w:rPr>
              <w:t>必须满足要求</w:t>
            </w:r>
          </w:p>
        </w:tc>
        <w:tc>
          <w:tcPr>
            <w:tcW w:w="1532" w:type="dxa"/>
            <w:tcBorders>
              <w:bottom w:val="single" w:color="auto" w:sz="4" w:space="0"/>
            </w:tcBorders>
          </w:tcPr>
          <w:p>
            <w:pPr>
              <w:spacing w:before="120" w:after="120"/>
              <w:jc w:val="left"/>
              <w:textAlignment w:val="auto"/>
              <w:rPr>
                <w:szCs w:val="21"/>
              </w:rPr>
            </w:pPr>
            <w:r>
              <w:rPr>
                <w:rFonts w:hint="eastAsia"/>
                <w:szCs w:val="21"/>
              </w:rPr>
              <w:t>不适用</w:t>
            </w:r>
          </w:p>
        </w:tc>
        <w:tc>
          <w:tcPr>
            <w:tcW w:w="1986" w:type="dxa"/>
            <w:tcBorders>
              <w:bottom w:val="nil"/>
            </w:tcBorders>
          </w:tcPr>
          <w:p>
            <w:pPr>
              <w:spacing w:before="120" w:after="120"/>
              <w:jc w:val="left"/>
              <w:textAlignment w:val="auto"/>
              <w:rPr>
                <w:szCs w:val="21"/>
              </w:rPr>
            </w:pPr>
            <w:r>
              <w:rPr>
                <w:rFonts w:hint="eastAsia"/>
                <w:szCs w:val="21"/>
              </w:rPr>
              <w:t>表格</w:t>
            </w:r>
            <w:r>
              <w:rPr>
                <w:szCs w:val="21"/>
              </w:rPr>
              <w:t>FIN</w:t>
            </w:r>
            <w:r>
              <w:rPr>
                <w:rFonts w:hint="eastAsia"/>
                <w:szCs w:val="21"/>
              </w:rPr>
              <w:t>-2.3.1及附件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tcBorders>
              <w:bottom w:val="single" w:color="000000" w:sz="6" w:space="0"/>
            </w:tcBorders>
          </w:tcPr>
          <w:p>
            <w:pPr>
              <w:spacing w:before="120" w:after="120"/>
              <w:jc w:val="left"/>
              <w:textAlignment w:val="auto"/>
              <w:rPr>
                <w:szCs w:val="21"/>
              </w:rPr>
            </w:pPr>
            <w:r>
              <w:rPr>
                <w:szCs w:val="21"/>
              </w:rPr>
              <w:t>2.3.2</w:t>
            </w:r>
            <w:r>
              <w:rPr>
                <w:rFonts w:hint="eastAsia"/>
                <w:szCs w:val="21"/>
              </w:rPr>
              <w:t>年均施工营业额</w:t>
            </w:r>
          </w:p>
        </w:tc>
        <w:tc>
          <w:tcPr>
            <w:tcW w:w="4464" w:type="dxa"/>
            <w:tcBorders>
              <w:bottom w:val="single" w:color="000000" w:sz="6" w:space="0"/>
            </w:tcBorders>
          </w:tcPr>
          <w:p>
            <w:pPr>
              <w:spacing w:before="120" w:after="120"/>
              <w:jc w:val="left"/>
              <w:textAlignment w:val="auto"/>
              <w:rPr>
                <w:szCs w:val="21"/>
              </w:rPr>
            </w:pPr>
            <w:r>
              <w:rPr>
                <w:rFonts w:hint="eastAsia"/>
                <w:szCs w:val="21"/>
              </w:rPr>
              <w:t>根据过去3年(2021年、2022年、2023年)里在建工程或已完工程经核实的已收到的付款额计算的最低年均施工营业额为：</w:t>
            </w:r>
          </w:p>
          <w:p>
            <w:pPr>
              <w:spacing w:before="120" w:after="120"/>
              <w:jc w:val="left"/>
              <w:textAlignment w:val="auto"/>
              <w:rPr>
                <w:szCs w:val="21"/>
              </w:rPr>
            </w:pPr>
            <w:r>
              <w:rPr>
                <w:rFonts w:hint="eastAsia"/>
                <w:szCs w:val="21"/>
              </w:rPr>
              <w:t>1.田涧沟(解放西路-林园路)治理工程（合同号：</w:t>
            </w:r>
            <w:r>
              <w:rPr>
                <w:rFonts w:hint="eastAsia"/>
                <w:szCs w:val="21"/>
                <w:lang w:eastAsia="zh-CN"/>
              </w:rPr>
              <w:t>JZTJ121A</w:t>
            </w:r>
            <w:r>
              <w:rPr>
                <w:rFonts w:hint="eastAsia"/>
                <w:szCs w:val="21"/>
              </w:rPr>
              <w:t>）：人民币12000万元；</w:t>
            </w:r>
          </w:p>
          <w:p>
            <w:pPr>
              <w:spacing w:before="120" w:after="120"/>
              <w:jc w:val="left"/>
              <w:textAlignment w:val="auto"/>
              <w:rPr>
                <w:szCs w:val="21"/>
              </w:rPr>
            </w:pPr>
            <w:r>
              <w:rPr>
                <w:rFonts w:hint="eastAsia"/>
                <w:szCs w:val="21"/>
              </w:rPr>
              <w:t>2.田涧沟(林园路-普济河)治理工程（合同号：</w:t>
            </w:r>
            <w:r>
              <w:rPr>
                <w:rFonts w:hint="eastAsia"/>
                <w:szCs w:val="21"/>
                <w:lang w:eastAsia="zh-CN"/>
              </w:rPr>
              <w:t>JZTJ121B</w:t>
            </w:r>
            <w:r>
              <w:rPr>
                <w:rFonts w:hint="eastAsia"/>
                <w:szCs w:val="21"/>
              </w:rPr>
              <w:t>）:人民币12000万元;</w:t>
            </w:r>
          </w:p>
        </w:tc>
        <w:tc>
          <w:tcPr>
            <w:tcW w:w="1116" w:type="dxa"/>
            <w:tcBorders>
              <w:top w:val="single" w:color="auto" w:sz="4" w:space="0"/>
              <w:bottom w:val="single" w:color="000000" w:sz="6" w:space="0"/>
            </w:tcBorders>
          </w:tcPr>
          <w:p>
            <w:pPr>
              <w:spacing w:before="120" w:after="120"/>
              <w:jc w:val="left"/>
              <w:textAlignment w:val="auto"/>
            </w:pPr>
            <w:r>
              <w:rPr>
                <w:rFonts w:hint="eastAsia"/>
                <w:szCs w:val="21"/>
              </w:rPr>
              <w:t>必须满足要求</w:t>
            </w:r>
          </w:p>
        </w:tc>
        <w:tc>
          <w:tcPr>
            <w:tcW w:w="1786" w:type="dxa"/>
            <w:tcBorders>
              <w:top w:val="single" w:color="auto" w:sz="4" w:space="0"/>
              <w:bottom w:val="single" w:color="000000" w:sz="6" w:space="0"/>
            </w:tcBorders>
          </w:tcPr>
          <w:p>
            <w:pPr>
              <w:spacing w:before="120" w:after="120"/>
              <w:jc w:val="left"/>
              <w:textAlignment w:val="auto"/>
            </w:pPr>
            <w:r>
              <w:rPr>
                <w:rFonts w:hint="eastAsia"/>
                <w:szCs w:val="21"/>
              </w:rPr>
              <w:t>必须满足要求</w:t>
            </w:r>
          </w:p>
        </w:tc>
        <w:tc>
          <w:tcPr>
            <w:tcW w:w="1401" w:type="dxa"/>
            <w:tcBorders>
              <w:top w:val="single" w:color="auto" w:sz="4" w:space="0"/>
              <w:bottom w:val="single" w:color="000000" w:sz="6" w:space="0"/>
            </w:tcBorders>
          </w:tcPr>
          <w:p>
            <w:pPr>
              <w:spacing w:before="120" w:after="120"/>
              <w:jc w:val="left"/>
              <w:textAlignment w:val="auto"/>
              <w:rPr>
                <w:szCs w:val="21"/>
              </w:rPr>
            </w:pPr>
            <w:r>
              <w:rPr>
                <w:rFonts w:hint="eastAsia"/>
                <w:szCs w:val="21"/>
              </w:rPr>
              <w:t>必须满足所要求金额的百分之二十五</w:t>
            </w:r>
            <w:r>
              <w:rPr>
                <w:szCs w:val="21"/>
              </w:rPr>
              <w:t>（25％）</w:t>
            </w:r>
          </w:p>
        </w:tc>
        <w:tc>
          <w:tcPr>
            <w:tcW w:w="1532" w:type="dxa"/>
            <w:tcBorders>
              <w:top w:val="single" w:color="auto" w:sz="4" w:space="0"/>
              <w:bottom w:val="single" w:color="000000" w:sz="6" w:space="0"/>
            </w:tcBorders>
          </w:tcPr>
          <w:p>
            <w:pPr>
              <w:spacing w:before="120" w:after="120"/>
              <w:jc w:val="left"/>
              <w:textAlignment w:val="auto"/>
              <w:rPr>
                <w:szCs w:val="21"/>
              </w:rPr>
            </w:pPr>
            <w:r>
              <w:rPr>
                <w:rFonts w:hint="eastAsia"/>
                <w:szCs w:val="21"/>
              </w:rPr>
              <w:t>必须满足所要求金额的百分之四十五（45％）</w:t>
            </w:r>
          </w:p>
        </w:tc>
        <w:tc>
          <w:tcPr>
            <w:tcW w:w="1986" w:type="dxa"/>
            <w:tcBorders>
              <w:bottom w:val="single" w:color="000000" w:sz="6" w:space="0"/>
            </w:tcBorders>
            <w:vAlign w:val="center"/>
          </w:tcPr>
          <w:p>
            <w:pPr>
              <w:spacing w:before="120" w:after="120"/>
              <w:jc w:val="left"/>
              <w:textAlignment w:val="auto"/>
              <w:rPr>
                <w:szCs w:val="21"/>
              </w:rPr>
            </w:pPr>
            <w:r>
              <w:rPr>
                <w:rFonts w:hint="eastAsia"/>
                <w:szCs w:val="21"/>
              </w:rPr>
              <w:t>表格</w:t>
            </w:r>
            <w:r>
              <w:rPr>
                <w:szCs w:val="21"/>
              </w:rPr>
              <w:t>FIN</w:t>
            </w:r>
            <w:r>
              <w:rPr>
                <w:rFonts w:hint="eastAsia"/>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tcPr>
          <w:p>
            <w:pPr>
              <w:spacing w:before="120" w:after="120"/>
              <w:jc w:val="left"/>
              <w:textAlignment w:val="auto"/>
              <w:rPr>
                <w:szCs w:val="21"/>
              </w:rPr>
            </w:pPr>
            <w:bookmarkStart w:id="1118" w:name="_Hlk170737740"/>
            <w:r>
              <w:rPr>
                <w:szCs w:val="21"/>
              </w:rPr>
              <w:t xml:space="preserve">2.3.3 </w:t>
            </w:r>
            <w:bookmarkEnd w:id="1118"/>
            <w:r>
              <w:rPr>
                <w:rFonts w:hint="eastAsia"/>
                <w:szCs w:val="21"/>
              </w:rPr>
              <w:t>财务资源</w:t>
            </w:r>
          </w:p>
        </w:tc>
        <w:tc>
          <w:tcPr>
            <w:tcW w:w="4464" w:type="dxa"/>
          </w:tcPr>
          <w:p>
            <w:pPr>
              <w:spacing w:before="120" w:after="120"/>
              <w:jc w:val="left"/>
              <w:textAlignment w:val="auto"/>
              <w:rPr>
                <w:rFonts w:hint="eastAsia"/>
                <w:iCs/>
                <w:szCs w:val="21"/>
                <w:lang w:eastAsia="zh-CN"/>
              </w:rPr>
            </w:pPr>
            <w:r>
              <w:rPr>
                <w:rFonts w:hint="eastAsia"/>
                <w:iCs/>
                <w:szCs w:val="21"/>
              </w:rPr>
              <w:t>投标人必须证明其最近年度的营运资金（流动资产-流动负债）加上任何授信额度或者其它融资渠道（不包括合同预付款），扣除其现有合同承诺的现金流，必须能够满足</w:t>
            </w:r>
            <w:r>
              <w:rPr>
                <w:rFonts w:hint="eastAsia"/>
                <w:iCs/>
                <w:szCs w:val="21"/>
                <w:lang w:eastAsia="zh-CN"/>
              </w:rPr>
              <w:t>：</w:t>
            </w:r>
          </w:p>
          <w:p>
            <w:pPr>
              <w:spacing w:before="120" w:after="120"/>
              <w:jc w:val="left"/>
              <w:textAlignment w:val="auto"/>
              <w:rPr>
                <w:szCs w:val="21"/>
              </w:rPr>
            </w:pPr>
            <w:r>
              <w:rPr>
                <w:rFonts w:hint="eastAsia"/>
                <w:szCs w:val="21"/>
              </w:rPr>
              <w:t>1.田涧沟(解放西路-林园路)治理工程（合同号：</w:t>
            </w:r>
            <w:r>
              <w:rPr>
                <w:rFonts w:hint="eastAsia"/>
                <w:szCs w:val="21"/>
                <w:lang w:eastAsia="zh-CN"/>
              </w:rPr>
              <w:t>JZTJ121A</w:t>
            </w:r>
            <w:r>
              <w:rPr>
                <w:rFonts w:hint="eastAsia"/>
                <w:szCs w:val="21"/>
              </w:rPr>
              <w:t>）现金流要求：人民币1200万元+投标人正在执行的合同；</w:t>
            </w:r>
          </w:p>
          <w:p>
            <w:pPr>
              <w:spacing w:before="120" w:after="120"/>
              <w:jc w:val="left"/>
              <w:textAlignment w:val="auto"/>
              <w:rPr>
                <w:szCs w:val="21"/>
              </w:rPr>
            </w:pPr>
            <w:r>
              <w:rPr>
                <w:rFonts w:hint="eastAsia"/>
                <w:szCs w:val="21"/>
              </w:rPr>
              <w:t>2.田涧沟(林园路-普济河)治理工程（合同号：</w:t>
            </w:r>
            <w:r>
              <w:rPr>
                <w:rFonts w:hint="eastAsia"/>
                <w:szCs w:val="21"/>
                <w:lang w:eastAsia="zh-CN"/>
              </w:rPr>
              <w:t>JZTJ121B</w:t>
            </w:r>
            <w:r>
              <w:rPr>
                <w:rFonts w:hint="eastAsia"/>
                <w:szCs w:val="21"/>
              </w:rPr>
              <w:t>）现金流要求：人民币1200万元+投标人正在执行的合同</w:t>
            </w:r>
            <w:r>
              <w:rPr>
                <w:rFonts w:hint="eastAsia"/>
                <w:iCs/>
                <w:szCs w:val="21"/>
              </w:rPr>
              <w:t>。</w:t>
            </w:r>
          </w:p>
        </w:tc>
        <w:tc>
          <w:tcPr>
            <w:tcW w:w="1116" w:type="dxa"/>
            <w:tcBorders>
              <w:bottom w:val="single" w:color="auto" w:sz="4" w:space="0"/>
            </w:tcBorders>
          </w:tcPr>
          <w:p>
            <w:pPr>
              <w:spacing w:before="120" w:after="120"/>
              <w:jc w:val="left"/>
              <w:textAlignment w:val="auto"/>
            </w:pPr>
            <w:r>
              <w:rPr>
                <w:rFonts w:hint="eastAsia"/>
                <w:szCs w:val="21"/>
              </w:rPr>
              <w:t>必须满足要求</w:t>
            </w:r>
          </w:p>
        </w:tc>
        <w:tc>
          <w:tcPr>
            <w:tcW w:w="1786" w:type="dxa"/>
            <w:tcBorders>
              <w:bottom w:val="single" w:color="auto" w:sz="4" w:space="0"/>
            </w:tcBorders>
          </w:tcPr>
          <w:p>
            <w:pPr>
              <w:spacing w:before="120" w:after="120"/>
              <w:jc w:val="left"/>
              <w:textAlignment w:val="auto"/>
            </w:pPr>
            <w:r>
              <w:rPr>
                <w:rFonts w:hint="eastAsia"/>
                <w:szCs w:val="21"/>
              </w:rPr>
              <w:t>必须满足要求</w:t>
            </w:r>
          </w:p>
        </w:tc>
        <w:tc>
          <w:tcPr>
            <w:tcW w:w="1401" w:type="dxa"/>
            <w:tcBorders>
              <w:bottom w:val="single" w:color="auto" w:sz="4" w:space="0"/>
            </w:tcBorders>
          </w:tcPr>
          <w:p>
            <w:pPr>
              <w:spacing w:before="120" w:after="120"/>
              <w:jc w:val="left"/>
              <w:textAlignment w:val="auto"/>
              <w:rPr>
                <w:szCs w:val="21"/>
              </w:rPr>
            </w:pPr>
            <w:r>
              <w:rPr>
                <w:rFonts w:hint="eastAsia"/>
                <w:szCs w:val="21"/>
              </w:rPr>
              <w:t>必须满足所要求金额的百分之二十五（25％）</w:t>
            </w:r>
          </w:p>
        </w:tc>
        <w:tc>
          <w:tcPr>
            <w:tcW w:w="1532" w:type="dxa"/>
            <w:tcBorders>
              <w:bottom w:val="single" w:color="auto" w:sz="4" w:space="0"/>
            </w:tcBorders>
          </w:tcPr>
          <w:p>
            <w:pPr>
              <w:spacing w:before="120" w:after="120"/>
              <w:jc w:val="left"/>
              <w:textAlignment w:val="auto"/>
              <w:rPr>
                <w:szCs w:val="21"/>
              </w:rPr>
            </w:pPr>
            <w:r>
              <w:rPr>
                <w:rFonts w:hint="eastAsia"/>
                <w:szCs w:val="21"/>
              </w:rPr>
              <w:t>必须满足所要求金额的百分之四十五（45％）</w:t>
            </w:r>
          </w:p>
        </w:tc>
        <w:tc>
          <w:tcPr>
            <w:tcW w:w="1986" w:type="dxa"/>
            <w:tcBorders>
              <w:bottom w:val="single" w:color="auto" w:sz="4" w:space="0"/>
            </w:tcBorders>
            <w:vAlign w:val="center"/>
          </w:tcPr>
          <w:p>
            <w:pPr>
              <w:spacing w:before="120" w:after="120"/>
              <w:jc w:val="left"/>
              <w:textAlignment w:val="auto"/>
              <w:rPr>
                <w:szCs w:val="21"/>
              </w:rPr>
            </w:pPr>
            <w:r>
              <w:rPr>
                <w:rFonts w:hint="eastAsia"/>
                <w:szCs w:val="21"/>
              </w:rPr>
              <w:t>表格</w:t>
            </w:r>
            <w:r>
              <w:rPr>
                <w:szCs w:val="21"/>
              </w:rPr>
              <w:t>FIN –</w:t>
            </w:r>
            <w:r>
              <w:rPr>
                <w:rFonts w:hint="eastAsia"/>
                <w:szCs w:val="21"/>
              </w:rPr>
              <w:t>2.3.3</w:t>
            </w:r>
            <w:r>
              <w:rPr>
                <w:szCs w:val="21"/>
              </w:rPr>
              <w:t>.1</w:t>
            </w:r>
          </w:p>
          <w:p>
            <w:pPr>
              <w:spacing w:before="120" w:after="120"/>
              <w:jc w:val="left"/>
              <w:textAlignment w:val="auto"/>
              <w:rPr>
                <w:szCs w:val="21"/>
              </w:rPr>
            </w:pPr>
            <w:r>
              <w:rPr>
                <w:rFonts w:hint="eastAsia"/>
                <w:szCs w:val="21"/>
              </w:rPr>
              <w:t>表格FIN-2.3.3.2</w:t>
            </w:r>
          </w:p>
        </w:tc>
      </w:tr>
    </w:tbl>
    <w:p>
      <w:pPr>
        <w:widowControl/>
        <w:spacing w:before="120" w:after="120" w:line="240" w:lineRule="atLeast"/>
        <w:ind w:firstLine="422"/>
        <w:jc w:val="left"/>
        <w:textAlignment w:val="auto"/>
        <w:rPr>
          <w:b/>
          <w:bCs/>
          <w:szCs w:val="21"/>
        </w:rPr>
      </w:pPr>
    </w:p>
    <w:p>
      <w:pPr>
        <w:widowControl/>
        <w:adjustRightInd/>
        <w:spacing w:line="240" w:lineRule="auto"/>
        <w:jc w:val="left"/>
        <w:textAlignment w:val="auto"/>
        <w:rPr>
          <w:b/>
          <w:bCs/>
          <w:szCs w:val="21"/>
        </w:rPr>
      </w:pPr>
      <w:r>
        <w:rPr>
          <w:b/>
          <w:bCs/>
          <w:szCs w:val="21"/>
        </w:rPr>
        <w:br w:type="page"/>
      </w:r>
    </w:p>
    <w:tbl>
      <w:tblPr>
        <w:tblStyle w:val="62"/>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3867"/>
        <w:gridCol w:w="1169"/>
        <w:gridCol w:w="1710"/>
        <w:gridCol w:w="1440"/>
        <w:gridCol w:w="153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248" w:type="dxa"/>
            <w:vAlign w:val="center"/>
          </w:tcPr>
          <w:p>
            <w:pPr>
              <w:spacing w:before="120" w:after="120"/>
              <w:jc w:val="center"/>
              <w:textAlignment w:val="auto"/>
              <w:rPr>
                <w:b/>
                <w:szCs w:val="21"/>
              </w:rPr>
            </w:pPr>
            <w:r>
              <w:rPr>
                <w:b/>
                <w:szCs w:val="21"/>
              </w:rPr>
              <w:t>因素</w:t>
            </w:r>
          </w:p>
        </w:tc>
        <w:tc>
          <w:tcPr>
            <w:tcW w:w="11702" w:type="dxa"/>
            <w:gridSpan w:val="6"/>
            <w:vAlign w:val="center"/>
          </w:tcPr>
          <w:p>
            <w:pPr>
              <w:pStyle w:val="5"/>
            </w:pPr>
            <w:bookmarkStart w:id="1119" w:name="_Toc110267668"/>
            <w:bookmarkStart w:id="1120" w:name="_Toc110330793"/>
            <w:bookmarkStart w:id="1121" w:name="_Toc110264395"/>
            <w:bookmarkStart w:id="1122" w:name="_Toc110262740"/>
            <w:bookmarkStart w:id="1123" w:name="_Toc324771988"/>
            <w:bookmarkStart w:id="1124" w:name="_Toc77969925"/>
            <w:bookmarkStart w:id="1125" w:name="_Toc498848210"/>
            <w:bookmarkStart w:id="1126" w:name="_Toc169103254"/>
            <w:bookmarkStart w:id="1127" w:name="_Toc23215167"/>
            <w:bookmarkStart w:id="1128" w:name="_Toc324772204"/>
            <w:bookmarkStart w:id="1129" w:name="_Toc498339863"/>
            <w:bookmarkStart w:id="1130" w:name="_Toc171063117"/>
            <w:bookmarkStart w:id="1131" w:name="_Toc499023471"/>
            <w:bookmarkStart w:id="1132" w:name="_Toc110263934"/>
            <w:bookmarkStart w:id="1133" w:name="_Toc501529953"/>
            <w:bookmarkStart w:id="1134" w:name="_Toc499021788"/>
            <w:bookmarkStart w:id="1135" w:name="_Toc503874231"/>
            <w:bookmarkStart w:id="1136" w:name="_Toc391287336"/>
            <w:r>
              <w:t>2.4经验</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248" w:type="dxa"/>
            <w:vMerge w:val="restart"/>
            <w:vAlign w:val="center"/>
          </w:tcPr>
          <w:p>
            <w:pPr>
              <w:pStyle w:val="90"/>
              <w:spacing w:before="120" w:after="120"/>
              <w:rPr>
                <w:rFonts w:ascii="Times New Roman" w:hAnsi="Times New Roman"/>
                <w:b w:val="0"/>
                <w:sz w:val="21"/>
                <w:szCs w:val="21"/>
                <w:lang w:val="en-US"/>
              </w:rPr>
            </w:pPr>
            <w:bookmarkStart w:id="1137" w:name="_Toc110267669"/>
            <w:bookmarkStart w:id="1138" w:name="_Toc110263935"/>
            <w:bookmarkStart w:id="1139" w:name="_Toc110262741"/>
            <w:bookmarkStart w:id="1140" w:name="_Toc110330794"/>
            <w:bookmarkStart w:id="1141" w:name="_Toc110264396"/>
            <w:r>
              <w:rPr>
                <w:rFonts w:ascii="Times New Roman" w:hAnsi="Times New Roman"/>
                <w:sz w:val="21"/>
                <w:szCs w:val="21"/>
                <w:lang w:val="en-US" w:eastAsia="zh-CN"/>
              </w:rPr>
              <w:t>子因素</w:t>
            </w:r>
            <w:bookmarkEnd w:id="1137"/>
            <w:bookmarkEnd w:id="1138"/>
            <w:bookmarkEnd w:id="1139"/>
            <w:bookmarkEnd w:id="1140"/>
            <w:bookmarkEnd w:id="1141"/>
          </w:p>
        </w:tc>
        <w:tc>
          <w:tcPr>
            <w:tcW w:w="9718" w:type="dxa"/>
            <w:gridSpan w:val="5"/>
          </w:tcPr>
          <w:p>
            <w:pPr>
              <w:pStyle w:val="90"/>
              <w:spacing w:before="120" w:after="120"/>
              <w:ind w:firstLine="422"/>
              <w:rPr>
                <w:rFonts w:ascii="Times New Roman" w:hAnsi="Times New Roman"/>
                <w:sz w:val="21"/>
                <w:szCs w:val="21"/>
                <w:lang w:val="en-US" w:eastAsia="zh-CN"/>
              </w:rPr>
            </w:pPr>
            <w:bookmarkStart w:id="1142" w:name="_Toc110262742"/>
            <w:bookmarkStart w:id="1143" w:name="_Toc110267670"/>
            <w:bookmarkStart w:id="1144" w:name="_Toc110264397"/>
            <w:bookmarkStart w:id="1145" w:name="_Toc110263936"/>
            <w:bookmarkStart w:id="1146" w:name="_Toc110330795"/>
            <w:r>
              <w:rPr>
                <w:rFonts w:ascii="Times New Roman" w:hAnsi="Times New Roman"/>
                <w:sz w:val="21"/>
                <w:szCs w:val="21"/>
                <w:lang w:val="en-US" w:eastAsia="zh-CN"/>
              </w:rPr>
              <w:t>标准</w:t>
            </w:r>
            <w:bookmarkEnd w:id="1142"/>
            <w:bookmarkEnd w:id="1143"/>
            <w:bookmarkEnd w:id="1144"/>
            <w:bookmarkEnd w:id="1145"/>
            <w:bookmarkEnd w:id="1146"/>
          </w:p>
        </w:tc>
        <w:tc>
          <w:tcPr>
            <w:tcW w:w="1984" w:type="dxa"/>
            <w:vMerge w:val="restart"/>
            <w:vAlign w:val="center"/>
          </w:tcPr>
          <w:p>
            <w:pPr>
              <w:pStyle w:val="90"/>
              <w:spacing w:before="120" w:after="120"/>
              <w:jc w:val="both"/>
              <w:rPr>
                <w:rFonts w:ascii="Times New Roman" w:hAnsi="Times New Roman"/>
                <w:sz w:val="21"/>
                <w:szCs w:val="21"/>
                <w:lang w:val="en-US" w:eastAsia="zh-CN"/>
              </w:rPr>
            </w:pPr>
            <w:bookmarkStart w:id="1147" w:name="_Toc110262743"/>
            <w:bookmarkStart w:id="1148" w:name="_Toc110330796"/>
            <w:bookmarkStart w:id="1149" w:name="_Toc110264398"/>
            <w:bookmarkStart w:id="1150" w:name="_Toc110263937"/>
            <w:bookmarkStart w:id="1151" w:name="_Toc110267671"/>
            <w:r>
              <w:rPr>
                <w:rFonts w:ascii="Times New Roman" w:hAnsi="Times New Roman"/>
                <w:sz w:val="21"/>
                <w:szCs w:val="21"/>
                <w:lang w:val="en-US" w:eastAsia="zh-CN"/>
              </w:rPr>
              <w:t>要求</w:t>
            </w:r>
            <w:r>
              <w:rPr>
                <w:rFonts w:hint="eastAsia" w:ascii="Times New Roman" w:hAnsi="Times New Roman"/>
                <w:sz w:val="21"/>
                <w:szCs w:val="21"/>
                <w:lang w:val="en-US" w:eastAsia="zh-CN"/>
              </w:rPr>
              <w:t>投标人提交的文件</w:t>
            </w:r>
            <w:bookmarkEnd w:id="1147"/>
            <w:bookmarkEnd w:id="1148"/>
            <w:bookmarkEnd w:id="1149"/>
            <w:bookmarkEnd w:id="1150"/>
            <w:bookmarkEnd w:id="1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248" w:type="dxa"/>
            <w:vMerge w:val="continue"/>
          </w:tcPr>
          <w:p>
            <w:pPr>
              <w:spacing w:before="120" w:after="120"/>
              <w:jc w:val="center"/>
              <w:textAlignment w:val="auto"/>
              <w:rPr>
                <w:b/>
                <w:i/>
                <w:szCs w:val="21"/>
              </w:rPr>
            </w:pPr>
          </w:p>
        </w:tc>
        <w:tc>
          <w:tcPr>
            <w:tcW w:w="3867" w:type="dxa"/>
            <w:vMerge w:val="restart"/>
            <w:vAlign w:val="center"/>
          </w:tcPr>
          <w:p>
            <w:pPr>
              <w:pStyle w:val="90"/>
              <w:spacing w:before="120" w:after="120"/>
              <w:ind w:firstLine="422"/>
              <w:rPr>
                <w:rFonts w:ascii="Times New Roman" w:hAnsi="Times New Roman"/>
                <w:sz w:val="21"/>
                <w:szCs w:val="21"/>
                <w:lang w:val="en-US"/>
              </w:rPr>
            </w:pPr>
            <w:bookmarkStart w:id="1152" w:name="_Toc110330797"/>
            <w:bookmarkStart w:id="1153" w:name="_Toc110263938"/>
            <w:bookmarkStart w:id="1154" w:name="_Toc110267672"/>
            <w:bookmarkStart w:id="1155" w:name="_Toc110262744"/>
            <w:bookmarkStart w:id="1156" w:name="_Toc110264399"/>
            <w:r>
              <w:rPr>
                <w:rFonts w:ascii="Times New Roman" w:hAnsi="Times New Roman"/>
                <w:sz w:val="21"/>
                <w:szCs w:val="21"/>
                <w:lang w:val="en-US" w:eastAsia="zh-CN"/>
              </w:rPr>
              <w:t>要求</w:t>
            </w:r>
            <w:bookmarkEnd w:id="1152"/>
            <w:bookmarkEnd w:id="1153"/>
            <w:bookmarkEnd w:id="1154"/>
            <w:bookmarkEnd w:id="1155"/>
            <w:bookmarkEnd w:id="1156"/>
          </w:p>
        </w:tc>
        <w:tc>
          <w:tcPr>
            <w:tcW w:w="5851" w:type="dxa"/>
            <w:gridSpan w:val="4"/>
          </w:tcPr>
          <w:p>
            <w:pPr>
              <w:pStyle w:val="90"/>
              <w:spacing w:before="120" w:after="120"/>
              <w:ind w:firstLine="422"/>
              <w:rPr>
                <w:rFonts w:ascii="Times New Roman" w:hAnsi="Times New Roman"/>
                <w:sz w:val="21"/>
                <w:szCs w:val="21"/>
                <w:lang w:val="en-US"/>
              </w:rPr>
            </w:pPr>
            <w:bookmarkStart w:id="1157" w:name="_Toc110263939"/>
            <w:bookmarkStart w:id="1158" w:name="_Toc110262745"/>
            <w:bookmarkStart w:id="1159" w:name="_Toc110330798"/>
            <w:bookmarkStart w:id="1160" w:name="_Toc110264400"/>
            <w:bookmarkStart w:id="1161" w:name="_Toc110267673"/>
            <w:r>
              <w:rPr>
                <w:rFonts w:ascii="Times New Roman" w:hAnsi="Times New Roman"/>
                <w:sz w:val="21"/>
                <w:szCs w:val="21"/>
                <w:lang w:val="en-US" w:eastAsia="zh-CN"/>
              </w:rPr>
              <w:t>投标人</w:t>
            </w:r>
            <w:bookmarkEnd w:id="1157"/>
            <w:bookmarkEnd w:id="1158"/>
            <w:bookmarkEnd w:id="1159"/>
            <w:bookmarkEnd w:id="1160"/>
            <w:bookmarkEnd w:id="1161"/>
          </w:p>
        </w:tc>
        <w:tc>
          <w:tcPr>
            <w:tcW w:w="1984" w:type="dxa"/>
            <w:vMerge w:val="continue"/>
          </w:tcPr>
          <w:p>
            <w:pPr>
              <w:spacing w:before="120" w:after="120"/>
              <w:ind w:firstLine="422"/>
              <w:jc w:val="center"/>
              <w:textAlignment w:val="auto"/>
              <w:rPr>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248" w:type="dxa"/>
            <w:vMerge w:val="continue"/>
          </w:tcPr>
          <w:p>
            <w:pPr>
              <w:spacing w:before="120" w:after="120"/>
              <w:jc w:val="center"/>
              <w:textAlignment w:val="auto"/>
              <w:rPr>
                <w:b/>
                <w:i/>
                <w:szCs w:val="21"/>
              </w:rPr>
            </w:pPr>
          </w:p>
        </w:tc>
        <w:tc>
          <w:tcPr>
            <w:tcW w:w="3867" w:type="dxa"/>
            <w:vMerge w:val="continue"/>
          </w:tcPr>
          <w:p>
            <w:pPr>
              <w:spacing w:before="120" w:after="120"/>
              <w:ind w:left="360" w:firstLine="422"/>
              <w:jc w:val="center"/>
              <w:textAlignment w:val="auto"/>
              <w:rPr>
                <w:b/>
                <w:i/>
                <w:szCs w:val="21"/>
              </w:rPr>
            </w:pPr>
          </w:p>
        </w:tc>
        <w:tc>
          <w:tcPr>
            <w:tcW w:w="1169" w:type="dxa"/>
            <w:vMerge w:val="restart"/>
            <w:vAlign w:val="center"/>
          </w:tcPr>
          <w:p>
            <w:pPr>
              <w:spacing w:before="120" w:after="120"/>
              <w:textAlignment w:val="auto"/>
              <w:rPr>
                <w:szCs w:val="21"/>
              </w:rPr>
            </w:pPr>
            <w:r>
              <w:rPr>
                <w:b/>
                <w:szCs w:val="21"/>
              </w:rPr>
              <w:t>单一实体</w:t>
            </w:r>
          </w:p>
        </w:tc>
        <w:tc>
          <w:tcPr>
            <w:tcW w:w="4682" w:type="dxa"/>
            <w:gridSpan w:val="3"/>
          </w:tcPr>
          <w:p>
            <w:pPr>
              <w:spacing w:before="120" w:after="120"/>
              <w:ind w:firstLine="422"/>
              <w:jc w:val="center"/>
              <w:textAlignment w:val="auto"/>
              <w:rPr>
                <w:b/>
                <w:i/>
                <w:szCs w:val="21"/>
              </w:rPr>
            </w:pPr>
            <w:r>
              <w:rPr>
                <w:b/>
                <w:szCs w:val="21"/>
              </w:rPr>
              <w:t>联合体</w:t>
            </w:r>
          </w:p>
        </w:tc>
        <w:tc>
          <w:tcPr>
            <w:tcW w:w="1984" w:type="dxa"/>
            <w:vMerge w:val="continue"/>
          </w:tcPr>
          <w:p>
            <w:pPr>
              <w:spacing w:before="120" w:after="120"/>
              <w:ind w:firstLine="422"/>
              <w:jc w:val="center"/>
              <w:textAlignment w:val="auto"/>
              <w:rPr>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248" w:type="dxa"/>
            <w:vMerge w:val="continue"/>
          </w:tcPr>
          <w:p>
            <w:pPr>
              <w:spacing w:before="120" w:after="120"/>
              <w:textAlignment w:val="auto"/>
              <w:rPr>
                <w:b/>
                <w:i/>
                <w:szCs w:val="21"/>
              </w:rPr>
            </w:pPr>
          </w:p>
        </w:tc>
        <w:tc>
          <w:tcPr>
            <w:tcW w:w="3867" w:type="dxa"/>
            <w:vMerge w:val="continue"/>
          </w:tcPr>
          <w:p>
            <w:pPr>
              <w:spacing w:before="120" w:after="120"/>
              <w:ind w:left="360" w:firstLine="422"/>
              <w:textAlignment w:val="auto"/>
              <w:rPr>
                <w:b/>
                <w:i/>
                <w:szCs w:val="21"/>
              </w:rPr>
            </w:pPr>
          </w:p>
        </w:tc>
        <w:tc>
          <w:tcPr>
            <w:tcW w:w="1169" w:type="dxa"/>
            <w:vMerge w:val="continue"/>
          </w:tcPr>
          <w:p>
            <w:pPr>
              <w:spacing w:before="120" w:after="120"/>
              <w:ind w:firstLine="422"/>
              <w:jc w:val="center"/>
              <w:textAlignment w:val="auto"/>
              <w:rPr>
                <w:b/>
                <w:i/>
                <w:szCs w:val="21"/>
              </w:rPr>
            </w:pPr>
          </w:p>
        </w:tc>
        <w:tc>
          <w:tcPr>
            <w:tcW w:w="1710" w:type="dxa"/>
            <w:vAlign w:val="center"/>
          </w:tcPr>
          <w:p>
            <w:pPr>
              <w:spacing w:before="120" w:after="120"/>
              <w:textAlignment w:val="auto"/>
              <w:rPr>
                <w:b/>
                <w:szCs w:val="21"/>
              </w:rPr>
            </w:pPr>
            <w:r>
              <w:rPr>
                <w:b/>
                <w:szCs w:val="21"/>
              </w:rPr>
              <w:t>全体成员</w:t>
            </w:r>
            <w:r>
              <w:rPr>
                <w:rFonts w:hint="eastAsia"/>
                <w:b/>
                <w:szCs w:val="21"/>
              </w:rPr>
              <w:t>合计</w:t>
            </w:r>
          </w:p>
        </w:tc>
        <w:tc>
          <w:tcPr>
            <w:tcW w:w="1440" w:type="dxa"/>
            <w:vAlign w:val="center"/>
          </w:tcPr>
          <w:p>
            <w:pPr>
              <w:pStyle w:val="90"/>
              <w:spacing w:before="120" w:after="120"/>
              <w:jc w:val="both"/>
              <w:rPr>
                <w:rFonts w:ascii="Times New Roman" w:hAnsi="Times New Roman"/>
                <w:sz w:val="21"/>
                <w:szCs w:val="21"/>
                <w:lang w:val="en-US"/>
              </w:rPr>
            </w:pPr>
            <w:bookmarkStart w:id="1162" w:name="_Toc110263940"/>
            <w:bookmarkStart w:id="1163" w:name="_Toc110264401"/>
            <w:bookmarkStart w:id="1164" w:name="_Toc110267674"/>
            <w:bookmarkStart w:id="1165" w:name="_Toc110262746"/>
            <w:bookmarkStart w:id="1166" w:name="_Toc110330799"/>
            <w:r>
              <w:rPr>
                <w:rFonts w:ascii="Times New Roman" w:hAnsi="Times New Roman"/>
                <w:sz w:val="21"/>
                <w:szCs w:val="21"/>
                <w:lang w:val="en-US" w:eastAsia="zh-CN"/>
              </w:rPr>
              <w:t>每一个成员</w:t>
            </w:r>
            <w:bookmarkEnd w:id="1162"/>
            <w:bookmarkEnd w:id="1163"/>
            <w:bookmarkEnd w:id="1164"/>
            <w:bookmarkEnd w:id="1165"/>
            <w:bookmarkEnd w:id="1166"/>
            <w:bookmarkStart w:id="1167" w:name="_Toc110330800"/>
            <w:bookmarkStart w:id="1168" w:name="_Toc110263941"/>
            <w:bookmarkStart w:id="1169" w:name="_Toc324772205"/>
            <w:bookmarkStart w:id="1170" w:name="_Toc110267675"/>
            <w:bookmarkStart w:id="1171" w:name="_Toc391287337"/>
            <w:bookmarkStart w:id="1172" w:name="_Toc324771989"/>
            <w:bookmarkStart w:id="1173" w:name="_Toc110262747"/>
            <w:bookmarkStart w:id="1174" w:name="_Toc110264402"/>
          </w:p>
        </w:tc>
        <w:tc>
          <w:tcPr>
            <w:tcW w:w="1532" w:type="dxa"/>
            <w:vAlign w:val="center"/>
          </w:tcPr>
          <w:p>
            <w:pPr>
              <w:spacing w:before="120" w:after="120"/>
              <w:jc w:val="center"/>
              <w:textAlignment w:val="auto"/>
              <w:rPr>
                <w:b/>
                <w:szCs w:val="21"/>
              </w:rPr>
            </w:pPr>
            <w:r>
              <w:rPr>
                <w:b/>
                <w:szCs w:val="21"/>
              </w:rPr>
              <w:t>至少一个成员</w:t>
            </w:r>
          </w:p>
        </w:tc>
        <w:tc>
          <w:tcPr>
            <w:tcW w:w="1984" w:type="dxa"/>
            <w:vMerge w:val="continue"/>
          </w:tcPr>
          <w:p>
            <w:pPr>
              <w:spacing w:before="120" w:after="120"/>
              <w:ind w:firstLine="422"/>
              <w:jc w:val="center"/>
              <w:textAlignment w:val="auto"/>
              <w:rPr>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8" w:type="dxa"/>
          </w:tcPr>
          <w:p>
            <w:pPr>
              <w:spacing w:before="120" w:after="120"/>
              <w:jc w:val="left"/>
              <w:textAlignment w:val="auto"/>
              <w:rPr>
                <w:szCs w:val="21"/>
              </w:rPr>
            </w:pPr>
            <w:bookmarkStart w:id="1175" w:name="_Toc496968138"/>
            <w:r>
              <w:rPr>
                <w:szCs w:val="21"/>
              </w:rPr>
              <w:t>2.4.1一般经验</w:t>
            </w:r>
            <w:bookmarkEnd w:id="1175"/>
          </w:p>
        </w:tc>
        <w:tc>
          <w:tcPr>
            <w:tcW w:w="3867" w:type="dxa"/>
          </w:tcPr>
          <w:p>
            <w:pPr>
              <w:spacing w:before="120" w:after="120"/>
              <w:jc w:val="left"/>
              <w:textAlignment w:val="auto"/>
              <w:rPr>
                <w:szCs w:val="21"/>
              </w:rPr>
            </w:pPr>
            <w:r>
              <w:rPr>
                <w:rFonts w:hint="eastAsia"/>
                <w:szCs w:val="21"/>
              </w:rPr>
              <w:t>投标截止时间前，至少有5年的作为承包商、联合体成员或分包商的经验。</w:t>
            </w:r>
          </w:p>
        </w:tc>
        <w:tc>
          <w:tcPr>
            <w:tcW w:w="1169" w:type="dxa"/>
            <w:tcBorders>
              <w:bottom w:val="single" w:color="auto" w:sz="4" w:space="0"/>
            </w:tcBorders>
          </w:tcPr>
          <w:p>
            <w:pPr>
              <w:spacing w:before="120" w:after="120"/>
              <w:jc w:val="left"/>
              <w:textAlignment w:val="auto"/>
              <w:rPr>
                <w:szCs w:val="21"/>
              </w:rPr>
            </w:pPr>
            <w:r>
              <w:rPr>
                <w:rFonts w:hint="eastAsia"/>
                <w:szCs w:val="21"/>
              </w:rPr>
              <w:t>必须满足要求</w:t>
            </w:r>
          </w:p>
        </w:tc>
        <w:tc>
          <w:tcPr>
            <w:tcW w:w="1710" w:type="dxa"/>
            <w:tcBorders>
              <w:bottom w:val="single" w:color="auto" w:sz="4" w:space="0"/>
            </w:tcBorders>
          </w:tcPr>
          <w:p>
            <w:pPr>
              <w:spacing w:before="120" w:after="120"/>
              <w:jc w:val="left"/>
              <w:textAlignment w:val="auto"/>
              <w:rPr>
                <w:szCs w:val="21"/>
              </w:rPr>
            </w:pPr>
            <w:r>
              <w:rPr>
                <w:rFonts w:hint="eastAsia"/>
                <w:szCs w:val="21"/>
              </w:rPr>
              <w:t>不适用</w:t>
            </w:r>
          </w:p>
        </w:tc>
        <w:tc>
          <w:tcPr>
            <w:tcW w:w="1440" w:type="dxa"/>
            <w:tcBorders>
              <w:bottom w:val="single" w:color="auto" w:sz="4" w:space="0"/>
            </w:tcBorders>
          </w:tcPr>
          <w:p>
            <w:pPr>
              <w:spacing w:before="120" w:after="120"/>
              <w:jc w:val="left"/>
              <w:textAlignment w:val="auto"/>
              <w:rPr>
                <w:szCs w:val="21"/>
              </w:rPr>
            </w:pPr>
            <w:r>
              <w:rPr>
                <w:rFonts w:hint="eastAsia"/>
                <w:szCs w:val="21"/>
              </w:rPr>
              <w:t>必须满足与已有或将要签订的联合协议分配给该成员工作相对应的要求</w:t>
            </w:r>
          </w:p>
        </w:tc>
        <w:tc>
          <w:tcPr>
            <w:tcW w:w="1532" w:type="dxa"/>
            <w:tcBorders>
              <w:bottom w:val="single" w:color="auto" w:sz="4" w:space="0"/>
            </w:tcBorders>
          </w:tcPr>
          <w:p>
            <w:pPr>
              <w:spacing w:before="120" w:after="120"/>
              <w:jc w:val="left"/>
              <w:textAlignment w:val="auto"/>
              <w:rPr>
                <w:szCs w:val="21"/>
              </w:rPr>
            </w:pPr>
            <w:r>
              <w:rPr>
                <w:rFonts w:hint="eastAsia"/>
                <w:szCs w:val="21"/>
              </w:rPr>
              <w:t>不适用</w:t>
            </w:r>
          </w:p>
        </w:tc>
        <w:tc>
          <w:tcPr>
            <w:tcW w:w="1984" w:type="dxa"/>
          </w:tcPr>
          <w:p>
            <w:pPr>
              <w:spacing w:before="120" w:after="120"/>
              <w:jc w:val="left"/>
              <w:textAlignment w:val="auto"/>
              <w:rPr>
                <w:szCs w:val="21"/>
              </w:rPr>
            </w:pPr>
            <w:r>
              <w:rPr>
                <w:rFonts w:hint="eastAsia"/>
                <w:szCs w:val="21"/>
              </w:rPr>
              <w:t>表格</w:t>
            </w:r>
            <w:r>
              <w:rPr>
                <w:szCs w:val="21"/>
              </w:rPr>
              <w:t>EXP-</w:t>
            </w:r>
            <w:r>
              <w:rPr>
                <w:rFonts w:hint="eastAsia"/>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8" w:type="dxa"/>
            <w:vMerge w:val="restart"/>
          </w:tcPr>
          <w:p>
            <w:pPr>
              <w:spacing w:before="120" w:after="120"/>
              <w:jc w:val="left"/>
              <w:textAlignment w:val="auto"/>
              <w:rPr>
                <w:szCs w:val="21"/>
              </w:rPr>
            </w:pPr>
            <w:bookmarkStart w:id="1176" w:name="_Hlk170737777"/>
            <w:r>
              <w:rPr>
                <w:szCs w:val="21"/>
              </w:rPr>
              <w:t>2.4.2</w:t>
            </w:r>
            <w:bookmarkEnd w:id="1176"/>
            <w:r>
              <w:rPr>
                <w:szCs w:val="21"/>
              </w:rPr>
              <w:t>特殊经验</w:t>
            </w:r>
          </w:p>
        </w:tc>
        <w:tc>
          <w:tcPr>
            <w:tcW w:w="3867" w:type="dxa"/>
            <w:tcBorders>
              <w:bottom w:val="single" w:color="000000" w:sz="6" w:space="0"/>
            </w:tcBorders>
          </w:tcPr>
          <w:p>
            <w:pPr>
              <w:spacing w:before="120" w:after="120"/>
              <w:jc w:val="left"/>
              <w:textAlignment w:val="auto"/>
              <w:rPr>
                <w:rFonts w:hint="eastAsia"/>
                <w:szCs w:val="21"/>
                <w:highlight w:val="none"/>
                <w:lang w:eastAsia="zh-CN"/>
              </w:rPr>
            </w:pPr>
            <w:r>
              <w:rPr>
                <w:rFonts w:hint="eastAsia"/>
                <w:szCs w:val="21"/>
                <w:highlight w:val="none"/>
              </w:rPr>
              <w:t>（1）在过去5年里，作为承包商、联合体成员或分包商</w:t>
            </w:r>
            <w:r>
              <w:rPr>
                <w:rFonts w:hint="eastAsia"/>
                <w:szCs w:val="21"/>
                <w:highlight w:val="none"/>
                <w:lang w:eastAsia="zh-CN"/>
              </w:rPr>
              <w:t>：</w:t>
            </w:r>
          </w:p>
          <w:p>
            <w:pPr>
              <w:rPr>
                <w:highlight w:val="none"/>
              </w:rPr>
            </w:pPr>
            <w:r>
              <w:rPr>
                <w:highlight w:val="none"/>
              </w:rPr>
              <w:t>1.</w:t>
            </w:r>
            <w:r>
              <w:rPr>
                <w:rFonts w:hint="eastAsia"/>
                <w:szCs w:val="21"/>
                <w:highlight w:val="none"/>
              </w:rPr>
              <w:t>田涧沟(解放西路-林园路)治理工程（合同号：</w:t>
            </w:r>
            <w:r>
              <w:rPr>
                <w:rFonts w:hint="eastAsia"/>
                <w:szCs w:val="21"/>
                <w:highlight w:val="none"/>
                <w:lang w:eastAsia="zh-CN"/>
              </w:rPr>
              <w:t>JZTJ121A</w:t>
            </w:r>
            <w:r>
              <w:rPr>
                <w:rFonts w:hint="eastAsia"/>
                <w:szCs w:val="21"/>
                <w:highlight w:val="none"/>
              </w:rPr>
              <w:t>）</w:t>
            </w:r>
            <w:r>
              <w:rPr>
                <w:highlight w:val="none"/>
              </w:rPr>
              <w:t>：</w:t>
            </w:r>
            <w:r>
              <w:rPr>
                <w:rFonts w:hint="eastAsia"/>
                <w:szCs w:val="21"/>
                <w:highlight w:val="none"/>
              </w:rPr>
              <w:t>至少参与了1个</w:t>
            </w:r>
            <w:r>
              <w:rPr>
                <w:rFonts w:hint="eastAsia"/>
                <w:highlight w:val="none"/>
              </w:rPr>
              <w:t>河道治理</w:t>
            </w:r>
            <w:r>
              <w:rPr>
                <w:highlight w:val="none"/>
              </w:rPr>
              <w:t>合同的实施</w:t>
            </w:r>
            <w:r>
              <w:rPr>
                <w:rFonts w:hint="eastAsia"/>
                <w:szCs w:val="21"/>
                <w:highlight w:val="none"/>
              </w:rPr>
              <w:t>，并且每个合同金额不少于人民币2800万元</w:t>
            </w:r>
            <w:r>
              <w:rPr>
                <w:highlight w:val="none"/>
              </w:rPr>
              <w:t>；</w:t>
            </w:r>
          </w:p>
          <w:p>
            <w:pPr>
              <w:spacing w:before="120" w:after="120"/>
              <w:jc w:val="left"/>
              <w:textAlignment w:val="auto"/>
              <w:rPr>
                <w:rFonts w:hint="eastAsia"/>
                <w:szCs w:val="21"/>
                <w:highlight w:val="none"/>
              </w:rPr>
            </w:pPr>
            <w:r>
              <w:rPr>
                <w:highlight w:val="none"/>
              </w:rPr>
              <w:t>2.</w:t>
            </w:r>
            <w:r>
              <w:rPr>
                <w:rFonts w:hint="eastAsia"/>
                <w:szCs w:val="21"/>
                <w:highlight w:val="none"/>
              </w:rPr>
              <w:t>田涧沟(林园路-普济河)治理工程（合同号：</w:t>
            </w:r>
            <w:r>
              <w:rPr>
                <w:rFonts w:hint="eastAsia"/>
                <w:szCs w:val="21"/>
                <w:highlight w:val="none"/>
                <w:lang w:eastAsia="zh-CN"/>
              </w:rPr>
              <w:t>JZTJ121B</w:t>
            </w:r>
            <w:r>
              <w:rPr>
                <w:rFonts w:hint="eastAsia"/>
                <w:szCs w:val="21"/>
                <w:highlight w:val="none"/>
              </w:rPr>
              <w:t>）</w:t>
            </w:r>
            <w:r>
              <w:rPr>
                <w:highlight w:val="none"/>
              </w:rPr>
              <w:t>:</w:t>
            </w:r>
            <w:r>
              <w:rPr>
                <w:rFonts w:hint="eastAsia"/>
                <w:szCs w:val="21"/>
                <w:highlight w:val="none"/>
              </w:rPr>
              <w:t>至少参与了1个</w:t>
            </w:r>
            <w:r>
              <w:rPr>
                <w:rFonts w:hint="eastAsia"/>
                <w:highlight w:val="none"/>
              </w:rPr>
              <w:t>河道治理</w:t>
            </w:r>
            <w:r>
              <w:rPr>
                <w:highlight w:val="none"/>
              </w:rPr>
              <w:t>合同的实施</w:t>
            </w:r>
            <w:r>
              <w:rPr>
                <w:rFonts w:hint="eastAsia"/>
                <w:szCs w:val="21"/>
                <w:highlight w:val="none"/>
              </w:rPr>
              <w:t>，并且每个合同金额不少于人民币2900万元。</w:t>
            </w:r>
          </w:p>
          <w:p>
            <w:pPr>
              <w:spacing w:before="120" w:after="120"/>
              <w:jc w:val="left"/>
              <w:textAlignment w:val="auto"/>
              <w:rPr>
                <w:b/>
                <w:szCs w:val="21"/>
                <w:highlight w:val="none"/>
              </w:rPr>
            </w:pPr>
            <w:r>
              <w:rPr>
                <w:rFonts w:hint="eastAsia"/>
                <w:szCs w:val="21"/>
                <w:highlight w:val="none"/>
              </w:rPr>
              <w:t>这些合同应该已经成功完成，且与本合同的内容相似。相似包括工程规模、复杂程度、施工方法或技术以及第六章所要求的其它特征。</w:t>
            </w:r>
          </w:p>
        </w:tc>
        <w:tc>
          <w:tcPr>
            <w:tcW w:w="1169" w:type="dxa"/>
            <w:tcBorders>
              <w:top w:val="nil"/>
              <w:bottom w:val="single" w:color="000000" w:sz="6" w:space="0"/>
            </w:tcBorders>
          </w:tcPr>
          <w:p>
            <w:pPr>
              <w:spacing w:before="120" w:after="120"/>
              <w:jc w:val="left"/>
              <w:textAlignment w:val="auto"/>
              <w:rPr>
                <w:szCs w:val="21"/>
              </w:rPr>
            </w:pPr>
            <w:r>
              <w:rPr>
                <w:rFonts w:hint="eastAsia"/>
                <w:szCs w:val="21"/>
              </w:rPr>
              <w:t>必须满足要求</w:t>
            </w:r>
          </w:p>
        </w:tc>
        <w:tc>
          <w:tcPr>
            <w:tcW w:w="1710" w:type="dxa"/>
            <w:tcBorders>
              <w:top w:val="nil"/>
              <w:bottom w:val="single" w:color="000000" w:sz="6" w:space="0"/>
            </w:tcBorders>
          </w:tcPr>
          <w:p>
            <w:pPr>
              <w:spacing w:before="120" w:after="120"/>
              <w:jc w:val="left"/>
              <w:textAlignment w:val="auto"/>
              <w:rPr>
                <w:szCs w:val="21"/>
              </w:rPr>
            </w:pPr>
            <w:r>
              <w:rPr>
                <w:rFonts w:hint="eastAsia"/>
                <w:szCs w:val="21"/>
              </w:rPr>
              <w:t>必须满足所有要求</w:t>
            </w:r>
          </w:p>
        </w:tc>
        <w:tc>
          <w:tcPr>
            <w:tcW w:w="1440" w:type="dxa"/>
            <w:tcBorders>
              <w:top w:val="nil"/>
              <w:bottom w:val="single" w:color="000000" w:sz="6" w:space="0"/>
            </w:tcBorders>
          </w:tcPr>
          <w:p>
            <w:pPr>
              <w:spacing w:before="120" w:after="120"/>
              <w:jc w:val="left"/>
              <w:textAlignment w:val="auto"/>
              <w:rPr>
                <w:szCs w:val="21"/>
              </w:rPr>
            </w:pPr>
            <w:r>
              <w:rPr>
                <w:rFonts w:hint="eastAsia"/>
                <w:szCs w:val="21"/>
              </w:rPr>
              <w:t>不适用</w:t>
            </w:r>
          </w:p>
        </w:tc>
        <w:tc>
          <w:tcPr>
            <w:tcW w:w="1532" w:type="dxa"/>
            <w:tcBorders>
              <w:top w:val="nil"/>
              <w:bottom w:val="single" w:color="000000" w:sz="6" w:space="0"/>
            </w:tcBorders>
          </w:tcPr>
          <w:p>
            <w:pPr>
              <w:spacing w:before="120" w:after="120"/>
              <w:jc w:val="left"/>
              <w:textAlignment w:val="auto"/>
              <w:rPr>
                <w:szCs w:val="21"/>
              </w:rPr>
            </w:pPr>
            <w:r>
              <w:rPr>
                <w:rFonts w:hint="eastAsia"/>
                <w:szCs w:val="21"/>
              </w:rPr>
              <w:t>必须满足对应于该成员所需完成工作的要求</w:t>
            </w:r>
          </w:p>
        </w:tc>
        <w:tc>
          <w:tcPr>
            <w:tcW w:w="1984" w:type="dxa"/>
            <w:tcBorders>
              <w:bottom w:val="single" w:color="000000" w:sz="6" w:space="0"/>
            </w:tcBorders>
          </w:tcPr>
          <w:p>
            <w:pPr>
              <w:spacing w:before="120" w:after="120"/>
              <w:jc w:val="left"/>
              <w:textAlignment w:val="auto"/>
              <w:rPr>
                <w:szCs w:val="21"/>
              </w:rPr>
            </w:pPr>
            <w:r>
              <w:rPr>
                <w:rFonts w:hint="eastAsia"/>
                <w:szCs w:val="21"/>
              </w:rPr>
              <w:t>表格</w:t>
            </w:r>
            <w:r>
              <w:rPr>
                <w:szCs w:val="21"/>
              </w:rPr>
              <w:t>EXP2.4.2(</w:t>
            </w:r>
            <w:r>
              <w:rPr>
                <w:rFonts w:hint="eastAsia"/>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8" w:type="dxa"/>
            <w:vMerge w:val="continue"/>
            <w:tcBorders>
              <w:bottom w:val="single" w:color="auto" w:sz="4" w:space="0"/>
            </w:tcBorders>
          </w:tcPr>
          <w:p>
            <w:pPr>
              <w:spacing w:before="120" w:after="120"/>
              <w:ind w:firstLine="422"/>
              <w:textAlignment w:val="auto"/>
              <w:rPr>
                <w:b/>
                <w:szCs w:val="21"/>
              </w:rPr>
            </w:pPr>
          </w:p>
        </w:tc>
        <w:tc>
          <w:tcPr>
            <w:tcW w:w="3867" w:type="dxa"/>
            <w:tcBorders>
              <w:top w:val="single" w:color="000000" w:sz="6" w:space="0"/>
              <w:bottom w:val="single" w:color="auto" w:sz="4" w:space="0"/>
            </w:tcBorders>
          </w:tcPr>
          <w:p>
            <w:pPr>
              <w:spacing w:before="120" w:after="120"/>
              <w:textAlignment w:val="auto"/>
              <w:rPr>
                <w:rFonts w:hint="eastAsia"/>
                <w:szCs w:val="21"/>
                <w:highlight w:val="none"/>
              </w:rPr>
            </w:pPr>
            <w:r>
              <w:rPr>
                <w:rFonts w:hint="eastAsia"/>
                <w:szCs w:val="21"/>
                <w:highlight w:val="none"/>
              </w:rPr>
              <w:t>（2）上述合同或上述2.4.2(1)规定期限里投标人实施的其它合同至少应包括以下的一些关键工程：</w:t>
            </w:r>
          </w:p>
          <w:p>
            <w:pPr>
              <w:rPr>
                <w:highlight w:val="none"/>
              </w:rPr>
            </w:pPr>
            <w:r>
              <w:rPr>
                <w:rFonts w:hint="eastAsia"/>
                <w:highlight w:val="none"/>
              </w:rPr>
              <w:t>田涧沟(解放西路-林园路)治理工程（合同号：</w:t>
            </w:r>
            <w:r>
              <w:rPr>
                <w:rFonts w:hint="eastAsia"/>
                <w:highlight w:val="none"/>
                <w:lang w:eastAsia="zh-CN"/>
              </w:rPr>
              <w:t>JZTJ121A</w:t>
            </w:r>
            <w:r>
              <w:rPr>
                <w:rFonts w:hint="eastAsia"/>
                <w:highlight w:val="none"/>
              </w:rPr>
              <w:t>）</w:t>
            </w:r>
            <w:r>
              <w:rPr>
                <w:highlight w:val="none"/>
              </w:rPr>
              <w:t>：</w:t>
            </w:r>
            <w:r>
              <w:rPr>
                <w:rFonts w:hint="eastAsia"/>
                <w:highlight w:val="none"/>
              </w:rPr>
              <w:t>1.完成过河道开挖疏浚业绩，长度累计不低于1300米；2.完成过桥涵的新建业绩，桥涵单孔孔径不低于8米，总长度不低于24米；3.完成过截污管道长度新建业绩，累计长度不低于690米，最大管径不低于DN500。</w:t>
            </w:r>
          </w:p>
          <w:p>
            <w:pPr>
              <w:spacing w:before="120" w:after="120"/>
              <w:textAlignment w:val="auto"/>
              <w:rPr>
                <w:rFonts w:hint="eastAsia"/>
                <w:szCs w:val="21"/>
                <w:highlight w:val="none"/>
              </w:rPr>
            </w:pPr>
            <w:r>
              <w:rPr>
                <w:rFonts w:hint="eastAsia"/>
                <w:highlight w:val="none"/>
              </w:rPr>
              <w:t>田涧沟(林园路-普济河)治理工程（合同号：</w:t>
            </w:r>
            <w:r>
              <w:rPr>
                <w:rFonts w:hint="eastAsia"/>
                <w:highlight w:val="none"/>
                <w:lang w:eastAsia="zh-CN"/>
              </w:rPr>
              <w:t>JZTJ121B</w:t>
            </w:r>
            <w:r>
              <w:rPr>
                <w:rFonts w:hint="eastAsia"/>
                <w:highlight w:val="none"/>
              </w:rPr>
              <w:t>）</w:t>
            </w:r>
            <w:r>
              <w:rPr>
                <w:highlight w:val="none"/>
              </w:rPr>
              <w:t>:</w:t>
            </w:r>
            <w:r>
              <w:rPr>
                <w:rFonts w:hint="eastAsia"/>
                <w:highlight w:val="none"/>
              </w:rPr>
              <w:t>1.完成过河道开挖疏浚业绩，长度累计不低于1500米；2.完成过桥涵的新建业绩，桥涵单孔孔径不低于8米，总长度不低于24米；3.完成过截污管道长度新建业绩，累计长度不低于640米，最大管径不低于DN1000。</w:t>
            </w:r>
          </w:p>
        </w:tc>
        <w:tc>
          <w:tcPr>
            <w:tcW w:w="1169" w:type="dxa"/>
            <w:tcBorders>
              <w:top w:val="single" w:color="000000" w:sz="6" w:space="0"/>
              <w:bottom w:val="single" w:color="auto" w:sz="4" w:space="0"/>
            </w:tcBorders>
          </w:tcPr>
          <w:p>
            <w:pPr>
              <w:spacing w:before="120" w:after="120"/>
              <w:jc w:val="left"/>
              <w:textAlignment w:val="auto"/>
              <w:rPr>
                <w:szCs w:val="21"/>
                <w:highlight w:val="none"/>
              </w:rPr>
            </w:pPr>
            <w:r>
              <w:rPr>
                <w:rFonts w:hint="eastAsia"/>
                <w:szCs w:val="21"/>
                <w:highlight w:val="none"/>
              </w:rPr>
              <w:t>必须满足要求</w:t>
            </w:r>
          </w:p>
        </w:tc>
        <w:tc>
          <w:tcPr>
            <w:tcW w:w="1710" w:type="dxa"/>
            <w:tcBorders>
              <w:top w:val="single" w:color="000000" w:sz="6" w:space="0"/>
              <w:bottom w:val="single" w:color="auto" w:sz="4" w:space="0"/>
            </w:tcBorders>
          </w:tcPr>
          <w:p>
            <w:pPr>
              <w:spacing w:before="120" w:after="120"/>
              <w:jc w:val="left"/>
              <w:textAlignment w:val="auto"/>
              <w:rPr>
                <w:szCs w:val="21"/>
                <w:highlight w:val="none"/>
              </w:rPr>
            </w:pPr>
            <w:r>
              <w:rPr>
                <w:rFonts w:hint="eastAsia"/>
                <w:szCs w:val="21"/>
                <w:highlight w:val="none"/>
              </w:rPr>
              <w:t>必须满足要求</w:t>
            </w:r>
          </w:p>
        </w:tc>
        <w:tc>
          <w:tcPr>
            <w:tcW w:w="1440" w:type="dxa"/>
            <w:tcBorders>
              <w:top w:val="single" w:color="000000" w:sz="6" w:space="0"/>
              <w:bottom w:val="single" w:color="auto" w:sz="4" w:space="0"/>
            </w:tcBorders>
          </w:tcPr>
          <w:p>
            <w:pPr>
              <w:spacing w:before="120" w:after="120"/>
              <w:jc w:val="left"/>
              <w:textAlignment w:val="auto"/>
              <w:rPr>
                <w:szCs w:val="21"/>
                <w:highlight w:val="none"/>
              </w:rPr>
            </w:pPr>
            <w:r>
              <w:rPr>
                <w:rFonts w:hint="eastAsia"/>
                <w:szCs w:val="21"/>
                <w:highlight w:val="none"/>
              </w:rPr>
              <w:t>不适用</w:t>
            </w:r>
          </w:p>
        </w:tc>
        <w:tc>
          <w:tcPr>
            <w:tcW w:w="1532" w:type="dxa"/>
            <w:tcBorders>
              <w:top w:val="single" w:color="000000" w:sz="6" w:space="0"/>
              <w:bottom w:val="single" w:color="auto" w:sz="4" w:space="0"/>
            </w:tcBorders>
          </w:tcPr>
          <w:p>
            <w:pPr>
              <w:spacing w:before="120" w:after="120"/>
              <w:jc w:val="left"/>
              <w:textAlignment w:val="auto"/>
              <w:rPr>
                <w:szCs w:val="21"/>
                <w:highlight w:val="none"/>
              </w:rPr>
            </w:pPr>
            <w:r>
              <w:rPr>
                <w:rFonts w:hint="eastAsia"/>
                <w:szCs w:val="21"/>
                <w:highlight w:val="none"/>
              </w:rPr>
              <w:t>必须满足要求</w:t>
            </w:r>
          </w:p>
        </w:tc>
        <w:tc>
          <w:tcPr>
            <w:tcW w:w="1984" w:type="dxa"/>
            <w:tcBorders>
              <w:top w:val="single" w:color="000000" w:sz="6" w:space="0"/>
              <w:bottom w:val="single" w:color="auto" w:sz="4" w:space="0"/>
            </w:tcBorders>
          </w:tcPr>
          <w:p>
            <w:pPr>
              <w:spacing w:before="120" w:after="120"/>
              <w:jc w:val="left"/>
              <w:textAlignment w:val="auto"/>
              <w:rPr>
                <w:szCs w:val="21"/>
                <w:highlight w:val="none"/>
              </w:rPr>
            </w:pPr>
            <w:r>
              <w:rPr>
                <w:rFonts w:hint="eastAsia"/>
                <w:szCs w:val="21"/>
                <w:highlight w:val="none"/>
              </w:rPr>
              <w:t>表格</w:t>
            </w:r>
            <w:r>
              <w:rPr>
                <w:szCs w:val="21"/>
                <w:highlight w:val="none"/>
              </w:rPr>
              <w:t>EXP2.4.2(</w:t>
            </w:r>
            <w:r>
              <w:rPr>
                <w:rFonts w:hint="eastAsia"/>
                <w:szCs w:val="21"/>
                <w:highlight w:val="none"/>
              </w:rPr>
              <w:t>2</w:t>
            </w:r>
            <w:r>
              <w:rPr>
                <w:szCs w:val="21"/>
                <w:highlight w:val="none"/>
              </w:rPr>
              <w:t>)</w:t>
            </w:r>
          </w:p>
          <w:p>
            <w:pPr>
              <w:spacing w:before="120" w:after="120"/>
              <w:jc w:val="left"/>
              <w:textAlignment w:val="auto"/>
              <w:rPr>
                <w:szCs w:val="21"/>
                <w:highlight w:val="none"/>
              </w:rPr>
            </w:pPr>
            <w:r>
              <w:rPr>
                <w:rFonts w:hint="eastAsia"/>
                <w:b w:val="0"/>
                <w:bCs w:val="0"/>
                <w:caps w:val="0"/>
                <w:sz w:val="21"/>
                <w:szCs w:val="22"/>
                <w:highlight w:val="none"/>
              </w:rPr>
              <w:t>投标人应提交有效的业绩证明文件的复印件，包括施工合同、工程（交）竣工证明文件等，可额外提供中标通知书、用户证明等至少可以说明合同工程量的证明文件。投标人应提供开具相关证明文件的单位联系人名称、有效联系号码及详细地址。</w:t>
            </w:r>
          </w:p>
        </w:tc>
      </w:tr>
    </w:tbl>
    <w:p>
      <w:pPr>
        <w:widowControl/>
        <w:adjustRightInd/>
        <w:spacing w:line="240" w:lineRule="auto"/>
        <w:jc w:val="left"/>
        <w:textAlignment w:val="auto"/>
        <w:rPr>
          <w:szCs w:val="21"/>
        </w:rPr>
        <w:sectPr>
          <w:headerReference r:id="rId12" w:type="first"/>
          <w:headerReference r:id="rId11" w:type="even"/>
          <w:footnotePr>
            <w:numRestart w:val="eachSect"/>
          </w:footnotePr>
          <w:endnotePr>
            <w:numFmt w:val="decimal"/>
          </w:endnotePr>
          <w:type w:val="continuous"/>
          <w:pgSz w:w="16840" w:h="11907" w:orient="landscape"/>
          <w:pgMar w:top="1797" w:right="1440" w:bottom="1797" w:left="1440" w:header="851" w:footer="992" w:gutter="0"/>
          <w:cols w:space="720" w:num="1"/>
          <w:docGrid w:linePitch="360" w:charSpace="0"/>
        </w:sectPr>
      </w:pPr>
    </w:p>
    <w:p>
      <w:pPr>
        <w:pStyle w:val="133"/>
      </w:pPr>
      <w:bookmarkStart w:id="1177" w:name="_Toc169103255"/>
      <w:bookmarkStart w:id="1178" w:name="_Toc171063118"/>
      <w:r>
        <w:t>3. 人员</w:t>
      </w:r>
      <w:bookmarkEnd w:id="1167"/>
      <w:bookmarkEnd w:id="1168"/>
      <w:bookmarkEnd w:id="1169"/>
      <w:bookmarkEnd w:id="1170"/>
      <w:bookmarkEnd w:id="1171"/>
      <w:bookmarkEnd w:id="1172"/>
      <w:bookmarkEnd w:id="1173"/>
      <w:bookmarkEnd w:id="1174"/>
      <w:bookmarkEnd w:id="1177"/>
      <w:bookmarkEnd w:id="1178"/>
    </w:p>
    <w:p>
      <w:pPr>
        <w:widowControl/>
        <w:spacing w:before="120" w:after="120" w:line="240" w:lineRule="atLeast"/>
        <w:ind w:firstLine="420" w:firstLineChars="200"/>
        <w:jc w:val="left"/>
        <w:textAlignment w:val="auto"/>
      </w:pPr>
      <w:bookmarkStart w:id="1179" w:name="_Toc110264403"/>
      <w:bookmarkStart w:id="1180" w:name="_Toc324772206"/>
      <w:bookmarkStart w:id="1181" w:name="_Toc110262748"/>
      <w:bookmarkStart w:id="1182" w:name="_Toc110263942"/>
      <w:bookmarkStart w:id="1183" w:name="_Toc324771990"/>
      <w:bookmarkStart w:id="1184" w:name="_Toc391287338"/>
      <w:bookmarkStart w:id="1185" w:name="_Toc110267676"/>
      <w:r>
        <w:rPr>
          <w:rFonts w:hint="eastAsia"/>
          <w:szCs w:val="21"/>
        </w:rPr>
        <w:t>投标人应证明其所建议的关键岗位人员必须能够满足下述要求：</w:t>
      </w:r>
    </w:p>
    <w:p>
      <w:r>
        <w:rPr>
          <w:rFonts w:hint="eastAsia"/>
        </w:rPr>
        <w:t>1.田涧沟(解放西路-林园路)治理工程（合同号：</w:t>
      </w:r>
      <w:r>
        <w:rPr>
          <w:rFonts w:hint="eastAsia"/>
          <w:lang w:eastAsia="zh-CN"/>
        </w:rPr>
        <w:t>JZTJ121A</w:t>
      </w:r>
      <w:r>
        <w:rPr>
          <w:rFonts w:hint="eastAsia"/>
        </w:rPr>
        <w:t>）：</w:t>
      </w:r>
    </w:p>
    <w:tbl>
      <w:tblPr>
        <w:tblStyle w:val="6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84"/>
        <w:gridCol w:w="158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序号</w:t>
            </w:r>
          </w:p>
        </w:tc>
        <w:tc>
          <w:tcPr>
            <w:tcW w:w="4384"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岗位</w:t>
            </w:r>
          </w:p>
        </w:tc>
        <w:tc>
          <w:tcPr>
            <w:tcW w:w="1583"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全部</w:t>
            </w:r>
          </w:p>
          <w:p>
            <w:pPr>
              <w:spacing w:before="120" w:after="120"/>
              <w:jc w:val="center"/>
              <w:rPr>
                <w:b/>
                <w:bCs/>
                <w:iCs/>
                <w:color w:val="000000"/>
                <w:sz w:val="20"/>
              </w:rPr>
            </w:pPr>
            <w:r>
              <w:rPr>
                <w:rFonts w:hint="eastAsia"/>
                <w:b/>
                <w:bCs/>
                <w:iCs/>
                <w:color w:val="000000"/>
                <w:sz w:val="20"/>
              </w:rPr>
              <w:t>工作经验</w:t>
            </w:r>
          </w:p>
          <w:p>
            <w:pPr>
              <w:spacing w:before="120" w:after="120"/>
              <w:jc w:val="center"/>
              <w:rPr>
                <w:b/>
                <w:bCs/>
                <w:iCs/>
                <w:color w:val="000000"/>
                <w:sz w:val="20"/>
              </w:rPr>
            </w:pPr>
            <w:r>
              <w:rPr>
                <w:rFonts w:hint="eastAsia"/>
                <w:b/>
                <w:bCs/>
                <w:iCs/>
                <w:color w:val="000000"/>
                <w:sz w:val="20"/>
              </w:rPr>
              <w:t>（年）</w:t>
            </w:r>
          </w:p>
        </w:tc>
        <w:tc>
          <w:tcPr>
            <w:tcW w:w="1779"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类似岗位的经验</w:t>
            </w:r>
          </w:p>
          <w:p>
            <w:pPr>
              <w:spacing w:before="120" w:after="120"/>
              <w:jc w:val="center"/>
              <w:rPr>
                <w:b/>
                <w:bCs/>
                <w:iCs/>
                <w:color w:val="000000"/>
                <w:sz w:val="20"/>
              </w:rPr>
            </w:pPr>
            <w:r>
              <w:rPr>
                <w:rFonts w:hint="eastAsia"/>
                <w:b/>
                <w:bCs/>
                <w:iCs/>
                <w:color w:val="000000"/>
                <w:sz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Borders>
              <w:top w:val="single" w:color="auto" w:sz="12" w:space="0"/>
            </w:tcBorders>
          </w:tcPr>
          <w:p>
            <w:pPr>
              <w:pStyle w:val="43"/>
              <w:pBdr>
                <w:bottom w:val="none" w:color="auto" w:sz="0" w:space="0"/>
              </w:pBdr>
              <w:spacing w:before="120" w:after="120"/>
              <w:rPr>
                <w:iCs/>
                <w:color w:val="000000"/>
              </w:rPr>
            </w:pPr>
            <w:r>
              <w:rPr>
                <w:iCs/>
                <w:color w:val="000000"/>
              </w:rPr>
              <w:t>1</w:t>
            </w:r>
          </w:p>
        </w:tc>
        <w:tc>
          <w:tcPr>
            <w:tcW w:w="4384" w:type="dxa"/>
            <w:tcBorders>
              <w:top w:val="single" w:color="auto" w:sz="12" w:space="0"/>
            </w:tcBorders>
            <w:vAlign w:val="center"/>
          </w:tcPr>
          <w:p>
            <w:pPr>
              <w:spacing w:before="120" w:after="120"/>
              <w:rPr>
                <w:color w:val="000000"/>
                <w:szCs w:val="21"/>
              </w:rPr>
            </w:pPr>
            <w:r>
              <w:rPr>
                <w:rFonts w:hint="eastAsia"/>
                <w:color w:val="000000"/>
                <w:szCs w:val="21"/>
              </w:rPr>
              <w:t>项目经理（市政公用工程二级注册建造师执业资格，须具有B类安全生产考核证）</w:t>
            </w:r>
            <w:r>
              <w:rPr>
                <w:color w:val="000000"/>
                <w:szCs w:val="21"/>
              </w:rPr>
              <w:t>1</w:t>
            </w:r>
            <w:r>
              <w:rPr>
                <w:rFonts w:hint="eastAsia"/>
                <w:color w:val="000000"/>
                <w:szCs w:val="21"/>
              </w:rPr>
              <w:t>名</w:t>
            </w:r>
          </w:p>
        </w:tc>
        <w:tc>
          <w:tcPr>
            <w:tcW w:w="1583" w:type="dxa"/>
            <w:tcBorders>
              <w:top w:val="single" w:color="auto" w:sz="12" w:space="0"/>
            </w:tcBorders>
            <w:vAlign w:val="center"/>
          </w:tcPr>
          <w:p>
            <w:pPr>
              <w:spacing w:before="120" w:after="120"/>
              <w:jc w:val="center"/>
              <w:rPr>
                <w:color w:val="000000"/>
                <w:szCs w:val="21"/>
              </w:rPr>
            </w:pPr>
            <w:r>
              <w:rPr>
                <w:rFonts w:hint="eastAsia"/>
                <w:color w:val="000000"/>
                <w:szCs w:val="21"/>
              </w:rPr>
              <w:t>3</w:t>
            </w:r>
          </w:p>
        </w:tc>
        <w:tc>
          <w:tcPr>
            <w:tcW w:w="1779" w:type="dxa"/>
            <w:tcBorders>
              <w:top w:val="single" w:color="auto" w:sz="12" w:space="0"/>
            </w:tcBorders>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2</w:t>
            </w:r>
          </w:p>
        </w:tc>
        <w:tc>
          <w:tcPr>
            <w:tcW w:w="4384" w:type="dxa"/>
            <w:vAlign w:val="center"/>
          </w:tcPr>
          <w:p>
            <w:pPr>
              <w:spacing w:before="120" w:after="120"/>
              <w:rPr>
                <w:color w:val="000000"/>
                <w:szCs w:val="21"/>
              </w:rPr>
            </w:pPr>
            <w:r>
              <w:rPr>
                <w:rFonts w:hint="eastAsia"/>
                <w:color w:val="000000"/>
                <w:szCs w:val="21"/>
              </w:rPr>
              <w:t>技术负责人（工程师资格）</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rFonts w:hint="eastAsia"/>
                <w:color w:val="000000"/>
                <w:szCs w:val="21"/>
              </w:rPr>
              <w:t>3</w:t>
            </w:r>
          </w:p>
        </w:tc>
        <w:tc>
          <w:tcPr>
            <w:tcW w:w="1779" w:type="dxa"/>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3</w:t>
            </w:r>
          </w:p>
        </w:tc>
        <w:tc>
          <w:tcPr>
            <w:tcW w:w="4384" w:type="dxa"/>
            <w:vAlign w:val="center"/>
          </w:tcPr>
          <w:p>
            <w:pPr>
              <w:spacing w:before="120" w:after="120"/>
              <w:rPr>
                <w:color w:val="000000"/>
                <w:szCs w:val="21"/>
              </w:rPr>
            </w:pPr>
            <w:r>
              <w:rPr>
                <w:rFonts w:hint="eastAsia"/>
                <w:color w:val="000000"/>
                <w:szCs w:val="21"/>
              </w:rPr>
              <w:t>给排水工程师（城建专业即可）</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color w:val="000000"/>
                <w:szCs w:val="21"/>
              </w:rPr>
              <w:t>3</w:t>
            </w:r>
          </w:p>
        </w:tc>
        <w:tc>
          <w:tcPr>
            <w:tcW w:w="1779" w:type="dxa"/>
            <w:vAlign w:val="center"/>
          </w:tcPr>
          <w:p>
            <w:pPr>
              <w:spacing w:before="120" w:after="120"/>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4</w:t>
            </w:r>
          </w:p>
        </w:tc>
        <w:tc>
          <w:tcPr>
            <w:tcW w:w="4384" w:type="dxa"/>
            <w:vAlign w:val="center"/>
          </w:tcPr>
          <w:p>
            <w:pPr>
              <w:spacing w:before="120" w:after="120"/>
              <w:rPr>
                <w:color w:val="000000"/>
                <w:szCs w:val="21"/>
              </w:rPr>
            </w:pPr>
            <w:r>
              <w:rPr>
                <w:rFonts w:hint="eastAsia"/>
                <w:color w:val="000000"/>
                <w:szCs w:val="21"/>
              </w:rPr>
              <w:t>环保工程师（市政工程相关专业工程师）1名</w:t>
            </w:r>
          </w:p>
        </w:tc>
        <w:tc>
          <w:tcPr>
            <w:tcW w:w="1583" w:type="dxa"/>
            <w:vAlign w:val="center"/>
          </w:tcPr>
          <w:p>
            <w:pPr>
              <w:spacing w:before="120" w:after="120"/>
              <w:jc w:val="center"/>
              <w:rPr>
                <w:color w:val="000000"/>
                <w:szCs w:val="21"/>
              </w:rPr>
            </w:pPr>
            <w:r>
              <w:rPr>
                <w:rFonts w:hint="eastAsia"/>
                <w:color w:val="000000"/>
                <w:szCs w:val="21"/>
              </w:rPr>
              <w:t>3</w:t>
            </w:r>
          </w:p>
        </w:tc>
        <w:tc>
          <w:tcPr>
            <w:tcW w:w="1779" w:type="dxa"/>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vAlign w:val="center"/>
          </w:tcPr>
          <w:p>
            <w:pPr>
              <w:spacing w:before="120" w:after="120"/>
              <w:jc w:val="center"/>
              <w:rPr>
                <w:iCs/>
                <w:color w:val="000000"/>
                <w:lang w:val="en"/>
              </w:rPr>
            </w:pPr>
            <w:r>
              <w:rPr>
                <w:iCs/>
                <w:color w:val="000000"/>
                <w:lang w:val="en"/>
              </w:rPr>
              <w:t>5</w:t>
            </w:r>
          </w:p>
        </w:tc>
        <w:tc>
          <w:tcPr>
            <w:tcW w:w="4384" w:type="dxa"/>
            <w:vAlign w:val="center"/>
          </w:tcPr>
          <w:p>
            <w:pPr>
              <w:spacing w:before="120" w:after="120"/>
              <w:rPr>
                <w:color w:val="000000"/>
                <w:szCs w:val="21"/>
              </w:rPr>
            </w:pPr>
            <w:r>
              <w:rPr>
                <w:rFonts w:hint="eastAsia"/>
                <w:color w:val="000000"/>
                <w:szCs w:val="21"/>
              </w:rPr>
              <w:t>安全员1名</w:t>
            </w:r>
          </w:p>
          <w:p>
            <w:pPr>
              <w:spacing w:before="120" w:after="120"/>
              <w:rPr>
                <w:color w:val="000000"/>
                <w:szCs w:val="21"/>
              </w:rPr>
            </w:pPr>
            <w:r>
              <w:rPr>
                <w:rFonts w:hint="eastAsia"/>
                <w:color w:val="000000"/>
                <w:szCs w:val="21"/>
              </w:rPr>
              <w:t>质量员1名</w:t>
            </w:r>
          </w:p>
          <w:p>
            <w:pPr>
              <w:spacing w:before="120" w:after="120"/>
              <w:rPr>
                <w:color w:val="000000"/>
                <w:szCs w:val="21"/>
              </w:rPr>
            </w:pPr>
            <w:r>
              <w:rPr>
                <w:rFonts w:hint="eastAsia"/>
                <w:color w:val="000000"/>
                <w:szCs w:val="21"/>
              </w:rPr>
              <w:t>施工员1名</w:t>
            </w:r>
          </w:p>
          <w:p>
            <w:pPr>
              <w:spacing w:before="120" w:after="120"/>
              <w:rPr>
                <w:color w:val="000000"/>
                <w:szCs w:val="21"/>
              </w:rPr>
            </w:pPr>
            <w:r>
              <w:rPr>
                <w:rFonts w:hint="eastAsia"/>
                <w:color w:val="000000"/>
                <w:szCs w:val="21"/>
              </w:rPr>
              <w:t>标准员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测量员1名（可兼任）</w:t>
            </w:r>
          </w:p>
          <w:p>
            <w:pPr>
              <w:spacing w:before="120" w:after="120"/>
              <w:rPr>
                <w:color w:val="000000"/>
                <w:szCs w:val="21"/>
              </w:rPr>
            </w:pPr>
            <w:r>
              <w:rPr>
                <w:rFonts w:hint="eastAsia"/>
                <w:color w:val="000000"/>
                <w:szCs w:val="21"/>
              </w:rPr>
              <w:t>材料员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机械员1名（可兼任）</w:t>
            </w:r>
          </w:p>
          <w:p>
            <w:pPr>
              <w:spacing w:before="120" w:after="120"/>
              <w:rPr>
                <w:color w:val="000000"/>
                <w:szCs w:val="21"/>
              </w:rPr>
            </w:pPr>
            <w:r>
              <w:rPr>
                <w:rFonts w:hint="eastAsia"/>
                <w:color w:val="000000"/>
                <w:szCs w:val="21"/>
              </w:rPr>
              <w:t>试验员</w:t>
            </w:r>
            <w:r>
              <w:rPr>
                <w:color w:val="000000"/>
                <w:szCs w:val="21"/>
              </w:rPr>
              <w:t>1</w:t>
            </w:r>
            <w:r>
              <w:rPr>
                <w:rFonts w:hint="eastAsia"/>
                <w:color w:val="000000"/>
                <w:szCs w:val="21"/>
              </w:rPr>
              <w:t>名</w:t>
            </w:r>
          </w:p>
          <w:p>
            <w:pPr>
              <w:spacing w:before="120" w:after="120"/>
              <w:rPr>
                <w:color w:val="000000"/>
                <w:szCs w:val="21"/>
              </w:rPr>
            </w:pPr>
            <w:r>
              <w:rPr>
                <w:rFonts w:hint="eastAsia"/>
                <w:color w:val="000000"/>
                <w:szCs w:val="21"/>
              </w:rPr>
              <w:t>劳务员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资料员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造价员</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color w:val="000000"/>
                <w:szCs w:val="21"/>
              </w:rPr>
              <w:t>3</w:t>
            </w:r>
          </w:p>
        </w:tc>
        <w:tc>
          <w:tcPr>
            <w:tcW w:w="1779" w:type="dxa"/>
            <w:vAlign w:val="center"/>
          </w:tcPr>
          <w:p>
            <w:pPr>
              <w:spacing w:before="120" w:after="120"/>
              <w:jc w:val="center"/>
              <w:rPr>
                <w:color w:val="000000"/>
                <w:szCs w:val="21"/>
              </w:rPr>
            </w:pPr>
            <w:r>
              <w:rPr>
                <w:color w:val="000000"/>
                <w:szCs w:val="21"/>
              </w:rPr>
              <w:t>3</w:t>
            </w:r>
          </w:p>
        </w:tc>
      </w:tr>
    </w:tbl>
    <w:p>
      <w:pPr>
        <w:rPr>
          <w:szCs w:val="21"/>
        </w:rPr>
      </w:pPr>
    </w:p>
    <w:p>
      <w:pPr>
        <w:rPr>
          <w:highlight w:val="none"/>
        </w:rPr>
      </w:pPr>
      <w:r>
        <w:rPr>
          <w:rFonts w:hint="eastAsia"/>
          <w:szCs w:val="21"/>
        </w:rPr>
        <w:t>投标人应在第四章</w:t>
      </w:r>
      <w:r>
        <w:rPr>
          <w:rFonts w:hint="eastAsia"/>
          <w:szCs w:val="21"/>
          <w:highlight w:val="none"/>
        </w:rPr>
        <w:t>所规定的表格中提供有关人员的详细情况和他们的工作经验,并提供投标截止时间前六个月内任意一个月的社保缴纳凭证。</w:t>
      </w:r>
    </w:p>
    <w:p>
      <w:pPr>
        <w:widowControl/>
        <w:spacing w:before="120" w:after="120" w:line="240" w:lineRule="atLeast"/>
        <w:ind w:firstLine="420" w:firstLineChars="200"/>
        <w:jc w:val="left"/>
        <w:rPr>
          <w:szCs w:val="21"/>
          <w:highlight w:val="none"/>
        </w:rPr>
      </w:pPr>
    </w:p>
    <w:p>
      <w:r>
        <w:rPr>
          <w:rFonts w:hint="eastAsia"/>
        </w:rPr>
        <w:br w:type="page"/>
      </w:r>
    </w:p>
    <w:p>
      <w:r>
        <w:rPr>
          <w:rFonts w:hint="eastAsia"/>
          <w:szCs w:val="21"/>
        </w:rPr>
        <w:t>2.田涧沟(林园路-普济河)治理工程（合同号：</w:t>
      </w:r>
      <w:r>
        <w:rPr>
          <w:rFonts w:hint="eastAsia"/>
          <w:szCs w:val="21"/>
          <w:lang w:eastAsia="zh-CN"/>
        </w:rPr>
        <w:t>JZTJ121B</w:t>
      </w:r>
      <w:r>
        <w:rPr>
          <w:rFonts w:hint="eastAsia"/>
          <w:szCs w:val="21"/>
        </w:rPr>
        <w:t>）</w:t>
      </w:r>
      <w:r>
        <w:rPr>
          <w:rFonts w:hint="eastAsia"/>
        </w:rPr>
        <w:t>：</w:t>
      </w:r>
    </w:p>
    <w:tbl>
      <w:tblPr>
        <w:tblStyle w:val="6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384"/>
        <w:gridCol w:w="158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序号</w:t>
            </w:r>
          </w:p>
        </w:tc>
        <w:tc>
          <w:tcPr>
            <w:tcW w:w="4384"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岗位</w:t>
            </w:r>
          </w:p>
        </w:tc>
        <w:tc>
          <w:tcPr>
            <w:tcW w:w="1583"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全部</w:t>
            </w:r>
          </w:p>
          <w:p>
            <w:pPr>
              <w:spacing w:before="120" w:after="120"/>
              <w:jc w:val="center"/>
              <w:rPr>
                <w:b/>
                <w:bCs/>
                <w:iCs/>
                <w:color w:val="000000"/>
                <w:sz w:val="20"/>
              </w:rPr>
            </w:pPr>
            <w:r>
              <w:rPr>
                <w:rFonts w:hint="eastAsia"/>
                <w:b/>
                <w:bCs/>
                <w:iCs/>
                <w:color w:val="000000"/>
                <w:sz w:val="20"/>
              </w:rPr>
              <w:t>工作经验</w:t>
            </w:r>
          </w:p>
          <w:p>
            <w:pPr>
              <w:spacing w:before="120" w:after="120"/>
              <w:jc w:val="center"/>
              <w:rPr>
                <w:b/>
                <w:bCs/>
                <w:iCs/>
                <w:color w:val="000000"/>
                <w:sz w:val="20"/>
              </w:rPr>
            </w:pPr>
            <w:r>
              <w:rPr>
                <w:rFonts w:hint="eastAsia"/>
                <w:b/>
                <w:bCs/>
                <w:iCs/>
                <w:color w:val="000000"/>
                <w:sz w:val="20"/>
              </w:rPr>
              <w:t>（年）</w:t>
            </w:r>
          </w:p>
        </w:tc>
        <w:tc>
          <w:tcPr>
            <w:tcW w:w="1779"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color w:val="000000"/>
                <w:sz w:val="20"/>
              </w:rPr>
            </w:pPr>
            <w:r>
              <w:rPr>
                <w:rFonts w:hint="eastAsia"/>
                <w:b/>
                <w:bCs/>
                <w:iCs/>
                <w:color w:val="000000"/>
                <w:sz w:val="20"/>
              </w:rPr>
              <w:t>类似岗位的经验</w:t>
            </w:r>
          </w:p>
          <w:p>
            <w:pPr>
              <w:spacing w:before="120" w:after="120"/>
              <w:jc w:val="center"/>
              <w:rPr>
                <w:b/>
                <w:bCs/>
                <w:iCs/>
                <w:color w:val="000000"/>
                <w:sz w:val="20"/>
              </w:rPr>
            </w:pPr>
            <w:r>
              <w:rPr>
                <w:rFonts w:hint="eastAsia"/>
                <w:b/>
                <w:bCs/>
                <w:iCs/>
                <w:color w:val="000000"/>
                <w:sz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Borders>
              <w:top w:val="single" w:color="auto" w:sz="12" w:space="0"/>
            </w:tcBorders>
          </w:tcPr>
          <w:p>
            <w:pPr>
              <w:pStyle w:val="43"/>
              <w:pBdr>
                <w:bottom w:val="none" w:color="auto" w:sz="0" w:space="0"/>
              </w:pBdr>
              <w:spacing w:before="120" w:after="120"/>
              <w:rPr>
                <w:iCs/>
                <w:color w:val="000000"/>
              </w:rPr>
            </w:pPr>
            <w:r>
              <w:rPr>
                <w:iCs/>
                <w:color w:val="000000"/>
              </w:rPr>
              <w:t>1</w:t>
            </w:r>
          </w:p>
        </w:tc>
        <w:tc>
          <w:tcPr>
            <w:tcW w:w="4384" w:type="dxa"/>
            <w:tcBorders>
              <w:top w:val="single" w:color="auto" w:sz="12" w:space="0"/>
            </w:tcBorders>
            <w:vAlign w:val="center"/>
          </w:tcPr>
          <w:p>
            <w:pPr>
              <w:spacing w:before="120" w:after="120"/>
              <w:rPr>
                <w:color w:val="000000"/>
                <w:szCs w:val="21"/>
              </w:rPr>
            </w:pPr>
            <w:r>
              <w:rPr>
                <w:rFonts w:hint="eastAsia"/>
                <w:color w:val="000000"/>
                <w:szCs w:val="21"/>
              </w:rPr>
              <w:t>项目经理（市政公用工程二级注册建造师执业资格，须具有B类安全生产考核证）</w:t>
            </w:r>
            <w:r>
              <w:rPr>
                <w:color w:val="000000"/>
                <w:szCs w:val="21"/>
              </w:rPr>
              <w:t>1</w:t>
            </w:r>
            <w:r>
              <w:rPr>
                <w:rFonts w:hint="eastAsia"/>
                <w:color w:val="000000"/>
                <w:szCs w:val="21"/>
              </w:rPr>
              <w:t>名</w:t>
            </w:r>
          </w:p>
        </w:tc>
        <w:tc>
          <w:tcPr>
            <w:tcW w:w="1583" w:type="dxa"/>
            <w:tcBorders>
              <w:top w:val="single" w:color="auto" w:sz="12" w:space="0"/>
            </w:tcBorders>
            <w:vAlign w:val="center"/>
          </w:tcPr>
          <w:p>
            <w:pPr>
              <w:spacing w:before="120" w:after="120"/>
              <w:jc w:val="center"/>
              <w:rPr>
                <w:color w:val="000000"/>
                <w:szCs w:val="21"/>
              </w:rPr>
            </w:pPr>
            <w:r>
              <w:rPr>
                <w:rFonts w:hint="eastAsia"/>
                <w:color w:val="000000"/>
                <w:szCs w:val="21"/>
              </w:rPr>
              <w:t>3</w:t>
            </w:r>
          </w:p>
        </w:tc>
        <w:tc>
          <w:tcPr>
            <w:tcW w:w="1779" w:type="dxa"/>
            <w:tcBorders>
              <w:top w:val="single" w:color="auto" w:sz="12" w:space="0"/>
            </w:tcBorders>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2</w:t>
            </w:r>
          </w:p>
        </w:tc>
        <w:tc>
          <w:tcPr>
            <w:tcW w:w="4384" w:type="dxa"/>
            <w:vAlign w:val="center"/>
          </w:tcPr>
          <w:p>
            <w:pPr>
              <w:spacing w:before="120" w:after="120"/>
              <w:rPr>
                <w:color w:val="000000"/>
                <w:szCs w:val="21"/>
              </w:rPr>
            </w:pPr>
            <w:r>
              <w:rPr>
                <w:rFonts w:hint="eastAsia"/>
                <w:color w:val="000000"/>
                <w:szCs w:val="21"/>
              </w:rPr>
              <w:t>技术负责人（工程师资格）</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rFonts w:hint="eastAsia"/>
                <w:color w:val="000000"/>
                <w:szCs w:val="21"/>
              </w:rPr>
              <w:t>3</w:t>
            </w:r>
          </w:p>
        </w:tc>
        <w:tc>
          <w:tcPr>
            <w:tcW w:w="1779" w:type="dxa"/>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3</w:t>
            </w:r>
          </w:p>
        </w:tc>
        <w:tc>
          <w:tcPr>
            <w:tcW w:w="4384" w:type="dxa"/>
            <w:vAlign w:val="center"/>
          </w:tcPr>
          <w:p>
            <w:pPr>
              <w:spacing w:before="120" w:after="120"/>
              <w:rPr>
                <w:color w:val="000000"/>
                <w:szCs w:val="21"/>
              </w:rPr>
            </w:pPr>
            <w:r>
              <w:rPr>
                <w:rFonts w:hint="eastAsia"/>
                <w:color w:val="000000"/>
                <w:szCs w:val="21"/>
              </w:rPr>
              <w:t>给排水工程师（城建专业即可）</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color w:val="000000"/>
                <w:szCs w:val="21"/>
              </w:rPr>
              <w:t>3</w:t>
            </w:r>
          </w:p>
        </w:tc>
        <w:tc>
          <w:tcPr>
            <w:tcW w:w="1779" w:type="dxa"/>
            <w:vAlign w:val="center"/>
          </w:tcPr>
          <w:p>
            <w:pPr>
              <w:spacing w:before="120" w:after="120"/>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tcPr>
          <w:p>
            <w:pPr>
              <w:spacing w:before="120" w:after="120"/>
              <w:jc w:val="center"/>
              <w:rPr>
                <w:iCs/>
                <w:color w:val="000000"/>
                <w:sz w:val="20"/>
              </w:rPr>
            </w:pPr>
            <w:r>
              <w:rPr>
                <w:iCs/>
                <w:color w:val="000000"/>
                <w:sz w:val="20"/>
              </w:rPr>
              <w:t>4</w:t>
            </w:r>
          </w:p>
        </w:tc>
        <w:tc>
          <w:tcPr>
            <w:tcW w:w="4384" w:type="dxa"/>
            <w:vAlign w:val="center"/>
          </w:tcPr>
          <w:p>
            <w:pPr>
              <w:spacing w:before="120" w:after="120"/>
              <w:rPr>
                <w:color w:val="000000"/>
                <w:szCs w:val="21"/>
              </w:rPr>
            </w:pPr>
            <w:r>
              <w:rPr>
                <w:rFonts w:hint="eastAsia"/>
                <w:color w:val="000000"/>
                <w:szCs w:val="21"/>
              </w:rPr>
              <w:t>环保工程师（市政工程相关专业工程师）1名</w:t>
            </w:r>
          </w:p>
        </w:tc>
        <w:tc>
          <w:tcPr>
            <w:tcW w:w="1583" w:type="dxa"/>
            <w:vAlign w:val="center"/>
          </w:tcPr>
          <w:p>
            <w:pPr>
              <w:spacing w:before="120" w:after="120"/>
              <w:jc w:val="center"/>
              <w:rPr>
                <w:color w:val="000000"/>
                <w:szCs w:val="21"/>
              </w:rPr>
            </w:pPr>
            <w:r>
              <w:rPr>
                <w:rFonts w:hint="eastAsia"/>
                <w:color w:val="000000"/>
                <w:szCs w:val="21"/>
              </w:rPr>
              <w:t>3</w:t>
            </w:r>
          </w:p>
        </w:tc>
        <w:tc>
          <w:tcPr>
            <w:tcW w:w="1779" w:type="dxa"/>
            <w:vAlign w:val="center"/>
          </w:tcPr>
          <w:p>
            <w:pPr>
              <w:spacing w:before="120" w:after="120"/>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 w:type="dxa"/>
            <w:vAlign w:val="center"/>
          </w:tcPr>
          <w:p>
            <w:pPr>
              <w:spacing w:before="120" w:after="120"/>
              <w:jc w:val="center"/>
              <w:rPr>
                <w:iCs/>
                <w:color w:val="000000"/>
                <w:lang w:val="en"/>
              </w:rPr>
            </w:pPr>
            <w:r>
              <w:rPr>
                <w:iCs/>
                <w:color w:val="000000"/>
                <w:lang w:val="en"/>
              </w:rPr>
              <w:t>5</w:t>
            </w:r>
          </w:p>
        </w:tc>
        <w:tc>
          <w:tcPr>
            <w:tcW w:w="4384" w:type="dxa"/>
            <w:vAlign w:val="center"/>
          </w:tcPr>
          <w:p>
            <w:pPr>
              <w:spacing w:before="120" w:after="120"/>
              <w:rPr>
                <w:color w:val="000000"/>
                <w:szCs w:val="21"/>
              </w:rPr>
            </w:pPr>
            <w:r>
              <w:rPr>
                <w:rFonts w:hint="eastAsia"/>
                <w:color w:val="000000"/>
                <w:szCs w:val="21"/>
              </w:rPr>
              <w:t>安全员1名</w:t>
            </w:r>
          </w:p>
          <w:p>
            <w:pPr>
              <w:spacing w:before="120" w:after="120"/>
              <w:rPr>
                <w:color w:val="000000"/>
                <w:szCs w:val="21"/>
              </w:rPr>
            </w:pPr>
            <w:r>
              <w:rPr>
                <w:rFonts w:hint="eastAsia"/>
                <w:color w:val="000000"/>
                <w:szCs w:val="21"/>
              </w:rPr>
              <w:t>质量员1名</w:t>
            </w:r>
          </w:p>
          <w:p>
            <w:pPr>
              <w:spacing w:before="120" w:after="120"/>
              <w:rPr>
                <w:color w:val="000000"/>
                <w:szCs w:val="21"/>
              </w:rPr>
            </w:pPr>
            <w:r>
              <w:rPr>
                <w:rFonts w:hint="eastAsia"/>
                <w:color w:val="000000"/>
                <w:szCs w:val="21"/>
              </w:rPr>
              <w:t>施工员1名</w:t>
            </w:r>
          </w:p>
          <w:p>
            <w:pPr>
              <w:spacing w:before="120" w:after="120"/>
              <w:rPr>
                <w:color w:val="000000"/>
                <w:szCs w:val="21"/>
              </w:rPr>
            </w:pPr>
            <w:r>
              <w:rPr>
                <w:rFonts w:hint="eastAsia"/>
                <w:color w:val="000000"/>
                <w:szCs w:val="21"/>
              </w:rPr>
              <w:t>标准员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测量员1名（可兼任）</w:t>
            </w:r>
          </w:p>
          <w:p>
            <w:pPr>
              <w:spacing w:before="120" w:after="120"/>
              <w:rPr>
                <w:color w:val="000000"/>
                <w:szCs w:val="21"/>
              </w:rPr>
            </w:pPr>
            <w:r>
              <w:rPr>
                <w:rFonts w:hint="eastAsia"/>
                <w:color w:val="000000"/>
                <w:szCs w:val="21"/>
              </w:rPr>
              <w:t>材料员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机械员1名（可兼任）</w:t>
            </w:r>
          </w:p>
          <w:p>
            <w:pPr>
              <w:spacing w:before="120" w:after="120"/>
              <w:rPr>
                <w:color w:val="000000"/>
                <w:szCs w:val="21"/>
              </w:rPr>
            </w:pPr>
            <w:r>
              <w:rPr>
                <w:rFonts w:hint="eastAsia"/>
                <w:color w:val="000000"/>
                <w:szCs w:val="21"/>
              </w:rPr>
              <w:t>试验员</w:t>
            </w:r>
            <w:r>
              <w:rPr>
                <w:color w:val="000000"/>
                <w:szCs w:val="21"/>
              </w:rPr>
              <w:t>1</w:t>
            </w:r>
            <w:r>
              <w:rPr>
                <w:rFonts w:hint="eastAsia"/>
                <w:color w:val="000000"/>
                <w:szCs w:val="21"/>
              </w:rPr>
              <w:t>名</w:t>
            </w:r>
          </w:p>
          <w:p>
            <w:pPr>
              <w:spacing w:before="120" w:after="120"/>
              <w:rPr>
                <w:color w:val="000000"/>
                <w:szCs w:val="21"/>
              </w:rPr>
            </w:pPr>
            <w:r>
              <w:rPr>
                <w:rFonts w:hint="eastAsia"/>
                <w:color w:val="000000"/>
                <w:szCs w:val="21"/>
              </w:rPr>
              <w:t>劳务员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资料员</w:t>
            </w:r>
            <w:r>
              <w:rPr>
                <w:color w:val="000000"/>
                <w:szCs w:val="21"/>
              </w:rPr>
              <w:t>1</w:t>
            </w:r>
            <w:r>
              <w:rPr>
                <w:rFonts w:hint="eastAsia"/>
                <w:color w:val="000000"/>
                <w:szCs w:val="21"/>
              </w:rPr>
              <w:t>名（可兼任）</w:t>
            </w:r>
          </w:p>
          <w:p>
            <w:pPr>
              <w:spacing w:before="120" w:after="120"/>
              <w:rPr>
                <w:color w:val="000000"/>
                <w:szCs w:val="21"/>
              </w:rPr>
            </w:pPr>
            <w:r>
              <w:rPr>
                <w:rFonts w:hint="eastAsia"/>
                <w:color w:val="000000"/>
                <w:szCs w:val="21"/>
              </w:rPr>
              <w:t>造价员</w:t>
            </w:r>
            <w:r>
              <w:rPr>
                <w:color w:val="000000"/>
                <w:szCs w:val="21"/>
              </w:rPr>
              <w:t>1</w:t>
            </w:r>
            <w:r>
              <w:rPr>
                <w:rFonts w:hint="eastAsia"/>
                <w:color w:val="000000"/>
                <w:szCs w:val="21"/>
              </w:rPr>
              <w:t>名</w:t>
            </w:r>
          </w:p>
        </w:tc>
        <w:tc>
          <w:tcPr>
            <w:tcW w:w="1583" w:type="dxa"/>
            <w:vAlign w:val="center"/>
          </w:tcPr>
          <w:p>
            <w:pPr>
              <w:spacing w:before="120" w:after="120"/>
              <w:jc w:val="center"/>
              <w:rPr>
                <w:color w:val="000000"/>
                <w:szCs w:val="21"/>
              </w:rPr>
            </w:pPr>
            <w:r>
              <w:rPr>
                <w:color w:val="000000"/>
                <w:szCs w:val="21"/>
              </w:rPr>
              <w:t>3</w:t>
            </w:r>
          </w:p>
        </w:tc>
        <w:tc>
          <w:tcPr>
            <w:tcW w:w="1779" w:type="dxa"/>
            <w:vAlign w:val="center"/>
          </w:tcPr>
          <w:p>
            <w:pPr>
              <w:spacing w:before="120" w:after="120"/>
              <w:jc w:val="center"/>
              <w:rPr>
                <w:color w:val="000000"/>
                <w:szCs w:val="21"/>
              </w:rPr>
            </w:pPr>
            <w:r>
              <w:rPr>
                <w:color w:val="000000"/>
                <w:szCs w:val="21"/>
              </w:rPr>
              <w:t>3</w:t>
            </w:r>
          </w:p>
        </w:tc>
      </w:tr>
    </w:tbl>
    <w:p>
      <w:pPr>
        <w:bidi w:val="0"/>
      </w:pPr>
      <w:r>
        <w:rPr>
          <w:rFonts w:hint="eastAsia"/>
          <w:lang w:val="en-US" w:eastAsia="zh-CN"/>
        </w:rPr>
        <w:t>投标人应在第四章所规定的表格中提供有关人员的详细情况和他们的工作经验,并提供投标截止时间前六个月内任意一个月的社保缴纳凭证。</w:t>
      </w:r>
      <w:r>
        <w:br w:type="page"/>
      </w:r>
    </w:p>
    <w:p>
      <w:pPr>
        <w:pStyle w:val="133"/>
      </w:pPr>
      <w:bookmarkStart w:id="1186" w:name="_Toc169103256"/>
      <w:bookmarkStart w:id="1187" w:name="_Toc110330801"/>
      <w:bookmarkStart w:id="1188" w:name="_Toc171063119"/>
      <w:r>
        <w:rPr>
          <w:rFonts w:hint="eastAsia"/>
        </w:rPr>
        <w:t>4</w:t>
      </w:r>
      <w:r>
        <w:t xml:space="preserve">. </w:t>
      </w:r>
      <w:r>
        <w:rPr>
          <w:rFonts w:hint="eastAsia"/>
        </w:rPr>
        <w:t>设备</w:t>
      </w:r>
      <w:bookmarkEnd w:id="1179"/>
      <w:bookmarkEnd w:id="1180"/>
      <w:bookmarkEnd w:id="1181"/>
      <w:bookmarkEnd w:id="1182"/>
      <w:bookmarkEnd w:id="1183"/>
      <w:bookmarkEnd w:id="1184"/>
      <w:bookmarkEnd w:id="1185"/>
      <w:bookmarkEnd w:id="1186"/>
      <w:bookmarkEnd w:id="1187"/>
      <w:bookmarkEnd w:id="1188"/>
    </w:p>
    <w:p>
      <w:pPr>
        <w:widowControl/>
        <w:spacing w:before="120" w:after="120" w:line="240" w:lineRule="atLeast"/>
        <w:ind w:firstLine="420" w:firstLineChars="200"/>
        <w:jc w:val="left"/>
        <w:textAlignment w:val="auto"/>
        <w:rPr>
          <w:szCs w:val="21"/>
        </w:rPr>
      </w:pPr>
      <w:r>
        <w:rPr>
          <w:rFonts w:hint="eastAsia"/>
          <w:szCs w:val="21"/>
        </w:rPr>
        <w:t>投标人应证明其拥有或能够获得或租用到下述关键设备：</w:t>
      </w:r>
    </w:p>
    <w:p>
      <w:r>
        <w:rPr>
          <w:rFonts w:hint="eastAsia"/>
        </w:rPr>
        <w:t>1.田涧沟(解放西路-林园路)治理工程（合同号：</w:t>
      </w:r>
      <w:r>
        <w:rPr>
          <w:rFonts w:hint="eastAsia"/>
          <w:lang w:eastAsia="zh-CN"/>
        </w:rPr>
        <w:t>JZTJ121A</w:t>
      </w:r>
      <w:r>
        <w:rPr>
          <w:rFonts w:hint="eastAsia"/>
        </w:rPr>
        <w:t>）：</w:t>
      </w:r>
    </w:p>
    <w:tbl>
      <w:tblPr>
        <w:tblStyle w:val="6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967"/>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序号</w:t>
            </w:r>
          </w:p>
        </w:tc>
        <w:tc>
          <w:tcPr>
            <w:tcW w:w="4967"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设备类型和特征</w:t>
            </w:r>
          </w:p>
        </w:tc>
        <w:tc>
          <w:tcPr>
            <w:tcW w:w="2811"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Borders>
              <w:top w:val="single" w:color="auto" w:sz="12" w:space="0"/>
            </w:tcBorders>
          </w:tcPr>
          <w:p>
            <w:pPr>
              <w:pStyle w:val="43"/>
              <w:pBdr>
                <w:bottom w:val="none" w:color="auto" w:sz="0" w:space="0"/>
              </w:pBdr>
              <w:spacing w:before="120" w:after="120"/>
              <w:rPr>
                <w:iCs/>
              </w:rPr>
            </w:pPr>
            <w:r>
              <w:rPr>
                <w:iCs/>
              </w:rPr>
              <w:t>1</w:t>
            </w:r>
          </w:p>
        </w:tc>
        <w:tc>
          <w:tcPr>
            <w:tcW w:w="4967" w:type="dxa"/>
            <w:tcBorders>
              <w:top w:val="single" w:color="auto" w:sz="12" w:space="0"/>
            </w:tcBorders>
          </w:tcPr>
          <w:p>
            <w:pPr>
              <w:spacing w:before="120" w:after="120"/>
              <w:rPr>
                <w:rFonts w:ascii="宋体" w:hAnsi="宋体" w:cs="宋体"/>
                <w:sz w:val="24"/>
                <w:szCs w:val="24"/>
              </w:rPr>
            </w:pPr>
            <w:r>
              <w:rPr>
                <w:rFonts w:hint="eastAsia"/>
                <w:sz w:val="24"/>
              </w:rPr>
              <w:t>推土机</w:t>
            </w:r>
          </w:p>
        </w:tc>
        <w:tc>
          <w:tcPr>
            <w:tcW w:w="2811" w:type="dxa"/>
            <w:tcBorders>
              <w:top w:val="single" w:color="auto" w:sz="12" w:space="0"/>
            </w:tcBorders>
          </w:tcPr>
          <w:p>
            <w:pPr>
              <w:spacing w:before="120" w:after="120"/>
              <w:rPr>
                <w:sz w:val="24"/>
                <w:szCs w:val="24"/>
              </w:rPr>
            </w:pPr>
            <w:r>
              <w:rPr>
                <w:rFonts w:hint="eastAsia" w:ascii="Arial" w:hAnsi="Arial" w:cs="Arial"/>
                <w:iCs/>
                <w:sz w:val="20"/>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2</w:t>
            </w:r>
          </w:p>
        </w:tc>
        <w:tc>
          <w:tcPr>
            <w:tcW w:w="4967" w:type="dxa"/>
          </w:tcPr>
          <w:p>
            <w:pPr>
              <w:spacing w:before="120" w:after="120"/>
              <w:rPr>
                <w:sz w:val="24"/>
                <w:szCs w:val="24"/>
              </w:rPr>
            </w:pPr>
            <w:r>
              <w:rPr>
                <w:rFonts w:hint="eastAsia"/>
                <w:sz w:val="24"/>
              </w:rPr>
              <w:t>挖掘机</w:t>
            </w:r>
            <w:r>
              <w:rPr>
                <w:sz w:val="24"/>
              </w:rPr>
              <w:t>(&gt;1m</w:t>
            </w:r>
            <w:r>
              <w:rPr>
                <w:sz w:val="24"/>
                <w:vertAlign w:val="superscript"/>
              </w:rPr>
              <w:t>3</w:t>
            </w:r>
            <w:r>
              <w:rPr>
                <w:sz w:val="24"/>
              </w:rPr>
              <w:t>)</w:t>
            </w:r>
          </w:p>
        </w:tc>
        <w:tc>
          <w:tcPr>
            <w:tcW w:w="2811" w:type="dxa"/>
          </w:tcPr>
          <w:p>
            <w:pPr>
              <w:spacing w:before="120" w:after="120"/>
              <w:rPr>
                <w:sz w:val="24"/>
                <w:szCs w:val="24"/>
              </w:rPr>
            </w:pPr>
            <w:r>
              <w:rPr>
                <w:rFonts w:hint="eastAsia" w:ascii="Arial" w:hAnsi="Arial" w:cs="Arial"/>
                <w:iCs/>
                <w:sz w:val="20"/>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3</w:t>
            </w:r>
          </w:p>
        </w:tc>
        <w:tc>
          <w:tcPr>
            <w:tcW w:w="4967" w:type="dxa"/>
          </w:tcPr>
          <w:p>
            <w:pPr>
              <w:spacing w:before="120" w:after="120"/>
              <w:rPr>
                <w:sz w:val="24"/>
                <w:szCs w:val="24"/>
              </w:rPr>
            </w:pPr>
            <w:r>
              <w:rPr>
                <w:rFonts w:hint="eastAsia"/>
                <w:sz w:val="24"/>
              </w:rPr>
              <w:t>自卸汽车</w:t>
            </w:r>
            <w:r>
              <w:rPr>
                <w:sz w:val="24"/>
              </w:rPr>
              <w:t>(20</w:t>
            </w:r>
            <w:r>
              <w:rPr>
                <w:rFonts w:hint="eastAsia"/>
                <w:sz w:val="24"/>
              </w:rPr>
              <w:t>吨</w:t>
            </w:r>
            <w:r>
              <w:rPr>
                <w:sz w:val="24"/>
              </w:rPr>
              <w:t>)</w:t>
            </w:r>
          </w:p>
        </w:tc>
        <w:tc>
          <w:tcPr>
            <w:tcW w:w="2811" w:type="dxa"/>
          </w:tcPr>
          <w:p>
            <w:pPr>
              <w:spacing w:before="120" w:after="120"/>
              <w:rPr>
                <w:sz w:val="24"/>
                <w:szCs w:val="24"/>
              </w:rPr>
            </w:pPr>
            <w:r>
              <w:rPr>
                <w:rFonts w:hint="eastAsia" w:ascii="Arial" w:hAnsi="Arial" w:cs="Arial"/>
                <w:iCs/>
                <w:sz w:val="20"/>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4</w:t>
            </w:r>
          </w:p>
        </w:tc>
        <w:tc>
          <w:tcPr>
            <w:tcW w:w="4967" w:type="dxa"/>
            <w:vAlign w:val="center"/>
          </w:tcPr>
          <w:p>
            <w:pPr>
              <w:widowControl/>
              <w:adjustRightInd/>
              <w:spacing w:before="120" w:after="120" w:line="240" w:lineRule="auto"/>
              <w:jc w:val="left"/>
              <w:textAlignment w:val="auto"/>
              <w:rPr>
                <w:rFonts w:ascii="宋体" w:hAnsi="宋体" w:cs="宋体"/>
                <w:sz w:val="24"/>
                <w:szCs w:val="24"/>
              </w:rPr>
            </w:pPr>
            <w:r>
              <w:rPr>
                <w:rFonts w:hint="eastAsia"/>
                <w:sz w:val="24"/>
              </w:rPr>
              <w:t>污水泵、汽油泵</w:t>
            </w:r>
          </w:p>
        </w:tc>
        <w:tc>
          <w:tcPr>
            <w:tcW w:w="2811" w:type="dxa"/>
            <w:vAlign w:val="center"/>
          </w:tcPr>
          <w:p>
            <w:pPr>
              <w:spacing w:before="120" w:after="120"/>
              <w:rPr>
                <w:sz w:val="24"/>
                <w:szCs w:val="24"/>
              </w:rPr>
            </w:pPr>
            <w:r>
              <w:rPr>
                <w:rFonts w:hint="eastAsia"/>
                <w:sz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5</w:t>
            </w:r>
          </w:p>
        </w:tc>
        <w:tc>
          <w:tcPr>
            <w:tcW w:w="4967" w:type="dxa"/>
            <w:vAlign w:val="center"/>
          </w:tcPr>
          <w:p>
            <w:pPr>
              <w:widowControl/>
              <w:adjustRightInd/>
              <w:spacing w:before="120" w:after="120" w:line="240" w:lineRule="auto"/>
              <w:jc w:val="left"/>
              <w:textAlignment w:val="auto"/>
              <w:rPr>
                <w:sz w:val="24"/>
              </w:rPr>
            </w:pPr>
            <w:r>
              <w:rPr>
                <w:rFonts w:hint="eastAsia"/>
                <w:sz w:val="24"/>
              </w:rPr>
              <w:t>发电机</w:t>
            </w:r>
          </w:p>
        </w:tc>
        <w:tc>
          <w:tcPr>
            <w:tcW w:w="2811" w:type="dxa"/>
            <w:vAlign w:val="center"/>
          </w:tcPr>
          <w:p>
            <w:pPr>
              <w:widowControl/>
              <w:adjustRightInd/>
              <w:spacing w:before="120" w:after="120" w:line="240" w:lineRule="auto"/>
              <w:jc w:val="left"/>
              <w:textAlignment w:val="auto"/>
              <w:rPr>
                <w:sz w:val="24"/>
              </w:rPr>
            </w:pPr>
            <w:r>
              <w:rPr>
                <w:rFonts w:hint="eastAsia"/>
                <w:sz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6</w:t>
            </w:r>
          </w:p>
        </w:tc>
        <w:tc>
          <w:tcPr>
            <w:tcW w:w="4967" w:type="dxa"/>
            <w:vAlign w:val="center"/>
          </w:tcPr>
          <w:p>
            <w:pPr>
              <w:widowControl/>
              <w:adjustRightInd/>
              <w:spacing w:before="120" w:after="120" w:line="240" w:lineRule="auto"/>
              <w:jc w:val="left"/>
              <w:textAlignment w:val="auto"/>
              <w:rPr>
                <w:sz w:val="24"/>
              </w:rPr>
            </w:pPr>
            <w:r>
              <w:rPr>
                <w:rFonts w:hint="eastAsia"/>
                <w:sz w:val="24"/>
              </w:rPr>
              <w:t>雾炮车</w:t>
            </w:r>
          </w:p>
        </w:tc>
        <w:tc>
          <w:tcPr>
            <w:tcW w:w="2811" w:type="dxa"/>
            <w:vAlign w:val="center"/>
          </w:tcPr>
          <w:p>
            <w:pPr>
              <w:widowControl/>
              <w:adjustRightInd/>
              <w:spacing w:before="120" w:after="120" w:line="240" w:lineRule="auto"/>
              <w:jc w:val="left"/>
              <w:textAlignment w:val="auto"/>
              <w:rPr>
                <w:sz w:val="24"/>
              </w:rPr>
            </w:pPr>
            <w:r>
              <w:rPr>
                <w:rFonts w:hint="eastAsia"/>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7</w:t>
            </w:r>
          </w:p>
        </w:tc>
        <w:tc>
          <w:tcPr>
            <w:tcW w:w="4967" w:type="dxa"/>
            <w:vAlign w:val="center"/>
          </w:tcPr>
          <w:p>
            <w:pPr>
              <w:widowControl/>
              <w:adjustRightInd/>
              <w:spacing w:after="0" w:line="240" w:lineRule="auto"/>
              <w:jc w:val="left"/>
              <w:textAlignment w:val="auto"/>
              <w:rPr>
                <w:sz w:val="24"/>
                <w:szCs w:val="24"/>
              </w:rPr>
            </w:pPr>
            <w:r>
              <w:rPr>
                <w:rFonts w:hint="eastAsia"/>
                <w:sz w:val="24"/>
                <w:szCs w:val="24"/>
                <w:lang w:val="en"/>
              </w:rPr>
              <w:t>洒水车</w:t>
            </w:r>
          </w:p>
        </w:tc>
        <w:tc>
          <w:tcPr>
            <w:tcW w:w="2811" w:type="dxa"/>
            <w:vAlign w:val="center"/>
          </w:tcPr>
          <w:p>
            <w:pPr>
              <w:widowControl/>
              <w:adjustRightInd/>
              <w:spacing w:after="0" w:line="240" w:lineRule="auto"/>
              <w:jc w:val="left"/>
              <w:textAlignment w:val="auto"/>
              <w:rPr>
                <w:sz w:val="24"/>
                <w:szCs w:val="24"/>
              </w:rPr>
            </w:pPr>
            <w:r>
              <w:rPr>
                <w:rFonts w:hint="eastAsia"/>
                <w:sz w:val="24"/>
                <w:szCs w:val="24"/>
              </w:rPr>
              <w:t>1台</w:t>
            </w:r>
          </w:p>
        </w:tc>
      </w:tr>
    </w:tbl>
    <w:p>
      <w:pPr>
        <w:widowControl/>
        <w:spacing w:after="0" w:line="240" w:lineRule="auto"/>
        <w:jc w:val="left"/>
        <w:textAlignment w:val="auto"/>
        <w:rPr>
          <w:b/>
          <w:szCs w:val="21"/>
        </w:rPr>
      </w:pPr>
      <w:r>
        <w:rPr>
          <w:b/>
          <w:szCs w:val="21"/>
        </w:rPr>
        <w:br w:type="page"/>
      </w:r>
    </w:p>
    <w:p>
      <w:r>
        <w:rPr>
          <w:rFonts w:hint="eastAsia"/>
        </w:rPr>
        <w:t>2. 田涧沟(林园路-普济河)治理工程（合同号：</w:t>
      </w:r>
      <w:r>
        <w:rPr>
          <w:rFonts w:hint="eastAsia"/>
          <w:lang w:eastAsia="zh-CN"/>
        </w:rPr>
        <w:t>JZTJ121B</w:t>
      </w:r>
      <w:r>
        <w:rPr>
          <w:rFonts w:hint="eastAsia"/>
        </w:rPr>
        <w:t>）：</w:t>
      </w:r>
    </w:p>
    <w:tbl>
      <w:tblPr>
        <w:tblStyle w:val="6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967"/>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序号</w:t>
            </w:r>
          </w:p>
        </w:tc>
        <w:tc>
          <w:tcPr>
            <w:tcW w:w="4967"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设备类型和特征</w:t>
            </w:r>
          </w:p>
        </w:tc>
        <w:tc>
          <w:tcPr>
            <w:tcW w:w="2811" w:type="dxa"/>
            <w:tcBorders>
              <w:top w:val="single" w:color="auto" w:sz="12" w:space="0"/>
              <w:left w:val="single" w:color="auto" w:sz="12" w:space="0"/>
              <w:bottom w:val="single" w:color="auto" w:sz="12" w:space="0"/>
              <w:right w:val="single" w:color="auto" w:sz="12" w:space="0"/>
            </w:tcBorders>
            <w:vAlign w:val="center"/>
          </w:tcPr>
          <w:p>
            <w:pPr>
              <w:spacing w:before="120" w:after="120"/>
              <w:jc w:val="center"/>
              <w:rPr>
                <w:b/>
                <w:bCs/>
                <w:iCs/>
                <w:sz w:val="20"/>
              </w:rPr>
            </w:pPr>
            <w:r>
              <w:rPr>
                <w:rFonts w:hint="eastAsia"/>
                <w:b/>
                <w:bCs/>
                <w:iCs/>
                <w:sz w:val="20"/>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Borders>
              <w:top w:val="single" w:color="auto" w:sz="12" w:space="0"/>
            </w:tcBorders>
          </w:tcPr>
          <w:p>
            <w:pPr>
              <w:pStyle w:val="43"/>
              <w:pBdr>
                <w:bottom w:val="none" w:color="auto" w:sz="0" w:space="0"/>
              </w:pBdr>
              <w:spacing w:before="120" w:after="120"/>
              <w:rPr>
                <w:iCs/>
              </w:rPr>
            </w:pPr>
            <w:r>
              <w:rPr>
                <w:iCs/>
              </w:rPr>
              <w:t>1</w:t>
            </w:r>
          </w:p>
        </w:tc>
        <w:tc>
          <w:tcPr>
            <w:tcW w:w="4967" w:type="dxa"/>
            <w:tcBorders>
              <w:top w:val="single" w:color="auto" w:sz="12" w:space="0"/>
            </w:tcBorders>
          </w:tcPr>
          <w:p>
            <w:pPr>
              <w:spacing w:before="120" w:after="120"/>
              <w:rPr>
                <w:rFonts w:ascii="宋体" w:hAnsi="宋体" w:cs="宋体"/>
                <w:sz w:val="24"/>
                <w:szCs w:val="24"/>
              </w:rPr>
            </w:pPr>
            <w:r>
              <w:rPr>
                <w:rFonts w:hint="eastAsia"/>
                <w:sz w:val="24"/>
              </w:rPr>
              <w:t>推土机</w:t>
            </w:r>
          </w:p>
        </w:tc>
        <w:tc>
          <w:tcPr>
            <w:tcW w:w="2811" w:type="dxa"/>
            <w:tcBorders>
              <w:top w:val="single" w:color="auto" w:sz="12" w:space="0"/>
            </w:tcBorders>
          </w:tcPr>
          <w:p>
            <w:pPr>
              <w:spacing w:before="120" w:after="120"/>
              <w:rPr>
                <w:sz w:val="24"/>
                <w:szCs w:val="24"/>
              </w:rPr>
            </w:pPr>
            <w:r>
              <w:rPr>
                <w:rFonts w:hint="eastAsia" w:ascii="Arial" w:hAnsi="Arial" w:cs="Arial"/>
                <w:iCs/>
                <w:sz w:val="20"/>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2</w:t>
            </w:r>
          </w:p>
        </w:tc>
        <w:tc>
          <w:tcPr>
            <w:tcW w:w="4967" w:type="dxa"/>
          </w:tcPr>
          <w:p>
            <w:pPr>
              <w:spacing w:before="120" w:after="120"/>
              <w:rPr>
                <w:sz w:val="24"/>
                <w:szCs w:val="24"/>
              </w:rPr>
            </w:pPr>
            <w:r>
              <w:rPr>
                <w:rFonts w:hint="eastAsia"/>
                <w:sz w:val="24"/>
              </w:rPr>
              <w:t>挖掘机</w:t>
            </w:r>
            <w:r>
              <w:rPr>
                <w:sz w:val="24"/>
              </w:rPr>
              <w:t>(&gt;1m</w:t>
            </w:r>
            <w:r>
              <w:rPr>
                <w:sz w:val="24"/>
                <w:vertAlign w:val="superscript"/>
              </w:rPr>
              <w:t>3</w:t>
            </w:r>
            <w:r>
              <w:rPr>
                <w:sz w:val="24"/>
              </w:rPr>
              <w:t>)</w:t>
            </w:r>
          </w:p>
        </w:tc>
        <w:tc>
          <w:tcPr>
            <w:tcW w:w="2811" w:type="dxa"/>
          </w:tcPr>
          <w:p>
            <w:pPr>
              <w:spacing w:before="120" w:after="120"/>
              <w:rPr>
                <w:sz w:val="24"/>
                <w:szCs w:val="24"/>
              </w:rPr>
            </w:pPr>
            <w:r>
              <w:rPr>
                <w:rFonts w:hint="eastAsia" w:ascii="Arial" w:hAnsi="Arial" w:cs="Arial"/>
                <w:iCs/>
                <w:sz w:val="20"/>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3</w:t>
            </w:r>
          </w:p>
        </w:tc>
        <w:tc>
          <w:tcPr>
            <w:tcW w:w="4967" w:type="dxa"/>
          </w:tcPr>
          <w:p>
            <w:pPr>
              <w:spacing w:before="120" w:after="120"/>
              <w:rPr>
                <w:sz w:val="24"/>
                <w:szCs w:val="24"/>
              </w:rPr>
            </w:pPr>
            <w:r>
              <w:rPr>
                <w:rFonts w:hint="eastAsia"/>
                <w:sz w:val="24"/>
              </w:rPr>
              <w:t>自卸汽车</w:t>
            </w:r>
            <w:r>
              <w:rPr>
                <w:sz w:val="24"/>
              </w:rPr>
              <w:t>(20</w:t>
            </w:r>
            <w:r>
              <w:rPr>
                <w:rFonts w:hint="eastAsia"/>
                <w:sz w:val="24"/>
              </w:rPr>
              <w:t>吨</w:t>
            </w:r>
            <w:r>
              <w:rPr>
                <w:sz w:val="24"/>
              </w:rPr>
              <w:t>)</w:t>
            </w:r>
          </w:p>
        </w:tc>
        <w:tc>
          <w:tcPr>
            <w:tcW w:w="2811" w:type="dxa"/>
          </w:tcPr>
          <w:p>
            <w:pPr>
              <w:spacing w:before="120" w:after="120"/>
              <w:rPr>
                <w:sz w:val="24"/>
                <w:szCs w:val="24"/>
              </w:rPr>
            </w:pPr>
            <w:r>
              <w:rPr>
                <w:rFonts w:hint="eastAsia" w:ascii="Arial" w:hAnsi="Arial" w:cs="Arial"/>
                <w:iCs/>
                <w:sz w:val="20"/>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4</w:t>
            </w:r>
          </w:p>
        </w:tc>
        <w:tc>
          <w:tcPr>
            <w:tcW w:w="4967" w:type="dxa"/>
            <w:vAlign w:val="center"/>
          </w:tcPr>
          <w:p>
            <w:pPr>
              <w:widowControl/>
              <w:adjustRightInd/>
              <w:spacing w:before="120" w:after="120" w:line="240" w:lineRule="auto"/>
              <w:jc w:val="left"/>
              <w:textAlignment w:val="auto"/>
              <w:rPr>
                <w:rFonts w:ascii="宋体" w:hAnsi="宋体" w:cs="宋体"/>
                <w:sz w:val="24"/>
                <w:szCs w:val="24"/>
              </w:rPr>
            </w:pPr>
            <w:r>
              <w:rPr>
                <w:rFonts w:hint="eastAsia"/>
                <w:sz w:val="24"/>
              </w:rPr>
              <w:t>污水泵、汽油泵</w:t>
            </w:r>
          </w:p>
        </w:tc>
        <w:tc>
          <w:tcPr>
            <w:tcW w:w="2811" w:type="dxa"/>
            <w:vAlign w:val="center"/>
          </w:tcPr>
          <w:p>
            <w:pPr>
              <w:spacing w:before="120" w:after="120"/>
              <w:rPr>
                <w:sz w:val="24"/>
                <w:szCs w:val="24"/>
              </w:rPr>
            </w:pPr>
            <w:r>
              <w:rPr>
                <w:rFonts w:hint="eastAsia"/>
                <w:sz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5</w:t>
            </w:r>
          </w:p>
        </w:tc>
        <w:tc>
          <w:tcPr>
            <w:tcW w:w="4967" w:type="dxa"/>
            <w:vAlign w:val="center"/>
          </w:tcPr>
          <w:p>
            <w:pPr>
              <w:widowControl/>
              <w:adjustRightInd/>
              <w:spacing w:before="120" w:after="120" w:line="240" w:lineRule="auto"/>
              <w:jc w:val="left"/>
              <w:textAlignment w:val="auto"/>
              <w:rPr>
                <w:sz w:val="24"/>
              </w:rPr>
            </w:pPr>
            <w:r>
              <w:rPr>
                <w:rFonts w:hint="eastAsia"/>
                <w:sz w:val="24"/>
              </w:rPr>
              <w:t>发电机</w:t>
            </w:r>
          </w:p>
        </w:tc>
        <w:tc>
          <w:tcPr>
            <w:tcW w:w="2811" w:type="dxa"/>
            <w:vAlign w:val="center"/>
          </w:tcPr>
          <w:p>
            <w:pPr>
              <w:widowControl/>
              <w:adjustRightInd/>
              <w:spacing w:before="120" w:after="120" w:line="240" w:lineRule="auto"/>
              <w:jc w:val="left"/>
              <w:textAlignment w:val="auto"/>
              <w:rPr>
                <w:sz w:val="24"/>
              </w:rPr>
            </w:pPr>
            <w:r>
              <w:rPr>
                <w:rFonts w:hint="eastAsia"/>
                <w:sz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6</w:t>
            </w:r>
          </w:p>
        </w:tc>
        <w:tc>
          <w:tcPr>
            <w:tcW w:w="4967" w:type="dxa"/>
            <w:vAlign w:val="center"/>
          </w:tcPr>
          <w:p>
            <w:pPr>
              <w:widowControl/>
              <w:adjustRightInd/>
              <w:spacing w:before="120" w:after="120" w:line="240" w:lineRule="auto"/>
              <w:jc w:val="left"/>
              <w:textAlignment w:val="auto"/>
              <w:rPr>
                <w:sz w:val="24"/>
              </w:rPr>
            </w:pPr>
            <w:r>
              <w:rPr>
                <w:rFonts w:hint="eastAsia"/>
                <w:sz w:val="24"/>
              </w:rPr>
              <w:t>雾炮车</w:t>
            </w:r>
          </w:p>
        </w:tc>
        <w:tc>
          <w:tcPr>
            <w:tcW w:w="2811" w:type="dxa"/>
            <w:vAlign w:val="center"/>
          </w:tcPr>
          <w:p>
            <w:pPr>
              <w:widowControl/>
              <w:adjustRightInd/>
              <w:spacing w:before="120" w:after="120" w:line="240" w:lineRule="auto"/>
              <w:jc w:val="left"/>
              <w:textAlignment w:val="auto"/>
              <w:rPr>
                <w:sz w:val="24"/>
              </w:rPr>
            </w:pPr>
            <w:r>
              <w:rPr>
                <w:rFonts w:hint="eastAsia"/>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tcPr>
          <w:p>
            <w:pPr>
              <w:spacing w:before="120" w:after="120"/>
              <w:jc w:val="center"/>
              <w:rPr>
                <w:iCs/>
                <w:sz w:val="20"/>
              </w:rPr>
            </w:pPr>
            <w:r>
              <w:rPr>
                <w:iCs/>
                <w:sz w:val="20"/>
              </w:rPr>
              <w:t>7</w:t>
            </w:r>
          </w:p>
        </w:tc>
        <w:tc>
          <w:tcPr>
            <w:tcW w:w="4967" w:type="dxa"/>
            <w:vAlign w:val="center"/>
          </w:tcPr>
          <w:p>
            <w:pPr>
              <w:widowControl/>
              <w:adjustRightInd/>
              <w:spacing w:after="0" w:line="240" w:lineRule="auto"/>
              <w:jc w:val="left"/>
              <w:textAlignment w:val="auto"/>
              <w:rPr>
                <w:sz w:val="24"/>
                <w:szCs w:val="24"/>
              </w:rPr>
            </w:pPr>
            <w:r>
              <w:rPr>
                <w:rFonts w:hint="eastAsia"/>
                <w:sz w:val="24"/>
                <w:szCs w:val="24"/>
                <w:lang w:val="en"/>
              </w:rPr>
              <w:t>洒水车</w:t>
            </w:r>
          </w:p>
        </w:tc>
        <w:tc>
          <w:tcPr>
            <w:tcW w:w="2811" w:type="dxa"/>
            <w:vAlign w:val="center"/>
          </w:tcPr>
          <w:p>
            <w:pPr>
              <w:widowControl/>
              <w:adjustRightInd/>
              <w:spacing w:after="0" w:line="240" w:lineRule="auto"/>
              <w:jc w:val="left"/>
              <w:textAlignment w:val="auto"/>
              <w:rPr>
                <w:sz w:val="24"/>
                <w:szCs w:val="24"/>
              </w:rPr>
            </w:pPr>
            <w:r>
              <w:rPr>
                <w:rFonts w:hint="eastAsia"/>
                <w:sz w:val="24"/>
                <w:szCs w:val="24"/>
              </w:rPr>
              <w:t>1台</w:t>
            </w:r>
          </w:p>
        </w:tc>
      </w:tr>
    </w:tbl>
    <w:p>
      <w:pPr>
        <w:widowControl/>
        <w:spacing w:before="120" w:after="120" w:line="240" w:lineRule="atLeast"/>
        <w:ind w:firstLine="420" w:firstLineChars="200"/>
        <w:jc w:val="left"/>
        <w:textAlignment w:val="auto"/>
        <w:rPr>
          <w:szCs w:val="21"/>
        </w:rPr>
      </w:pPr>
    </w:p>
    <w:bookmarkEnd w:id="867"/>
    <w:p>
      <w:pPr>
        <w:widowControl/>
        <w:spacing w:before="120" w:after="120" w:line="240" w:lineRule="atLeast"/>
        <w:ind w:firstLine="422"/>
        <w:jc w:val="left"/>
        <w:textAlignment w:val="auto"/>
        <w:rPr>
          <w:b/>
          <w:szCs w:val="21"/>
        </w:rPr>
      </w:pPr>
    </w:p>
    <w:p>
      <w:pPr>
        <w:widowControl/>
        <w:spacing w:before="120" w:after="120" w:line="240" w:lineRule="atLeast"/>
        <w:ind w:firstLine="422"/>
        <w:jc w:val="left"/>
        <w:textAlignment w:val="auto"/>
        <w:rPr>
          <w:b/>
          <w:szCs w:val="21"/>
        </w:rPr>
        <w:sectPr>
          <w:headerReference r:id="rId13" w:type="default"/>
          <w:footnotePr>
            <w:numRestart w:val="eachSect"/>
          </w:footnotePr>
          <w:endnotePr>
            <w:numFmt w:val="decimal"/>
          </w:endnotePr>
          <w:type w:val="continuous"/>
          <w:pgSz w:w="11907" w:h="16840"/>
          <w:pgMar w:top="1440" w:right="1797" w:bottom="1440" w:left="1797" w:header="851" w:footer="992" w:gutter="0"/>
          <w:cols w:space="720" w:num="1"/>
          <w:docGrid w:linePitch="360" w:charSpace="0"/>
        </w:sectPr>
      </w:pPr>
    </w:p>
    <w:p>
      <w:pPr>
        <w:pStyle w:val="3"/>
        <w:rPr>
          <w:vertAlign w:val="superscript"/>
        </w:rPr>
      </w:pPr>
      <w:bookmarkStart w:id="1189" w:name="_Toc110272057"/>
      <w:bookmarkStart w:id="1190" w:name="_Toc110330406"/>
      <w:bookmarkStart w:id="1191" w:name="_Toc171063120"/>
      <w:bookmarkStart w:id="1192" w:name="_Toc110264404"/>
      <w:bookmarkStart w:id="1193" w:name="_Toc110264785"/>
      <w:bookmarkStart w:id="1194" w:name="_Toc110328306"/>
      <w:bookmarkStart w:id="1195" w:name="_Toc110268523"/>
      <w:bookmarkStart w:id="1196" w:name="_Toc110263943"/>
      <w:bookmarkStart w:id="1197" w:name="_Toc110267677"/>
      <w:bookmarkStart w:id="1198" w:name="_Toc110264732"/>
      <w:bookmarkStart w:id="1199" w:name="_Toc391287339"/>
      <w:bookmarkStart w:id="1200" w:name="_Toc110330467"/>
      <w:bookmarkStart w:id="1201" w:name="_Toc110265185"/>
      <w:bookmarkStart w:id="1202" w:name="_Toc165289280"/>
      <w:bookmarkStart w:id="1203" w:name="_Toc110262749"/>
      <w:bookmarkStart w:id="1204" w:name="_Toc324771991"/>
      <w:bookmarkStart w:id="1205" w:name="_Toc324772207"/>
      <w:bookmarkStart w:id="1206" w:name="_Toc110264949"/>
      <w:bookmarkStart w:id="1207" w:name="_Toc169103257"/>
      <w:r>
        <w:t>第四章　投标文件格式</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pStyle w:val="18"/>
        <w:rPr>
          <w:rFonts w:ascii="Times New Roman" w:hAnsi="Times New Roman"/>
          <w:lang w:eastAsia="zh-CN"/>
        </w:rPr>
      </w:pPr>
    </w:p>
    <w:p>
      <w:pPr>
        <w:pStyle w:val="18"/>
        <w:rPr>
          <w:rFonts w:ascii="Times New Roman" w:hAnsi="Times New Roman"/>
          <w:lang w:eastAsia="zh-CN"/>
        </w:rPr>
      </w:pPr>
      <w:r>
        <w:rPr>
          <w:rFonts w:hint="eastAsia" w:ascii="Times New Roman" w:hAnsi="Times New Roman"/>
          <w:lang w:eastAsia="zh-CN"/>
        </w:rPr>
        <w:t>目录</w:t>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iCs w:val="0"/>
          <w:sz w:val="20"/>
        </w:rPr>
        <w:fldChar w:fldCharType="begin"/>
      </w:r>
      <w:r>
        <w:rPr>
          <w:iCs w:val="0"/>
          <w:sz w:val="20"/>
        </w:rPr>
        <w:instrText xml:space="preserve"> TOC \</w:instrText>
      </w:r>
      <w:r>
        <w:rPr>
          <w:rFonts w:hint="eastAsia"/>
          <w:iCs w:val="0"/>
        </w:rPr>
        <w:instrText xml:space="preserve">b</w:instrText>
      </w:r>
      <w:r>
        <w:rPr>
          <w:iCs w:val="0"/>
        </w:rPr>
        <w:instrText xml:space="preserve"> </w:instrText>
      </w:r>
      <w:r>
        <w:rPr>
          <w:rFonts w:hint="eastAsia"/>
          <w:iCs w:val="0"/>
        </w:rPr>
        <w:instrText xml:space="preserve">第四篇</w:instrText>
      </w:r>
      <w:r>
        <w:rPr>
          <w:iCs w:val="0"/>
          <w:sz w:val="20"/>
        </w:rPr>
        <w:instrText xml:space="preserve"> "Heading 3,3,Heading 4,4" </w:instrText>
      </w:r>
      <w:r>
        <w:rPr>
          <w:iCs w:val="0"/>
          <w:sz w:val="20"/>
        </w:rPr>
        <w:fldChar w:fldCharType="separate"/>
      </w:r>
      <w:r>
        <w:rPr>
          <w:rFonts w:hint="eastAsia"/>
        </w:rPr>
        <w:t>投标函</w:t>
      </w:r>
      <w:r>
        <w:tab/>
      </w:r>
      <w:r>
        <w:fldChar w:fldCharType="begin"/>
      </w:r>
      <w:r>
        <w:instrText xml:space="preserve"> PAGEREF _Toc170312583 \h </w:instrText>
      </w:r>
      <w:r>
        <w:fldChar w:fldCharType="separate"/>
      </w:r>
      <w:r>
        <w:t>41</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投标函</w:t>
      </w:r>
      <w:r>
        <w:t xml:space="preserve"> - </w:t>
      </w:r>
      <w:r>
        <w:rPr>
          <w:rFonts w:hint="eastAsia"/>
        </w:rPr>
        <w:t>附件</w:t>
      </w:r>
      <w:r>
        <w:t>1</w:t>
      </w:r>
      <w:r>
        <w:rPr>
          <w:rFonts w:hint="eastAsia"/>
        </w:rPr>
        <w:t>：诚信承诺书</w:t>
      </w:r>
      <w:r>
        <w:tab/>
      </w:r>
      <w:r>
        <w:fldChar w:fldCharType="begin"/>
      </w:r>
      <w:r>
        <w:instrText xml:space="preserve"> PAGEREF _Toc170312584 \h </w:instrText>
      </w:r>
      <w:r>
        <w:fldChar w:fldCharType="separate"/>
      </w:r>
      <w:r>
        <w:t>43</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价格表</w:t>
      </w:r>
      <w:r>
        <w:tab/>
      </w:r>
      <w:r>
        <w:fldChar w:fldCharType="begin"/>
      </w:r>
      <w:r>
        <w:instrText xml:space="preserve"> PAGEREF _Toc170312585 \h </w:instrText>
      </w:r>
      <w:r>
        <w:fldChar w:fldCharType="separate"/>
      </w:r>
      <w:r>
        <w:t>45</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价格调整表</w:t>
      </w:r>
      <w:r>
        <w:tab/>
      </w:r>
      <w:r>
        <w:fldChar w:fldCharType="begin"/>
      </w:r>
      <w:r>
        <w:instrText xml:space="preserve"> PAGEREF _Toc170312586 \h </w:instrText>
      </w:r>
      <w:r>
        <w:fldChar w:fldCharType="separate"/>
      </w:r>
      <w:r>
        <w:t>52</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投标保证金（银行保函）</w:t>
      </w:r>
      <w:r>
        <w:tab/>
      </w:r>
      <w:r>
        <w:fldChar w:fldCharType="begin"/>
      </w:r>
      <w:r>
        <w:instrText xml:space="preserve"> PAGEREF _Toc170312587 \h </w:instrText>
      </w:r>
      <w:r>
        <w:fldChar w:fldCharType="separate"/>
      </w:r>
      <w:r>
        <w:t>53</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技术建议书</w:t>
      </w:r>
      <w:r>
        <w:tab/>
      </w:r>
      <w:r>
        <w:fldChar w:fldCharType="begin"/>
      </w:r>
      <w:r>
        <w:instrText xml:space="preserve"> PAGEREF _Toc170312588 \h </w:instrText>
      </w:r>
      <w:r>
        <w:fldChar w:fldCharType="separate"/>
      </w:r>
      <w:r>
        <w:t>54</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人员</w:t>
      </w:r>
      <w:r>
        <w:tab/>
      </w:r>
      <w:r>
        <w:fldChar w:fldCharType="begin"/>
      </w:r>
      <w:r>
        <w:instrText xml:space="preserve"> PAGEREF _Toc170312589 \h </w:instrText>
      </w:r>
      <w:r>
        <w:fldChar w:fldCharType="separate"/>
      </w:r>
      <w:r>
        <w:t>55</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设备</w:t>
      </w:r>
      <w:r>
        <w:tab/>
      </w:r>
      <w:r>
        <w:fldChar w:fldCharType="begin"/>
      </w:r>
      <w:r>
        <w:instrText xml:space="preserve"> PAGEREF _Toc170312590 \h </w:instrText>
      </w:r>
      <w:r>
        <w:fldChar w:fldCharType="separate"/>
      </w:r>
      <w:r>
        <w:t>57</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环境</w:t>
      </w:r>
      <w:r>
        <w:t>-</w:t>
      </w:r>
      <w:r>
        <w:rPr>
          <w:rFonts w:hint="eastAsia"/>
        </w:rPr>
        <w:t>社会</w:t>
      </w:r>
      <w:r>
        <w:t>-</w:t>
      </w:r>
      <w:r>
        <w:rPr>
          <w:rFonts w:hint="eastAsia"/>
        </w:rPr>
        <w:t>健康</w:t>
      </w:r>
      <w:r>
        <w:t>-</w:t>
      </w:r>
      <w:r>
        <w:rPr>
          <w:rFonts w:hint="eastAsia"/>
        </w:rPr>
        <w:t>安全行为准则</w:t>
      </w:r>
      <w:r>
        <w:tab/>
      </w:r>
      <w:r>
        <w:fldChar w:fldCharType="begin"/>
      </w:r>
      <w:r>
        <w:instrText xml:space="preserve"> PAGEREF _Toc170312591 \h </w:instrText>
      </w:r>
      <w:r>
        <w:fldChar w:fldCharType="separate"/>
      </w:r>
      <w:r>
        <w:t>58</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环境</w:t>
      </w:r>
      <w:r>
        <w:t>-</w:t>
      </w:r>
      <w:r>
        <w:rPr>
          <w:rFonts w:hint="eastAsia"/>
        </w:rPr>
        <w:t>社会</w:t>
      </w:r>
      <w:r>
        <w:t>-</w:t>
      </w:r>
      <w:r>
        <w:rPr>
          <w:rFonts w:hint="eastAsia"/>
        </w:rPr>
        <w:t>健康</w:t>
      </w:r>
      <w:r>
        <w:t>-</w:t>
      </w:r>
      <w:r>
        <w:rPr>
          <w:rFonts w:hint="eastAsia"/>
        </w:rPr>
        <w:t>安全管理策略和实施方案</w:t>
      </w:r>
      <w:r>
        <w:tab/>
      </w:r>
      <w:r>
        <w:fldChar w:fldCharType="begin"/>
      </w:r>
      <w:r>
        <w:instrText xml:space="preserve"> PAGEREF _Toc170312592 \h </w:instrText>
      </w:r>
      <w:r>
        <w:fldChar w:fldCharType="separate"/>
      </w:r>
      <w:r>
        <w:t>59</w:t>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rPr>
          <w:rFonts w:hint="eastAsia"/>
        </w:rPr>
        <w:t>投标人资格</w:t>
      </w:r>
      <w:r>
        <w:tab/>
      </w:r>
      <w:r>
        <w:fldChar w:fldCharType="begin"/>
      </w:r>
      <w:r>
        <w:instrText xml:space="preserve"> PAGEREF _Toc170312593 \h </w:instrText>
      </w:r>
      <w:r>
        <w:fldChar w:fldCharType="separate"/>
      </w:r>
      <w:r>
        <w:t>60</w:t>
      </w:r>
      <w: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ELI 2.1(1) </w:t>
      </w:r>
      <w:r>
        <w:rPr>
          <w:rFonts w:hint="eastAsia"/>
          <w:b w:val="0"/>
          <w:bCs/>
        </w:rPr>
        <w:t>投标人信息表</w:t>
      </w:r>
      <w:r>
        <w:rPr>
          <w:b w:val="0"/>
          <w:bCs/>
        </w:rPr>
        <w:tab/>
      </w:r>
      <w:r>
        <w:rPr>
          <w:b w:val="0"/>
          <w:bCs/>
        </w:rPr>
        <w:fldChar w:fldCharType="begin"/>
      </w:r>
      <w:r>
        <w:rPr>
          <w:b w:val="0"/>
          <w:bCs/>
        </w:rPr>
        <w:instrText xml:space="preserve"> PAGEREF _Toc170312594 \h </w:instrText>
      </w:r>
      <w:r>
        <w:rPr>
          <w:b w:val="0"/>
          <w:bCs/>
        </w:rPr>
        <w:fldChar w:fldCharType="separate"/>
      </w:r>
      <w:r>
        <w:rPr>
          <w:b w:val="0"/>
          <w:bCs/>
        </w:rPr>
        <w:t>60</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ELI 2.1(2)  </w:t>
      </w:r>
      <w:r>
        <w:rPr>
          <w:rFonts w:hint="eastAsia"/>
          <w:b w:val="0"/>
          <w:bCs/>
        </w:rPr>
        <w:t>联合体成员信息表</w:t>
      </w:r>
      <w:r>
        <w:rPr>
          <w:b w:val="0"/>
          <w:bCs/>
        </w:rPr>
        <w:tab/>
      </w:r>
      <w:r>
        <w:rPr>
          <w:b w:val="0"/>
          <w:bCs/>
        </w:rPr>
        <w:fldChar w:fldCharType="begin"/>
      </w:r>
      <w:r>
        <w:rPr>
          <w:b w:val="0"/>
          <w:bCs/>
        </w:rPr>
        <w:instrText xml:space="preserve"> PAGEREF _Toc170312595 \h </w:instrText>
      </w:r>
      <w:r>
        <w:rPr>
          <w:b w:val="0"/>
          <w:bCs/>
        </w:rPr>
        <w:fldChar w:fldCharType="separate"/>
      </w:r>
      <w:r>
        <w:rPr>
          <w:b w:val="0"/>
          <w:bCs/>
        </w:rPr>
        <w:t>61</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CON-2.2.1 </w:t>
      </w:r>
      <w:r>
        <w:rPr>
          <w:rFonts w:hint="eastAsia"/>
          <w:b w:val="0"/>
          <w:bCs/>
        </w:rPr>
        <w:t>未履行合同记录</w:t>
      </w:r>
      <w:r>
        <w:rPr>
          <w:b w:val="0"/>
          <w:bCs/>
        </w:rPr>
        <w:tab/>
      </w:r>
      <w:r>
        <w:rPr>
          <w:b w:val="0"/>
          <w:bCs/>
        </w:rPr>
        <w:fldChar w:fldCharType="begin"/>
      </w:r>
      <w:r>
        <w:rPr>
          <w:b w:val="0"/>
          <w:bCs/>
        </w:rPr>
        <w:instrText xml:space="preserve"> PAGEREF _Toc170312596 \h </w:instrText>
      </w:r>
      <w:r>
        <w:rPr>
          <w:b w:val="0"/>
          <w:bCs/>
        </w:rPr>
        <w:fldChar w:fldCharType="separate"/>
      </w:r>
      <w:r>
        <w:rPr>
          <w:b w:val="0"/>
          <w:bCs/>
        </w:rPr>
        <w:t>62</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CON-2.2.2 </w:t>
      </w:r>
      <w:r>
        <w:rPr>
          <w:rFonts w:hint="eastAsia"/>
          <w:b w:val="0"/>
          <w:bCs/>
        </w:rPr>
        <w:t>未决诉讼记录</w:t>
      </w:r>
      <w:r>
        <w:rPr>
          <w:b w:val="0"/>
          <w:bCs/>
        </w:rPr>
        <w:tab/>
      </w:r>
      <w:r>
        <w:rPr>
          <w:b w:val="0"/>
          <w:bCs/>
        </w:rPr>
        <w:fldChar w:fldCharType="begin"/>
      </w:r>
      <w:r>
        <w:rPr>
          <w:b w:val="0"/>
          <w:bCs/>
        </w:rPr>
        <w:instrText xml:space="preserve"> PAGEREF _Toc170312597 \h </w:instrText>
      </w:r>
      <w:r>
        <w:rPr>
          <w:b w:val="0"/>
          <w:bCs/>
        </w:rPr>
        <w:fldChar w:fldCharType="separate"/>
      </w:r>
      <w:r>
        <w:rPr>
          <w:b w:val="0"/>
          <w:bCs/>
        </w:rPr>
        <w:t>63</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FIN-2.3.1  </w:t>
      </w:r>
      <w:r>
        <w:rPr>
          <w:rFonts w:hint="eastAsia"/>
          <w:b w:val="0"/>
          <w:bCs/>
        </w:rPr>
        <w:t>历史财务状况</w:t>
      </w:r>
      <w:r>
        <w:rPr>
          <w:b w:val="0"/>
          <w:bCs/>
        </w:rPr>
        <w:tab/>
      </w:r>
      <w:r>
        <w:rPr>
          <w:b w:val="0"/>
          <w:bCs/>
        </w:rPr>
        <w:fldChar w:fldCharType="begin"/>
      </w:r>
      <w:r>
        <w:rPr>
          <w:b w:val="0"/>
          <w:bCs/>
        </w:rPr>
        <w:instrText xml:space="preserve"> PAGEREF _Toc170312598 \h </w:instrText>
      </w:r>
      <w:r>
        <w:rPr>
          <w:b w:val="0"/>
          <w:bCs/>
        </w:rPr>
        <w:fldChar w:fldCharType="separate"/>
      </w:r>
      <w:r>
        <w:rPr>
          <w:b w:val="0"/>
          <w:bCs/>
        </w:rPr>
        <w:t>65</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FIN-2.3.2  </w:t>
      </w:r>
      <w:r>
        <w:rPr>
          <w:rFonts w:hint="eastAsia"/>
          <w:b w:val="0"/>
          <w:bCs/>
        </w:rPr>
        <w:t>年均施工营业额</w:t>
      </w:r>
      <w:r>
        <w:rPr>
          <w:b w:val="0"/>
          <w:bCs/>
        </w:rPr>
        <w:tab/>
      </w:r>
      <w:r>
        <w:rPr>
          <w:b w:val="0"/>
          <w:bCs/>
        </w:rPr>
        <w:fldChar w:fldCharType="begin"/>
      </w:r>
      <w:r>
        <w:rPr>
          <w:b w:val="0"/>
          <w:bCs/>
        </w:rPr>
        <w:instrText xml:space="preserve"> PAGEREF _Toc170312599 \h </w:instrText>
      </w:r>
      <w:r>
        <w:rPr>
          <w:b w:val="0"/>
          <w:bCs/>
        </w:rPr>
        <w:fldChar w:fldCharType="separate"/>
      </w:r>
      <w:r>
        <w:rPr>
          <w:b w:val="0"/>
          <w:bCs/>
        </w:rPr>
        <w:t>66</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FIN-2.3.3.1  </w:t>
      </w:r>
      <w:r>
        <w:rPr>
          <w:rFonts w:hint="eastAsia"/>
          <w:b w:val="0"/>
          <w:bCs/>
        </w:rPr>
        <w:t>财务资源</w:t>
      </w:r>
      <w:r>
        <w:rPr>
          <w:b w:val="0"/>
          <w:bCs/>
        </w:rPr>
        <w:tab/>
      </w:r>
      <w:r>
        <w:rPr>
          <w:b w:val="0"/>
          <w:bCs/>
        </w:rPr>
        <w:fldChar w:fldCharType="begin"/>
      </w:r>
      <w:r>
        <w:rPr>
          <w:b w:val="0"/>
          <w:bCs/>
        </w:rPr>
        <w:instrText xml:space="preserve"> PAGEREF _Toc170312600 \h </w:instrText>
      </w:r>
      <w:r>
        <w:rPr>
          <w:b w:val="0"/>
          <w:bCs/>
        </w:rPr>
        <w:fldChar w:fldCharType="separate"/>
      </w:r>
      <w:r>
        <w:rPr>
          <w:b w:val="0"/>
          <w:bCs/>
        </w:rPr>
        <w:t>67</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FIN-2.3.3.2  </w:t>
      </w:r>
      <w:r>
        <w:rPr>
          <w:rFonts w:hint="eastAsia"/>
          <w:b w:val="0"/>
          <w:bCs/>
        </w:rPr>
        <w:t>当前正执行的合同、在建工程</w:t>
      </w:r>
      <w:r>
        <w:rPr>
          <w:b w:val="0"/>
          <w:bCs/>
        </w:rPr>
        <w:tab/>
      </w:r>
      <w:r>
        <w:rPr>
          <w:b w:val="0"/>
          <w:bCs/>
        </w:rPr>
        <w:fldChar w:fldCharType="begin"/>
      </w:r>
      <w:r>
        <w:rPr>
          <w:b w:val="0"/>
          <w:bCs/>
        </w:rPr>
        <w:instrText xml:space="preserve"> PAGEREF _Toc170312601 \h </w:instrText>
      </w:r>
      <w:r>
        <w:rPr>
          <w:b w:val="0"/>
          <w:bCs/>
        </w:rPr>
        <w:fldChar w:fldCharType="separate"/>
      </w:r>
      <w:r>
        <w:rPr>
          <w:b w:val="0"/>
          <w:bCs/>
        </w:rPr>
        <w:t>68</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FIN-2.3.3.3</w:t>
      </w:r>
      <w:r>
        <w:rPr>
          <w:rFonts w:hint="eastAsia"/>
          <w:b w:val="0"/>
          <w:bCs/>
        </w:rPr>
        <w:t>：投标人是否符合财务资源要求的自我评估工具</w:t>
      </w:r>
      <w:r>
        <w:rPr>
          <w:b w:val="0"/>
          <w:bCs/>
        </w:rPr>
        <w:tab/>
      </w:r>
      <w:r>
        <w:rPr>
          <w:b w:val="0"/>
          <w:bCs/>
        </w:rPr>
        <w:fldChar w:fldCharType="begin"/>
      </w:r>
      <w:r>
        <w:rPr>
          <w:b w:val="0"/>
          <w:bCs/>
        </w:rPr>
        <w:instrText xml:space="preserve"> PAGEREF _Toc170312602 \h </w:instrText>
      </w:r>
      <w:r>
        <w:rPr>
          <w:b w:val="0"/>
          <w:bCs/>
        </w:rPr>
        <w:fldChar w:fldCharType="separate"/>
      </w:r>
      <w:r>
        <w:rPr>
          <w:b w:val="0"/>
          <w:bCs/>
        </w:rPr>
        <w:t>69</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EXP2.4.1  </w:t>
      </w:r>
      <w:r>
        <w:rPr>
          <w:rFonts w:hint="eastAsia"/>
          <w:b w:val="0"/>
          <w:bCs/>
        </w:rPr>
        <w:t>一般经验</w:t>
      </w:r>
      <w:r>
        <w:rPr>
          <w:b w:val="0"/>
          <w:bCs/>
        </w:rPr>
        <w:tab/>
      </w:r>
      <w:r>
        <w:rPr>
          <w:b w:val="0"/>
          <w:bCs/>
        </w:rPr>
        <w:fldChar w:fldCharType="begin"/>
      </w:r>
      <w:r>
        <w:rPr>
          <w:b w:val="0"/>
          <w:bCs/>
        </w:rPr>
        <w:instrText xml:space="preserve"> PAGEREF _Toc170312603 \h </w:instrText>
      </w:r>
      <w:r>
        <w:rPr>
          <w:b w:val="0"/>
          <w:bCs/>
        </w:rPr>
        <w:fldChar w:fldCharType="separate"/>
      </w:r>
      <w:r>
        <w:rPr>
          <w:b w:val="0"/>
          <w:bCs/>
        </w:rPr>
        <w:t>71</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EXP2.4.2(1)  </w:t>
      </w:r>
      <w:r>
        <w:rPr>
          <w:rFonts w:hint="eastAsia"/>
          <w:b w:val="0"/>
          <w:bCs/>
        </w:rPr>
        <w:t>特殊经验</w:t>
      </w:r>
      <w:r>
        <w:rPr>
          <w:b w:val="0"/>
          <w:bCs/>
        </w:rPr>
        <w:tab/>
      </w:r>
      <w:r>
        <w:rPr>
          <w:b w:val="0"/>
          <w:bCs/>
        </w:rPr>
        <w:fldChar w:fldCharType="begin"/>
      </w:r>
      <w:r>
        <w:rPr>
          <w:b w:val="0"/>
          <w:bCs/>
        </w:rPr>
        <w:instrText xml:space="preserve"> PAGEREF _Toc170312604 \h </w:instrText>
      </w:r>
      <w:r>
        <w:rPr>
          <w:b w:val="0"/>
          <w:bCs/>
        </w:rPr>
        <w:fldChar w:fldCharType="separate"/>
      </w:r>
      <w:r>
        <w:rPr>
          <w:b w:val="0"/>
          <w:bCs/>
        </w:rPr>
        <w:t>72</w:t>
      </w:r>
      <w:r>
        <w:rPr>
          <w:b w:val="0"/>
          <w:bCs/>
        </w:rPr>
        <w:fldChar w:fldCharType="end"/>
      </w:r>
    </w:p>
    <w:p>
      <w:pPr>
        <w:pStyle w:val="33"/>
        <w:tabs>
          <w:tab w:val="right" w:leader="dot" w:pos="8303"/>
        </w:tabs>
        <w:rPr>
          <w:rFonts w:asciiTheme="minorHAnsi" w:hAnsiTheme="minorHAnsi" w:eastAsiaTheme="minorEastAsia" w:cstheme="minorBidi"/>
          <w:b w:val="0"/>
          <w:bCs/>
          <w:iCs w:val="0"/>
          <w:kern w:val="2"/>
          <w:szCs w:val="22"/>
          <w14:ligatures w14:val="standardContextual"/>
        </w:rPr>
      </w:pPr>
      <w:r>
        <w:rPr>
          <w:rFonts w:hint="eastAsia"/>
          <w:b w:val="0"/>
          <w:bCs/>
        </w:rPr>
        <w:t>表</w:t>
      </w:r>
      <w:r>
        <w:rPr>
          <w:b w:val="0"/>
          <w:bCs/>
        </w:rPr>
        <w:t xml:space="preserve">EXP2.4.2(2)  </w:t>
      </w:r>
      <w:r>
        <w:rPr>
          <w:rFonts w:hint="eastAsia"/>
          <w:b w:val="0"/>
          <w:bCs/>
        </w:rPr>
        <w:t>关键活动中的特殊经验</w:t>
      </w:r>
      <w:r>
        <w:rPr>
          <w:b w:val="0"/>
          <w:bCs/>
        </w:rPr>
        <w:tab/>
      </w:r>
      <w:r>
        <w:rPr>
          <w:b w:val="0"/>
          <w:bCs/>
        </w:rPr>
        <w:fldChar w:fldCharType="begin"/>
      </w:r>
      <w:r>
        <w:rPr>
          <w:b w:val="0"/>
          <w:bCs/>
        </w:rPr>
        <w:instrText xml:space="preserve"> PAGEREF _Toc170312605 \h </w:instrText>
      </w:r>
      <w:r>
        <w:rPr>
          <w:b w:val="0"/>
          <w:bCs/>
        </w:rPr>
        <w:fldChar w:fldCharType="separate"/>
      </w:r>
      <w:r>
        <w:rPr>
          <w:b w:val="0"/>
          <w:bCs/>
        </w:rPr>
        <w:t>73</w:t>
      </w:r>
      <w:r>
        <w:rPr>
          <w:b w:val="0"/>
          <w:bCs/>
        </w:rPr>
        <w:fldChar w:fldCharType="end"/>
      </w:r>
    </w:p>
    <w:p>
      <w:pPr>
        <w:sectPr>
          <w:headerReference r:id="rId14" w:type="default"/>
          <w:footnotePr>
            <w:numRestart w:val="eachPage"/>
          </w:footnotePr>
          <w:endnotePr>
            <w:numFmt w:val="decimal"/>
          </w:endnotePr>
          <w:pgSz w:w="11907" w:h="16840"/>
          <w:pgMar w:top="1440" w:right="1797" w:bottom="1440" w:left="1797" w:header="851" w:footer="992" w:gutter="0"/>
          <w:cols w:space="720" w:num="1"/>
          <w:docGrid w:linePitch="360" w:charSpace="0"/>
        </w:sectPr>
      </w:pPr>
      <w:r>
        <w:rPr>
          <w:iCs/>
          <w:sz w:val="20"/>
        </w:rPr>
        <w:fldChar w:fldCharType="end"/>
      </w:r>
    </w:p>
    <w:p>
      <w:pPr>
        <w:pStyle w:val="4"/>
      </w:pPr>
      <w:bookmarkStart w:id="1208" w:name="_Toc391287340"/>
      <w:bookmarkStart w:id="1209" w:name="_Toc169103258"/>
      <w:bookmarkStart w:id="1210" w:name="_Toc110272058"/>
      <w:bookmarkStart w:id="1211" w:name="_Toc164169026"/>
      <w:bookmarkStart w:id="1212" w:name="_Toc170312583"/>
      <w:bookmarkStart w:id="1213" w:name="_Toc110268524"/>
      <w:bookmarkStart w:id="1214" w:name="_Toc110264405"/>
      <w:bookmarkStart w:id="1215" w:name="_Toc110267678"/>
      <w:bookmarkStart w:id="1216" w:name="_Toc110264950"/>
      <w:bookmarkStart w:id="1217" w:name="_Toc110264733"/>
      <w:bookmarkStart w:id="1218" w:name="_Toc171063121"/>
      <w:bookmarkStart w:id="1219" w:name="_Toc110263944"/>
      <w:bookmarkStart w:id="1220" w:name="_Toc110265186"/>
      <w:bookmarkStart w:id="1221" w:name="_Toc324771992"/>
      <w:bookmarkStart w:id="1222" w:name="_Toc324772208"/>
      <w:bookmarkStart w:id="1223" w:name="_Toc110264786"/>
      <w:bookmarkStart w:id="1224" w:name="_Toc110262750"/>
      <w:bookmarkStart w:id="1225" w:name="第四篇"/>
      <w:r>
        <w:t>投标函</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widowControl/>
        <w:spacing w:before="120" w:after="120" w:line="240" w:lineRule="atLeast"/>
        <w:jc w:val="right"/>
        <w:textAlignment w:val="auto"/>
        <w:rPr>
          <w:iCs/>
          <w:szCs w:val="21"/>
        </w:rPr>
      </w:pPr>
      <w:r>
        <w:rPr>
          <w:rFonts w:hint="eastAsia"/>
          <w:iCs/>
          <w:szCs w:val="21"/>
        </w:rPr>
        <w:t>日期：</w:t>
      </w:r>
      <w:r>
        <w:rPr>
          <w:rFonts w:hint="eastAsia"/>
          <w:szCs w:val="21"/>
        </w:rPr>
        <w:t>________________</w:t>
      </w:r>
    </w:p>
    <w:p>
      <w:pPr>
        <w:spacing w:before="120" w:after="120" w:line="240" w:lineRule="atLeast"/>
        <w:jc w:val="right"/>
        <w:textAlignment w:val="auto"/>
        <w:rPr>
          <w:iCs/>
          <w:szCs w:val="21"/>
        </w:rPr>
      </w:pPr>
      <w:r>
        <w:rPr>
          <w:rFonts w:hint="eastAsia"/>
          <w:iCs/>
          <w:szCs w:val="21"/>
        </w:rPr>
        <w:t>招标编号：</w:t>
      </w:r>
      <w:r>
        <w:rPr>
          <w:rFonts w:hint="eastAsia"/>
          <w:szCs w:val="21"/>
        </w:rPr>
        <w:t>________________</w:t>
      </w:r>
    </w:p>
    <w:p>
      <w:pPr>
        <w:tabs>
          <w:tab w:val="right" w:pos="6480"/>
          <w:tab w:val="right" w:leader="dot" w:pos="9360"/>
        </w:tabs>
        <w:spacing w:before="120" w:after="120" w:line="240" w:lineRule="atLeast"/>
        <w:ind w:right="33"/>
        <w:jc w:val="right"/>
        <w:textAlignment w:val="auto"/>
        <w:rPr>
          <w:szCs w:val="21"/>
        </w:rPr>
      </w:pPr>
      <w:r>
        <w:rPr>
          <w:rFonts w:hint="eastAsia"/>
          <w:iCs/>
          <w:szCs w:val="21"/>
        </w:rPr>
        <w:t>合同编号：</w:t>
      </w:r>
      <w:r>
        <w:rPr>
          <w:rFonts w:hint="eastAsia"/>
          <w:szCs w:val="21"/>
        </w:rPr>
        <w:t>________________</w:t>
      </w:r>
    </w:p>
    <w:p>
      <w:pPr>
        <w:tabs>
          <w:tab w:val="right" w:pos="6480"/>
          <w:tab w:val="right" w:leader="dot" w:pos="9360"/>
        </w:tabs>
        <w:spacing w:before="120" w:after="120" w:line="240" w:lineRule="atLeast"/>
        <w:ind w:right="33"/>
        <w:jc w:val="right"/>
        <w:textAlignment w:val="auto"/>
        <w:rPr>
          <w:szCs w:val="21"/>
        </w:rPr>
      </w:pPr>
      <w:r>
        <w:rPr>
          <w:rFonts w:hint="eastAsia"/>
          <w:szCs w:val="21"/>
          <w:lang w:val="es-ES"/>
        </w:rPr>
        <w:t>替代方案投标编号：</w:t>
      </w:r>
      <w:r>
        <w:rPr>
          <w:rFonts w:hint="eastAsia"/>
          <w:szCs w:val="21"/>
        </w:rPr>
        <w:t>______________</w:t>
      </w:r>
    </w:p>
    <w:p>
      <w:pPr>
        <w:tabs>
          <w:tab w:val="right" w:pos="6480"/>
          <w:tab w:val="right" w:leader="dot" w:pos="9360"/>
        </w:tabs>
        <w:spacing w:before="120" w:after="120" w:line="240" w:lineRule="atLeast"/>
        <w:ind w:right="33"/>
        <w:jc w:val="right"/>
        <w:textAlignment w:val="auto"/>
        <w:rPr>
          <w:szCs w:val="21"/>
        </w:rPr>
      </w:pPr>
    </w:p>
    <w:p>
      <w:pPr>
        <w:widowControl/>
        <w:spacing w:before="120" w:after="120" w:line="240" w:lineRule="atLeast"/>
        <w:textAlignment w:val="auto"/>
        <w:rPr>
          <w:i/>
          <w:iCs/>
          <w:szCs w:val="21"/>
          <w:lang w:val="es-ES"/>
        </w:rPr>
      </w:pPr>
      <w:r>
        <w:rPr>
          <w:rFonts w:hint="eastAsia"/>
          <w:szCs w:val="21"/>
        </w:rPr>
        <w:t>致______________：</w:t>
      </w:r>
    </w:p>
    <w:p>
      <w:pPr>
        <w:widowControl/>
        <w:spacing w:before="120" w:after="120" w:line="240" w:lineRule="atLeast"/>
        <w:ind w:firstLine="420" w:firstLineChars="200"/>
        <w:textAlignment w:val="auto"/>
        <w:rPr>
          <w:szCs w:val="21"/>
        </w:rPr>
      </w:pPr>
      <w:r>
        <w:rPr>
          <w:rFonts w:hint="eastAsia"/>
          <w:szCs w:val="21"/>
        </w:rPr>
        <w:t>本投标函的签署方在此声明：</w:t>
      </w:r>
    </w:p>
    <w:p>
      <w:pPr>
        <w:widowControl/>
        <w:spacing w:before="120" w:after="120" w:line="240" w:lineRule="atLeast"/>
        <w:ind w:firstLine="420" w:firstLineChars="200"/>
        <w:textAlignment w:val="auto"/>
        <w:rPr>
          <w:szCs w:val="21"/>
        </w:rPr>
      </w:pPr>
      <w:r>
        <w:rPr>
          <w:rFonts w:hint="eastAsia"/>
          <w:szCs w:val="21"/>
        </w:rPr>
        <w:t>（1）我方已经审阅了招标文件及根据投标人须知第8条发出的_________号补遗，并对其没有任何保留意见；</w:t>
      </w:r>
    </w:p>
    <w:p>
      <w:pPr>
        <w:widowControl/>
        <w:spacing w:before="120" w:after="120" w:line="240" w:lineRule="atLeast"/>
        <w:ind w:firstLine="420" w:firstLineChars="200"/>
        <w:textAlignment w:val="auto"/>
        <w:rPr>
          <w:szCs w:val="21"/>
        </w:rPr>
      </w:pPr>
      <w:r>
        <w:rPr>
          <w:rFonts w:hint="eastAsia"/>
          <w:szCs w:val="21"/>
        </w:rPr>
        <w:t>（2）</w:t>
      </w:r>
      <w:r>
        <w:rPr>
          <w:szCs w:val="21"/>
        </w:rPr>
        <w:t>我</w:t>
      </w:r>
      <w:r>
        <w:rPr>
          <w:rFonts w:hint="eastAsia"/>
          <w:szCs w:val="21"/>
        </w:rPr>
        <w:t>方</w:t>
      </w:r>
      <w:r>
        <w:rPr>
          <w:szCs w:val="21"/>
        </w:rPr>
        <w:t>愿意按照招标文件的要求实施下列工程</w:t>
      </w:r>
      <w:r>
        <w:rPr>
          <w:rFonts w:hint="eastAsia"/>
          <w:szCs w:val="21"/>
        </w:rPr>
        <w:t>：_____________</w:t>
      </w:r>
      <w:r>
        <w:rPr>
          <w:rFonts w:hint="eastAsia"/>
          <w:i/>
          <w:iCs/>
          <w:szCs w:val="21"/>
        </w:rPr>
        <w:t>；</w:t>
      </w:r>
    </w:p>
    <w:p>
      <w:pPr>
        <w:widowControl/>
        <w:spacing w:before="120" w:after="120" w:line="240" w:lineRule="atLeast"/>
        <w:ind w:firstLine="420" w:firstLineChars="200"/>
        <w:textAlignment w:val="auto"/>
        <w:rPr>
          <w:szCs w:val="21"/>
        </w:rPr>
      </w:pPr>
      <w:r>
        <w:rPr>
          <w:rFonts w:hint="eastAsia"/>
          <w:szCs w:val="21"/>
        </w:rPr>
        <w:t>（3）不包括下述第（</w:t>
      </w:r>
      <w:r>
        <w:rPr>
          <w:szCs w:val="21"/>
        </w:rPr>
        <w:t>4</w:t>
      </w:r>
      <w:r>
        <w:rPr>
          <w:rFonts w:hint="eastAsia"/>
          <w:szCs w:val="21"/>
        </w:rPr>
        <w:t>）项中的折扣，我方的投标总价是：</w:t>
      </w:r>
    </w:p>
    <w:p>
      <w:pPr>
        <w:widowControl/>
        <w:spacing w:before="120" w:after="120" w:line="240" w:lineRule="atLeast"/>
        <w:ind w:firstLine="420" w:firstLineChars="200"/>
        <w:textAlignment w:val="auto"/>
        <w:rPr>
          <w:szCs w:val="21"/>
        </w:rPr>
      </w:pPr>
      <w:r>
        <w:rPr>
          <w:rFonts w:hint="eastAsia"/>
          <w:szCs w:val="21"/>
        </w:rPr>
        <w:t>（大写）人民币______________元，（小写）￥______________元；</w:t>
      </w:r>
    </w:p>
    <w:p>
      <w:pPr>
        <w:widowControl/>
        <w:spacing w:before="120" w:after="120" w:line="240" w:lineRule="atLeast"/>
        <w:ind w:firstLine="420" w:firstLineChars="200"/>
        <w:textAlignment w:val="auto"/>
        <w:rPr>
          <w:szCs w:val="21"/>
        </w:rPr>
      </w:pPr>
      <w:r>
        <w:rPr>
          <w:rFonts w:hint="eastAsia"/>
          <w:szCs w:val="21"/>
        </w:rPr>
        <w:t>（4）我方的折扣及其使用方法如下：</w:t>
      </w:r>
    </w:p>
    <w:p>
      <w:pPr>
        <w:widowControl/>
        <w:spacing w:before="120" w:after="120" w:line="240" w:lineRule="atLeast"/>
        <w:ind w:firstLine="422" w:firstLineChars="200"/>
        <w:textAlignment w:val="auto"/>
        <w:rPr>
          <w:szCs w:val="21"/>
          <w:highlight w:val="none"/>
        </w:rPr>
      </w:pPr>
      <w:r>
        <w:rPr>
          <w:rFonts w:hint="eastAsia"/>
          <w:b/>
          <w:bCs/>
          <w:szCs w:val="21"/>
          <w:highlight w:val="none"/>
        </w:rPr>
        <w:t>我方提供的折扣如下</w:t>
      </w:r>
      <w:r>
        <w:rPr>
          <w:rFonts w:hint="eastAsia"/>
          <w:szCs w:val="21"/>
          <w:highlight w:val="none"/>
        </w:rPr>
        <w:t>：本项目不允许投标人提供折扣</w:t>
      </w:r>
    </w:p>
    <w:p>
      <w:pPr>
        <w:widowControl/>
        <w:spacing w:before="120" w:after="120" w:line="240" w:lineRule="atLeast"/>
        <w:ind w:firstLine="422" w:firstLineChars="200"/>
        <w:textAlignment w:val="auto"/>
        <w:rPr>
          <w:szCs w:val="21"/>
          <w:highlight w:val="none"/>
        </w:rPr>
      </w:pPr>
      <w:r>
        <w:rPr>
          <w:rFonts w:hint="eastAsia"/>
          <w:b/>
          <w:bCs/>
          <w:szCs w:val="21"/>
          <w:highlight w:val="none"/>
        </w:rPr>
        <w:t>上述折扣的适用方法如下</w:t>
      </w:r>
      <w:r>
        <w:rPr>
          <w:rFonts w:hint="eastAsia"/>
          <w:szCs w:val="21"/>
          <w:highlight w:val="none"/>
        </w:rPr>
        <w:t>：</w:t>
      </w:r>
      <w:r>
        <w:rPr>
          <w:rFonts w:hint="eastAsia"/>
          <w:iCs/>
          <w:szCs w:val="21"/>
          <w:highlight w:val="none"/>
        </w:rPr>
        <w:t>本项目不允许投标人提供折扣</w:t>
      </w:r>
    </w:p>
    <w:p>
      <w:pPr>
        <w:widowControl/>
        <w:spacing w:before="120" w:after="120" w:line="240" w:lineRule="atLeast"/>
        <w:ind w:firstLine="420" w:firstLineChars="200"/>
        <w:textAlignment w:val="auto"/>
        <w:rPr>
          <w:color w:val="000000"/>
          <w:szCs w:val="21"/>
        </w:rPr>
      </w:pPr>
      <w:r>
        <w:rPr>
          <w:rFonts w:hint="eastAsia"/>
          <w:color w:val="000000"/>
          <w:szCs w:val="21"/>
          <w:highlight w:val="none"/>
        </w:rPr>
        <w:t>（5）</w:t>
      </w:r>
      <w:r>
        <w:rPr>
          <w:color w:val="000000"/>
          <w:szCs w:val="21"/>
          <w:highlight w:val="none"/>
        </w:rPr>
        <w:t>我方的投标自</w:t>
      </w:r>
      <w:r>
        <w:rPr>
          <w:rFonts w:hint="eastAsia"/>
          <w:szCs w:val="21"/>
          <w:highlight w:val="none"/>
        </w:rPr>
        <w:t>“投标人须知”第</w:t>
      </w:r>
      <w:r>
        <w:rPr>
          <w:szCs w:val="21"/>
          <w:highlight w:val="none"/>
        </w:rPr>
        <w:t>2</w:t>
      </w:r>
      <w:r>
        <w:rPr>
          <w:rFonts w:hint="eastAsia"/>
          <w:szCs w:val="21"/>
          <w:highlight w:val="none"/>
        </w:rPr>
        <w:t>2</w:t>
      </w:r>
      <w:r>
        <w:rPr>
          <w:szCs w:val="21"/>
          <w:highlight w:val="none"/>
        </w:rPr>
        <w:t>.1</w:t>
      </w:r>
      <w:r>
        <w:rPr>
          <w:rFonts w:hint="eastAsia"/>
          <w:szCs w:val="21"/>
          <w:highlight w:val="none"/>
        </w:rPr>
        <w:t>款</w:t>
      </w:r>
      <w:r>
        <w:rPr>
          <w:color w:val="000000"/>
          <w:szCs w:val="21"/>
          <w:highlight w:val="none"/>
        </w:rPr>
        <w:t>规定的投标截止时间</w:t>
      </w:r>
      <w:r>
        <w:rPr>
          <w:color w:val="000000"/>
          <w:szCs w:val="21"/>
        </w:rPr>
        <w:t>起</w:t>
      </w:r>
      <w:r>
        <w:rPr>
          <w:rFonts w:hint="eastAsia"/>
          <w:color w:val="000000"/>
          <w:szCs w:val="21"/>
        </w:rPr>
        <w:t>在“投标人须知”第</w:t>
      </w:r>
      <w:r>
        <w:rPr>
          <w:color w:val="000000"/>
          <w:szCs w:val="21"/>
        </w:rPr>
        <w:t>18.1</w:t>
      </w:r>
      <w:r>
        <w:rPr>
          <w:rFonts w:hint="eastAsia"/>
          <w:color w:val="000000"/>
          <w:szCs w:val="21"/>
        </w:rPr>
        <w:t>款规定的有效期</w:t>
      </w:r>
      <w:r>
        <w:rPr>
          <w:color w:val="000000"/>
          <w:szCs w:val="21"/>
        </w:rPr>
        <w:t>内保持有效</w:t>
      </w:r>
      <w:r>
        <w:rPr>
          <w:rFonts w:hint="eastAsia"/>
          <w:szCs w:val="21"/>
        </w:rPr>
        <w:t>，并对我方具有约束力。</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6</w:t>
      </w:r>
      <w:r>
        <w:rPr>
          <w:rFonts w:hint="eastAsia"/>
          <w:color w:val="000000"/>
          <w:szCs w:val="21"/>
        </w:rPr>
        <w:t>）如果根据</w:t>
      </w:r>
      <w:r>
        <w:rPr>
          <w:rFonts w:hint="eastAsia"/>
          <w:b/>
          <w:bCs/>
          <w:color w:val="000000"/>
          <w:szCs w:val="21"/>
        </w:rPr>
        <w:t>“投标资料表”</w:t>
      </w:r>
      <w:r>
        <w:rPr>
          <w:rFonts w:hint="eastAsia"/>
          <w:color w:val="000000"/>
          <w:szCs w:val="21"/>
        </w:rPr>
        <w:t>第</w:t>
      </w:r>
      <w:r>
        <w:rPr>
          <w:color w:val="000000"/>
          <w:szCs w:val="21"/>
        </w:rPr>
        <w:t>14.2</w:t>
      </w:r>
      <w:r>
        <w:rPr>
          <w:rFonts w:hint="eastAsia"/>
          <w:color w:val="000000"/>
          <w:szCs w:val="21"/>
        </w:rPr>
        <w:t>款，价格调整条款适用，价格调整表将成为本投标的一部分；</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7</w:t>
      </w:r>
      <w:r>
        <w:rPr>
          <w:rFonts w:hint="eastAsia"/>
          <w:color w:val="000000"/>
          <w:szCs w:val="21"/>
        </w:rPr>
        <w:t>）</w:t>
      </w:r>
      <w:r>
        <w:rPr>
          <w:color w:val="000000"/>
          <w:szCs w:val="21"/>
        </w:rPr>
        <w:t>如果我</w:t>
      </w:r>
      <w:r>
        <w:rPr>
          <w:rFonts w:hint="eastAsia"/>
          <w:color w:val="000000"/>
          <w:szCs w:val="21"/>
        </w:rPr>
        <w:t>方</w:t>
      </w:r>
      <w:r>
        <w:rPr>
          <w:color w:val="000000"/>
          <w:szCs w:val="21"/>
        </w:rPr>
        <w:t>中标，我</w:t>
      </w:r>
      <w:r>
        <w:rPr>
          <w:rFonts w:hint="eastAsia"/>
          <w:color w:val="000000"/>
          <w:szCs w:val="21"/>
        </w:rPr>
        <w:t>方</w:t>
      </w:r>
      <w:r>
        <w:rPr>
          <w:color w:val="000000"/>
          <w:szCs w:val="21"/>
        </w:rPr>
        <w:t>承诺根据招标文件的规定</w:t>
      </w:r>
      <w:r>
        <w:rPr>
          <w:rFonts w:hint="eastAsia"/>
          <w:color w:val="000000"/>
          <w:szCs w:val="21"/>
        </w:rPr>
        <w:t>办理</w:t>
      </w:r>
      <w:r>
        <w:rPr>
          <w:color w:val="000000"/>
          <w:szCs w:val="21"/>
        </w:rPr>
        <w:t>履约保证金</w:t>
      </w:r>
      <w:r>
        <w:rPr>
          <w:i/>
          <w:iCs/>
          <w:color w:val="000000"/>
          <w:szCs w:val="21"/>
        </w:rPr>
        <w:t>；</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8</w:t>
      </w:r>
      <w:r>
        <w:rPr>
          <w:rFonts w:hint="eastAsia"/>
          <w:color w:val="000000"/>
          <w:szCs w:val="21"/>
        </w:rPr>
        <w:t>）</w:t>
      </w:r>
      <w:r>
        <w:rPr>
          <w:color w:val="000000"/>
          <w:szCs w:val="21"/>
        </w:rPr>
        <w:t>我</w:t>
      </w:r>
      <w:r>
        <w:rPr>
          <w:rFonts w:hint="eastAsia"/>
          <w:color w:val="000000"/>
          <w:szCs w:val="21"/>
        </w:rPr>
        <w:t>方确认</w:t>
      </w:r>
      <w:r>
        <w:rPr>
          <w:color w:val="000000"/>
          <w:szCs w:val="21"/>
        </w:rPr>
        <w:t>，包括</w:t>
      </w:r>
      <w:r>
        <w:rPr>
          <w:rFonts w:hint="eastAsia"/>
          <w:color w:val="000000"/>
          <w:szCs w:val="21"/>
        </w:rPr>
        <w:t>将部分履行本</w:t>
      </w:r>
      <w:r>
        <w:rPr>
          <w:color w:val="000000"/>
          <w:szCs w:val="21"/>
        </w:rPr>
        <w:t>合同的分包商或供货商</w:t>
      </w:r>
      <w:r>
        <w:rPr>
          <w:rFonts w:hint="eastAsia"/>
          <w:color w:val="000000"/>
          <w:szCs w:val="21"/>
        </w:rPr>
        <w:t>在内</w:t>
      </w:r>
      <w:r>
        <w:rPr>
          <w:color w:val="000000"/>
          <w:szCs w:val="21"/>
        </w:rPr>
        <w:t>，</w:t>
      </w:r>
      <w:r>
        <w:rPr>
          <w:rFonts w:hint="eastAsia"/>
          <w:color w:val="000000"/>
          <w:szCs w:val="21"/>
        </w:rPr>
        <w:t>根据“投标人须知”第4.2款我方</w:t>
      </w:r>
      <w:r>
        <w:rPr>
          <w:color w:val="000000"/>
          <w:szCs w:val="21"/>
        </w:rPr>
        <w:t>均</w:t>
      </w:r>
      <w:r>
        <w:rPr>
          <w:rFonts w:hint="eastAsia"/>
          <w:color w:val="000000"/>
          <w:szCs w:val="21"/>
        </w:rPr>
        <w:t>拥有</w:t>
      </w:r>
      <w:r>
        <w:rPr>
          <w:color w:val="000000"/>
          <w:szCs w:val="21"/>
        </w:rPr>
        <w:t>合格国家</w:t>
      </w:r>
      <w:r>
        <w:rPr>
          <w:rFonts w:hint="eastAsia"/>
          <w:color w:val="000000"/>
          <w:szCs w:val="21"/>
        </w:rPr>
        <w:t>的国籍</w:t>
      </w:r>
      <w:r>
        <w:rPr>
          <w:color w:val="000000"/>
          <w:szCs w:val="21"/>
        </w:rPr>
        <w:t>；</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9</w:t>
      </w:r>
      <w:r>
        <w:rPr>
          <w:rFonts w:hint="eastAsia"/>
          <w:color w:val="000000"/>
          <w:szCs w:val="21"/>
        </w:rPr>
        <w:t>）</w:t>
      </w:r>
      <w:r>
        <w:rPr>
          <w:color w:val="000000"/>
          <w:szCs w:val="21"/>
        </w:rPr>
        <w:t>包括</w:t>
      </w:r>
      <w:r>
        <w:rPr>
          <w:rFonts w:hint="eastAsia"/>
          <w:color w:val="000000"/>
          <w:szCs w:val="21"/>
        </w:rPr>
        <w:t>将部分履行本</w:t>
      </w:r>
      <w:r>
        <w:rPr>
          <w:color w:val="000000"/>
          <w:szCs w:val="21"/>
        </w:rPr>
        <w:t>合同的分包商或供货商</w:t>
      </w:r>
      <w:r>
        <w:rPr>
          <w:rFonts w:hint="eastAsia"/>
          <w:color w:val="000000"/>
          <w:szCs w:val="21"/>
        </w:rPr>
        <w:t>在内</w:t>
      </w:r>
      <w:r>
        <w:rPr>
          <w:color w:val="000000"/>
          <w:szCs w:val="21"/>
        </w:rPr>
        <w:t>，我</w:t>
      </w:r>
      <w:r>
        <w:rPr>
          <w:rFonts w:hint="eastAsia"/>
          <w:color w:val="000000"/>
          <w:szCs w:val="21"/>
        </w:rPr>
        <w:t>方</w:t>
      </w:r>
      <w:r>
        <w:rPr>
          <w:color w:val="000000"/>
          <w:szCs w:val="21"/>
        </w:rPr>
        <w:t>均不</w:t>
      </w:r>
      <w:r>
        <w:rPr>
          <w:rFonts w:hint="eastAsia"/>
          <w:color w:val="000000"/>
          <w:szCs w:val="21"/>
        </w:rPr>
        <w:t>涉及“</w:t>
      </w:r>
      <w:r>
        <w:rPr>
          <w:color w:val="000000"/>
          <w:szCs w:val="21"/>
        </w:rPr>
        <w:t>投标人须知</w:t>
      </w:r>
      <w:r>
        <w:rPr>
          <w:rFonts w:hint="eastAsia"/>
          <w:color w:val="000000"/>
          <w:szCs w:val="21"/>
        </w:rPr>
        <w:t>”</w:t>
      </w:r>
      <w:r>
        <w:rPr>
          <w:color w:val="000000"/>
          <w:szCs w:val="21"/>
        </w:rPr>
        <w:t>第4.</w:t>
      </w:r>
      <w:r>
        <w:rPr>
          <w:rFonts w:hint="eastAsia"/>
          <w:color w:val="000000"/>
          <w:szCs w:val="21"/>
        </w:rPr>
        <w:t>3</w:t>
      </w:r>
      <w:r>
        <w:rPr>
          <w:color w:val="000000"/>
          <w:szCs w:val="21"/>
        </w:rPr>
        <w:t>款规定的利益冲突；</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10</w:t>
      </w:r>
      <w:r>
        <w:rPr>
          <w:rFonts w:hint="eastAsia"/>
          <w:color w:val="000000"/>
          <w:szCs w:val="21"/>
        </w:rPr>
        <w:t>）我方未</w:t>
      </w:r>
      <w:r>
        <w:rPr>
          <w:color w:val="000000"/>
          <w:szCs w:val="21"/>
        </w:rPr>
        <w:t>作为本招标过程中</w:t>
      </w:r>
      <w:r>
        <w:rPr>
          <w:rFonts w:hint="eastAsia"/>
          <w:color w:val="000000"/>
          <w:szCs w:val="21"/>
        </w:rPr>
        <w:t>的</w:t>
      </w:r>
      <w:r>
        <w:rPr>
          <w:color w:val="000000"/>
          <w:szCs w:val="21"/>
        </w:rPr>
        <w:t>投标人或分包商</w:t>
      </w:r>
      <w:r>
        <w:rPr>
          <w:rFonts w:hint="eastAsia"/>
          <w:color w:val="000000"/>
          <w:szCs w:val="21"/>
        </w:rPr>
        <w:t>针对本合同参与一个以上的投标</w:t>
      </w:r>
      <w:r>
        <w:rPr>
          <w:color w:val="000000"/>
          <w:szCs w:val="21"/>
        </w:rPr>
        <w:t>，</w:t>
      </w:r>
      <w:r>
        <w:rPr>
          <w:rFonts w:hint="eastAsia"/>
          <w:color w:val="000000"/>
          <w:szCs w:val="21"/>
        </w:rPr>
        <w:t>也未作为联合体成员参与本合同招标过程的其它投标，但不包括</w:t>
      </w:r>
      <w:r>
        <w:rPr>
          <w:color w:val="000000"/>
          <w:szCs w:val="21"/>
        </w:rPr>
        <w:t>根据</w:t>
      </w:r>
      <w:r>
        <w:rPr>
          <w:rFonts w:hint="eastAsia"/>
          <w:color w:val="000000"/>
          <w:szCs w:val="21"/>
        </w:rPr>
        <w:t>“投标人须知” 第1</w:t>
      </w:r>
      <w:r>
        <w:rPr>
          <w:color w:val="000000"/>
          <w:szCs w:val="21"/>
        </w:rPr>
        <w:t>3</w:t>
      </w:r>
      <w:r>
        <w:rPr>
          <w:rFonts w:hint="eastAsia"/>
          <w:color w:val="000000"/>
          <w:szCs w:val="21"/>
        </w:rPr>
        <w:t>条规定所递交的替代方案投标，符合“</w:t>
      </w:r>
      <w:r>
        <w:rPr>
          <w:color w:val="000000"/>
          <w:szCs w:val="21"/>
        </w:rPr>
        <w:t>投标人须知</w:t>
      </w:r>
      <w:r>
        <w:rPr>
          <w:rFonts w:hint="eastAsia"/>
          <w:color w:val="000000"/>
          <w:szCs w:val="21"/>
        </w:rPr>
        <w:t>”</w:t>
      </w:r>
      <w:r>
        <w:rPr>
          <w:color w:val="000000"/>
          <w:szCs w:val="21"/>
        </w:rPr>
        <w:t>第4.</w:t>
      </w:r>
      <w:r>
        <w:rPr>
          <w:rFonts w:hint="eastAsia"/>
          <w:color w:val="000000"/>
          <w:szCs w:val="21"/>
        </w:rPr>
        <w:t>3</w:t>
      </w:r>
      <w:r>
        <w:rPr>
          <w:color w:val="000000"/>
          <w:szCs w:val="21"/>
        </w:rPr>
        <w:t>款</w:t>
      </w:r>
      <w:r>
        <w:rPr>
          <w:rFonts w:hint="eastAsia"/>
          <w:color w:val="000000"/>
          <w:szCs w:val="21"/>
        </w:rPr>
        <w:t>（5）项</w:t>
      </w:r>
      <w:r>
        <w:rPr>
          <w:color w:val="000000"/>
          <w:szCs w:val="21"/>
        </w:rPr>
        <w:t>的规定；</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11</w:t>
      </w:r>
      <w:r>
        <w:rPr>
          <w:rFonts w:hint="eastAsia"/>
          <w:color w:val="000000"/>
          <w:szCs w:val="21"/>
        </w:rPr>
        <w:t>）我方以及本投标文件中我方的任何分包商、供应商、咨询顾问、制造商或服务提供商均不属于被亚洲基础设施投资银行（以下简称亚投行）暂时停止投标资格、被正式制裁，或者依据多边开发银行《联合制裁协议》被制裁的企业或个人，也没有被这些被制裁的企业或个人所控制。另外，我方也不是根据“投标人须知”第4.7款中国依据联合国安理会决议所规定的不合格的公司或个人；</w:t>
      </w:r>
    </w:p>
    <w:p>
      <w:pPr>
        <w:widowControl/>
        <w:spacing w:before="120" w:after="120" w:line="240" w:lineRule="atLeast"/>
        <w:ind w:firstLine="420" w:firstLineChars="200"/>
        <w:textAlignment w:val="auto"/>
        <w:rPr>
          <w:color w:val="000000"/>
          <w:szCs w:val="21"/>
        </w:rPr>
      </w:pPr>
      <w:r>
        <w:rPr>
          <w:rFonts w:hint="eastAsia"/>
          <w:color w:val="000000"/>
          <w:szCs w:val="21"/>
        </w:rPr>
        <w:t>（</w:t>
      </w:r>
      <w:r>
        <w:rPr>
          <w:color w:val="000000"/>
          <w:szCs w:val="21"/>
        </w:rPr>
        <w:t>12</w:t>
      </w:r>
      <w:r>
        <w:rPr>
          <w:rFonts w:hint="eastAsia"/>
          <w:color w:val="000000"/>
          <w:szCs w:val="21"/>
        </w:rPr>
        <w:t>）我方</w:t>
      </w:r>
      <w:r>
        <w:rPr>
          <w:rFonts w:hint="eastAsia"/>
          <w:szCs w:val="21"/>
        </w:rPr>
        <w:t>______________</w:t>
      </w:r>
      <w:r>
        <w:rPr>
          <w:szCs w:val="21"/>
        </w:rPr>
        <w:t xml:space="preserve"> </w:t>
      </w:r>
      <w:r>
        <w:rPr>
          <w:rFonts w:hint="eastAsia"/>
          <w:i/>
          <w:iCs/>
          <w:color w:val="000000"/>
          <w:szCs w:val="21"/>
        </w:rPr>
        <w:t>[插入“不是国有企业</w:t>
      </w:r>
      <w:r>
        <w:rPr>
          <w:rFonts w:hint="eastAsia"/>
          <w:color w:val="000000"/>
          <w:szCs w:val="21"/>
        </w:rPr>
        <w:t>”</w:t>
      </w:r>
      <w:r>
        <w:rPr>
          <w:rFonts w:hint="eastAsia"/>
          <w:i/>
          <w:iCs/>
          <w:color w:val="000000"/>
          <w:szCs w:val="21"/>
        </w:rPr>
        <w:t>或“是国有企业，但符合“投标人须知”第4.5款的要求”]</w:t>
      </w:r>
      <w:r>
        <w:rPr>
          <w:rFonts w:hint="eastAsia"/>
          <w:color w:val="000000"/>
          <w:szCs w:val="21"/>
        </w:rPr>
        <w:t>。</w:t>
      </w:r>
    </w:p>
    <w:p>
      <w:pPr>
        <w:widowControl/>
        <w:tabs>
          <w:tab w:val="left" w:pos="540"/>
        </w:tabs>
        <w:spacing w:before="120" w:after="120" w:line="240" w:lineRule="atLeast"/>
        <w:ind w:firstLine="420" w:firstLineChars="200"/>
        <w:textAlignment w:val="auto"/>
        <w:rPr>
          <w:szCs w:val="21"/>
        </w:rPr>
      </w:pPr>
      <w:r>
        <w:rPr>
          <w:rFonts w:hint="eastAsia"/>
          <w:color w:val="000000"/>
          <w:szCs w:val="21"/>
        </w:rPr>
        <w:t>（</w:t>
      </w:r>
      <w:r>
        <w:rPr>
          <w:color w:val="000000"/>
          <w:szCs w:val="21"/>
        </w:rPr>
        <w:t>13</w:t>
      </w:r>
      <w:r>
        <w:rPr>
          <w:rFonts w:hint="eastAsia"/>
          <w:color w:val="000000"/>
          <w:szCs w:val="21"/>
        </w:rPr>
        <w:t>）</w:t>
      </w:r>
      <w:r>
        <w:rPr>
          <w:rFonts w:hint="eastAsia"/>
          <w:szCs w:val="21"/>
        </w:rPr>
        <w:t>我方确认，在本次招标的合同正式签署之前，本投标文件及贵方的书面中标通知书即视为该合同的成立；</w:t>
      </w:r>
    </w:p>
    <w:p>
      <w:pPr>
        <w:widowControl/>
        <w:spacing w:before="120" w:after="120" w:line="240" w:lineRule="atLeast"/>
        <w:ind w:firstLine="420" w:firstLineChars="200"/>
        <w:textAlignment w:val="auto"/>
        <w:rPr>
          <w:szCs w:val="21"/>
        </w:rPr>
      </w:pPr>
      <w:r>
        <w:rPr>
          <w:rFonts w:hint="eastAsia"/>
          <w:szCs w:val="21"/>
        </w:rPr>
        <w:t>（1</w:t>
      </w:r>
      <w:r>
        <w:rPr>
          <w:szCs w:val="21"/>
        </w:rPr>
        <w:t>4</w:t>
      </w:r>
      <w:r>
        <w:rPr>
          <w:rFonts w:hint="eastAsia"/>
          <w:szCs w:val="21"/>
        </w:rPr>
        <w:t>）我方理解贵方不一定接受最低评标价的投标或贵方收到的任何投标；</w:t>
      </w:r>
    </w:p>
    <w:p>
      <w:pPr>
        <w:widowControl/>
        <w:spacing w:before="120" w:after="120" w:line="240" w:lineRule="atLeast"/>
        <w:ind w:firstLine="420" w:firstLineChars="200"/>
        <w:textAlignment w:val="auto"/>
        <w:rPr>
          <w:szCs w:val="21"/>
        </w:rPr>
      </w:pPr>
      <w:r>
        <w:rPr>
          <w:rFonts w:hint="eastAsia"/>
          <w:szCs w:val="21"/>
        </w:rPr>
        <w:t>（</w:t>
      </w:r>
      <w:r>
        <w:rPr>
          <w:szCs w:val="21"/>
        </w:rPr>
        <w:t>15</w:t>
      </w:r>
      <w:r>
        <w:rPr>
          <w:rFonts w:hint="eastAsia"/>
          <w:szCs w:val="21"/>
        </w:rPr>
        <w:t>）如果我方中标，下述人员将作为承包商代表：</w:t>
      </w:r>
      <w:r>
        <w:rPr>
          <w:rFonts w:hint="eastAsia"/>
          <w:szCs w:val="21"/>
          <w:u w:val="single"/>
        </w:rPr>
        <w:t xml:space="preserve">                                  </w:t>
      </w:r>
      <w:r>
        <w:rPr>
          <w:rFonts w:hint="eastAsia"/>
          <w:szCs w:val="21"/>
        </w:rPr>
        <w:t>；</w:t>
      </w:r>
    </w:p>
    <w:p>
      <w:pPr>
        <w:widowControl/>
        <w:spacing w:before="120" w:after="120" w:line="240" w:lineRule="atLeast"/>
        <w:ind w:firstLine="420" w:firstLineChars="200"/>
        <w:textAlignment w:val="auto"/>
        <w:rPr>
          <w:szCs w:val="21"/>
        </w:rPr>
      </w:pPr>
      <w:r>
        <w:rPr>
          <w:rFonts w:hint="eastAsia"/>
          <w:szCs w:val="21"/>
        </w:rPr>
        <w:t>（</w:t>
      </w:r>
      <w:r>
        <w:rPr>
          <w:szCs w:val="21"/>
        </w:rPr>
        <w:t>16</w:t>
      </w:r>
      <w:r>
        <w:rPr>
          <w:rFonts w:hint="eastAsia"/>
          <w:szCs w:val="21"/>
        </w:rPr>
        <w:t>）我方同意亚投行或其代表检查我方与投标有关的账户和记录以及其它文件，并由亚投行指定的审计师对其进行审计；</w:t>
      </w:r>
    </w:p>
    <w:p>
      <w:pPr>
        <w:widowControl/>
        <w:spacing w:before="120" w:after="120" w:line="240" w:lineRule="atLeast"/>
        <w:ind w:firstLine="420" w:firstLineChars="200"/>
        <w:textAlignment w:val="auto"/>
        <w:rPr>
          <w:szCs w:val="21"/>
        </w:rPr>
      </w:pPr>
      <w:r>
        <w:rPr>
          <w:rFonts w:hint="eastAsia"/>
          <w:szCs w:val="21"/>
        </w:rPr>
        <w:t>（</w:t>
      </w:r>
      <w:r>
        <w:rPr>
          <w:szCs w:val="21"/>
        </w:rPr>
        <w:t>17</w:t>
      </w:r>
      <w:r>
        <w:rPr>
          <w:rFonts w:hint="eastAsia"/>
          <w:szCs w:val="21"/>
        </w:rPr>
        <w:t>）我方确认我方已采取相关措施以确保我方人员或我方代理人没有介入任何形式的</w:t>
      </w:r>
      <w:r>
        <w:rPr>
          <w:szCs w:val="21"/>
        </w:rPr>
        <w:t>禁止行为</w:t>
      </w:r>
      <w:r>
        <w:rPr>
          <w:rFonts w:hint="eastAsia"/>
          <w:szCs w:val="21"/>
        </w:rPr>
        <w:t>；</w:t>
      </w:r>
    </w:p>
    <w:p>
      <w:pPr>
        <w:widowControl/>
        <w:spacing w:before="120" w:after="120" w:line="240" w:lineRule="atLeast"/>
        <w:ind w:firstLine="420" w:firstLineChars="200"/>
        <w:textAlignment w:val="auto"/>
        <w:rPr>
          <w:szCs w:val="21"/>
        </w:rPr>
      </w:pPr>
      <w:r>
        <w:rPr>
          <w:rFonts w:hint="eastAsia"/>
          <w:szCs w:val="21"/>
        </w:rPr>
        <w:t>（18） 调解员： 我方接受“投标资料表”42.1款建议的调解员。</w:t>
      </w:r>
    </w:p>
    <w:p>
      <w:pPr>
        <w:widowControl/>
        <w:spacing w:before="120" w:after="120" w:line="240" w:lineRule="atLeast"/>
        <w:ind w:firstLine="420" w:firstLineChars="200"/>
        <w:textAlignment w:val="auto"/>
        <w:rPr>
          <w:szCs w:val="21"/>
        </w:rPr>
      </w:pPr>
      <w:r>
        <w:rPr>
          <w:rFonts w:hint="eastAsia"/>
          <w:szCs w:val="21"/>
        </w:rPr>
        <w:t>或</w:t>
      </w:r>
    </w:p>
    <w:p>
      <w:pPr>
        <w:widowControl/>
        <w:spacing w:before="120" w:after="120" w:line="240" w:lineRule="atLeast"/>
        <w:ind w:firstLine="420" w:firstLineChars="200"/>
        <w:textAlignment w:val="auto"/>
        <w:rPr>
          <w:szCs w:val="21"/>
        </w:rPr>
      </w:pPr>
      <w:r>
        <w:rPr>
          <w:rFonts w:hint="eastAsia"/>
          <w:szCs w:val="21"/>
        </w:rPr>
        <w:t>我方不接受“投标资料表”42.1款建议的调解员，我方提议__________（请填入投标人建议的调解员名称）为调解员，其日报酬标准和简历附后。</w:t>
      </w:r>
    </w:p>
    <w:p>
      <w:pPr>
        <w:tabs>
          <w:tab w:val="left" w:pos="1188"/>
          <w:tab w:val="left" w:pos="2394"/>
          <w:tab w:val="left" w:pos="4209"/>
          <w:tab w:val="left" w:pos="5238"/>
          <w:tab w:val="left" w:pos="7632"/>
          <w:tab w:val="left" w:pos="7868"/>
          <w:tab w:val="left" w:pos="9468"/>
        </w:tabs>
        <w:spacing w:before="120" w:after="120" w:line="240" w:lineRule="atLeast"/>
        <w:textAlignment w:val="auto"/>
        <w:rPr>
          <w:szCs w:val="21"/>
          <w:highlight w:val="none"/>
        </w:rPr>
      </w:pPr>
      <w:r>
        <w:rPr>
          <w:rFonts w:hint="eastAsia"/>
          <w:szCs w:val="21"/>
        </w:rPr>
        <w:t xml:space="preserve"> </w:t>
      </w:r>
      <w:r>
        <w:rPr>
          <w:szCs w:val="21"/>
        </w:rPr>
        <w:t xml:space="preserve">   </w:t>
      </w:r>
      <w:r>
        <w:rPr>
          <w:szCs w:val="21"/>
          <w:highlight w:val="none"/>
        </w:rPr>
        <w:t xml:space="preserve">    </w:t>
      </w:r>
      <w:r>
        <w:rPr>
          <w:rFonts w:hint="eastAsia"/>
          <w:szCs w:val="21"/>
          <w:highlight w:val="none"/>
        </w:rPr>
        <w:t>（1</w:t>
      </w:r>
      <w:r>
        <w:rPr>
          <w:szCs w:val="21"/>
          <w:highlight w:val="none"/>
        </w:rPr>
        <w:t>9</w:t>
      </w:r>
      <w:r>
        <w:rPr>
          <w:rFonts w:hint="eastAsia"/>
          <w:szCs w:val="21"/>
          <w:highlight w:val="none"/>
        </w:rPr>
        <w:t>）我方确认附件1：诚信承诺书构成本投标函的一部分。</w:t>
      </w:r>
    </w:p>
    <w:p>
      <w:pPr>
        <w:tabs>
          <w:tab w:val="right" w:leader="dot" w:pos="9000"/>
        </w:tabs>
        <w:spacing w:before="120" w:after="120" w:line="240" w:lineRule="atLeast"/>
        <w:textAlignment w:val="auto"/>
        <w:rPr>
          <w:color w:val="000000"/>
          <w:szCs w:val="21"/>
          <w:highlight w:val="none"/>
        </w:rPr>
      </w:pPr>
    </w:p>
    <w:p>
      <w:pPr>
        <w:tabs>
          <w:tab w:val="right" w:leader="dot" w:pos="9000"/>
        </w:tabs>
        <w:spacing w:before="120" w:after="120" w:line="240" w:lineRule="atLeast"/>
        <w:textAlignment w:val="auto"/>
        <w:rPr>
          <w:color w:val="000000"/>
          <w:szCs w:val="21"/>
          <w:highlight w:val="none"/>
        </w:rPr>
      </w:pPr>
    </w:p>
    <w:p>
      <w:pPr>
        <w:tabs>
          <w:tab w:val="right" w:leader="dot" w:pos="9000"/>
        </w:tabs>
        <w:spacing w:before="120" w:after="120" w:line="240" w:lineRule="atLeast"/>
        <w:textAlignment w:val="auto"/>
        <w:rPr>
          <w:color w:val="000000"/>
          <w:szCs w:val="21"/>
          <w:highlight w:val="none"/>
        </w:rPr>
      </w:pPr>
    </w:p>
    <w:p>
      <w:pPr>
        <w:tabs>
          <w:tab w:val="right" w:leader="dot" w:pos="9000"/>
        </w:tabs>
        <w:spacing w:before="120" w:after="120" w:line="240" w:lineRule="atLeast"/>
        <w:jc w:val="right"/>
        <w:textAlignment w:val="auto"/>
        <w:rPr>
          <w:color w:val="000000"/>
          <w:szCs w:val="21"/>
          <w:highlight w:val="none"/>
        </w:rPr>
      </w:pP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投标人：</w:t>
      </w:r>
      <w:r>
        <w:rPr>
          <w:color w:val="000000"/>
          <w:szCs w:val="21"/>
          <w:highlight w:val="none"/>
        </w:rPr>
        <w:t>_____________________</w:t>
      </w:r>
      <w:r>
        <w:rPr>
          <w:rFonts w:hint="eastAsia"/>
          <w:color w:val="000000"/>
          <w:szCs w:val="21"/>
          <w:highlight w:val="none"/>
        </w:rPr>
        <w:t>（加盖公章）</w:t>
      </w:r>
    </w:p>
    <w:p>
      <w:pPr>
        <w:tabs>
          <w:tab w:val="right" w:leader="dot" w:pos="9000"/>
        </w:tabs>
        <w:spacing w:before="120" w:after="120" w:line="240" w:lineRule="atLeast"/>
        <w:jc w:val="right"/>
        <w:textAlignment w:val="auto"/>
        <w:rPr>
          <w:color w:val="000000"/>
          <w:szCs w:val="21"/>
          <w:highlight w:val="none"/>
        </w:rPr>
      </w:pPr>
      <w:r>
        <w:rPr>
          <w:color w:val="000000"/>
          <w:szCs w:val="21"/>
          <w:highlight w:val="none"/>
        </w:rPr>
        <w:t>姓名</w:t>
      </w:r>
      <w:r>
        <w:rPr>
          <w:rFonts w:hint="eastAsia"/>
          <w:color w:val="000000"/>
          <w:szCs w:val="21"/>
          <w:highlight w:val="none"/>
        </w:rPr>
        <w:t>：</w:t>
      </w:r>
      <w:r>
        <w:rPr>
          <w:color w:val="000000"/>
          <w:szCs w:val="21"/>
          <w:highlight w:val="none"/>
        </w:rPr>
        <w:t>__________________________________</w:t>
      </w:r>
    </w:p>
    <w:p>
      <w:pPr>
        <w:tabs>
          <w:tab w:val="right" w:leader="dot" w:pos="9000"/>
        </w:tabs>
        <w:spacing w:before="120" w:after="120" w:line="240" w:lineRule="atLeast"/>
        <w:jc w:val="right"/>
        <w:textAlignment w:val="auto"/>
        <w:rPr>
          <w:color w:val="000000"/>
          <w:szCs w:val="21"/>
          <w:highlight w:val="none"/>
        </w:rPr>
      </w:pPr>
      <w:r>
        <w:rPr>
          <w:color w:val="000000"/>
          <w:szCs w:val="21"/>
          <w:highlight w:val="none"/>
        </w:rPr>
        <w:t>职</w:t>
      </w:r>
      <w:r>
        <w:rPr>
          <w:rFonts w:hint="eastAsia"/>
          <w:color w:val="000000"/>
          <w:szCs w:val="21"/>
          <w:highlight w:val="none"/>
        </w:rPr>
        <w:t>务：</w:t>
      </w:r>
      <w:r>
        <w:rPr>
          <w:color w:val="000000"/>
          <w:szCs w:val="21"/>
          <w:highlight w:val="none"/>
        </w:rPr>
        <w:t>__________________________________</w:t>
      </w:r>
    </w:p>
    <w:p>
      <w:pPr>
        <w:tabs>
          <w:tab w:val="right" w:leader="dot" w:pos="9000"/>
        </w:tabs>
        <w:spacing w:before="120" w:after="120" w:line="240" w:lineRule="atLeast"/>
        <w:jc w:val="right"/>
        <w:textAlignment w:val="auto"/>
        <w:rPr>
          <w:color w:val="000000"/>
          <w:szCs w:val="21"/>
          <w:highlight w:val="none"/>
        </w:rPr>
      </w:pPr>
      <w:r>
        <w:rPr>
          <w:color w:val="000000"/>
          <w:szCs w:val="21"/>
          <w:highlight w:val="none"/>
        </w:rPr>
        <w:t>签字</w:t>
      </w:r>
      <w:r>
        <w:rPr>
          <w:rFonts w:hint="eastAsia"/>
          <w:color w:val="000000"/>
          <w:szCs w:val="21"/>
          <w:highlight w:val="none"/>
        </w:rPr>
        <w:t>：</w:t>
      </w:r>
      <w:r>
        <w:rPr>
          <w:color w:val="000000"/>
          <w:szCs w:val="21"/>
          <w:highlight w:val="none"/>
        </w:rPr>
        <w:t>__________________________________</w:t>
      </w:r>
    </w:p>
    <w:p>
      <w:pPr>
        <w:tabs>
          <w:tab w:val="right" w:leader="dot" w:pos="9000"/>
        </w:tabs>
        <w:spacing w:before="120" w:after="120" w:line="240" w:lineRule="atLeast"/>
        <w:jc w:val="right"/>
        <w:textAlignment w:val="auto"/>
        <w:rPr>
          <w:color w:val="000000"/>
          <w:szCs w:val="21"/>
          <w:highlight w:val="none"/>
        </w:rPr>
      </w:pPr>
      <w:r>
        <w:rPr>
          <w:color w:val="000000"/>
          <w:szCs w:val="21"/>
          <w:highlight w:val="none"/>
        </w:rPr>
        <w:t>日期</w:t>
      </w:r>
      <w:r>
        <w:rPr>
          <w:rFonts w:hint="eastAsia"/>
          <w:color w:val="000000"/>
          <w:szCs w:val="21"/>
          <w:highlight w:val="none"/>
        </w:rPr>
        <w:t>：</w:t>
      </w:r>
      <w:r>
        <w:rPr>
          <w:color w:val="000000"/>
          <w:szCs w:val="21"/>
          <w:highlight w:val="none"/>
        </w:rPr>
        <w:t>_____________年________月_______日</w:t>
      </w:r>
    </w:p>
    <w:p>
      <w:pPr>
        <w:pStyle w:val="4"/>
        <w:rPr>
          <w:highlight w:val="none"/>
        </w:rPr>
      </w:pPr>
      <w:bookmarkStart w:id="1226" w:name="_Toc110264734"/>
      <w:bookmarkStart w:id="1227" w:name="_Toc110264406"/>
      <w:bookmarkStart w:id="1228" w:name="_Toc110264951"/>
      <w:bookmarkStart w:id="1229" w:name="_Toc110267679"/>
      <w:bookmarkStart w:id="1230" w:name="_Toc110262751"/>
      <w:bookmarkStart w:id="1231" w:name="_Toc110268525"/>
      <w:bookmarkStart w:id="1232" w:name="_Toc110264787"/>
      <w:bookmarkStart w:id="1233" w:name="_Toc110263945"/>
      <w:bookmarkStart w:id="1234" w:name="_Toc110265187"/>
    </w:p>
    <w:p>
      <w:pPr>
        <w:rPr>
          <w:highlight w:val="none"/>
          <w:lang w:val="zh-CN" w:eastAsia="zh-CN"/>
        </w:rPr>
      </w:pPr>
      <w:r>
        <w:rPr>
          <w:highlight w:val="none"/>
          <w:lang w:val="zh-CN" w:eastAsia="zh-CN"/>
        </w:rPr>
        <w:br w:type="page"/>
      </w:r>
    </w:p>
    <w:p>
      <w:pPr>
        <w:rPr>
          <w:highlight w:val="none"/>
          <w:lang w:val="zh-CN" w:eastAsia="zh-CN"/>
        </w:rPr>
      </w:pPr>
    </w:p>
    <w:p>
      <w:pPr>
        <w:pStyle w:val="4"/>
        <w:rPr>
          <w:highlight w:val="none"/>
        </w:rPr>
      </w:pPr>
      <w:bookmarkStart w:id="1235" w:name="_Toc171063122"/>
      <w:bookmarkStart w:id="1236" w:name="_Toc170312584"/>
      <w:r>
        <w:rPr>
          <w:rFonts w:hint="eastAsia"/>
          <w:highlight w:val="none"/>
          <w:lang w:eastAsia="zh-CN"/>
        </w:rPr>
        <w:t>投标函 -</w:t>
      </w:r>
      <w:r>
        <w:rPr>
          <w:highlight w:val="none"/>
          <w:lang w:eastAsia="zh-CN"/>
        </w:rPr>
        <w:t xml:space="preserve"> </w:t>
      </w:r>
      <w:r>
        <w:rPr>
          <w:rFonts w:hint="eastAsia"/>
          <w:highlight w:val="none"/>
        </w:rPr>
        <w:t>附件</w:t>
      </w:r>
      <w:r>
        <w:rPr>
          <w:highlight w:val="none"/>
        </w:rPr>
        <w:t>1</w:t>
      </w:r>
      <w:r>
        <w:rPr>
          <w:rFonts w:hint="eastAsia"/>
          <w:highlight w:val="none"/>
        </w:rPr>
        <w:t>：诚信承诺</w:t>
      </w:r>
      <w:r>
        <w:rPr>
          <w:highlight w:val="none"/>
        </w:rPr>
        <w:t>书</w:t>
      </w:r>
      <w:bookmarkEnd w:id="1235"/>
      <w:bookmarkEnd w:id="1236"/>
    </w:p>
    <w:p>
      <w:pPr>
        <w:widowControl/>
        <w:adjustRightInd/>
        <w:spacing w:before="100" w:beforeAutospacing="1" w:after="100" w:afterAutospacing="1" w:line="240" w:lineRule="auto"/>
        <w:jc w:val="left"/>
        <w:textAlignment w:val="auto"/>
        <w:rPr>
          <w:szCs w:val="21"/>
        </w:rPr>
      </w:pPr>
      <w:r>
        <w:rPr>
          <w:rFonts w:hint="eastAsia"/>
          <w:szCs w:val="21"/>
        </w:rPr>
        <w:t>致：</w:t>
      </w:r>
      <w:r>
        <w:rPr>
          <w:szCs w:val="21"/>
        </w:rPr>
        <w:t xml:space="preserve">_____________ </w:t>
      </w:r>
    </w:p>
    <w:p>
      <w:pPr>
        <w:widowControl/>
        <w:adjustRightInd/>
        <w:spacing w:before="100" w:beforeAutospacing="1" w:after="100" w:afterAutospacing="1" w:line="240" w:lineRule="auto"/>
        <w:jc w:val="left"/>
        <w:textAlignment w:val="auto"/>
        <w:rPr>
          <w:szCs w:val="21"/>
        </w:rPr>
      </w:pPr>
      <w:r>
        <w:rPr>
          <w:rFonts w:hint="eastAsia"/>
          <w:szCs w:val="21"/>
        </w:rPr>
        <w:t xml:space="preserve"> </w:t>
      </w:r>
      <w:r>
        <w:rPr>
          <w:szCs w:val="21"/>
        </w:rPr>
        <w:t xml:space="preserve">       </w:t>
      </w:r>
      <w:r>
        <w:rPr>
          <w:rFonts w:hint="eastAsia"/>
          <w:szCs w:val="21"/>
        </w:rPr>
        <w:t>我方声明并承诺，无论是我方自身还是我方的子公司和关联公司，以及我方的董事、雇员、代理人或联合体成员，以及任何在我方授权、知情或同意下代表我方行事、或由我方协助的分包商、供应商、子供应商、特许经营者、咨询顾问或分包咨询顾问，在本次投标或中标后实施或供应</w:t>
      </w:r>
      <w:r>
        <w:rPr>
          <w:b/>
          <w:bCs/>
          <w:i/>
          <w:iCs/>
          <w:szCs w:val="21"/>
        </w:rPr>
        <w:t>[</w:t>
      </w:r>
      <w:r>
        <w:rPr>
          <w:rFonts w:hint="eastAsia"/>
          <w:b/>
          <w:bCs/>
          <w:i/>
          <w:iCs/>
          <w:szCs w:val="21"/>
        </w:rPr>
        <w:t>填入合同名称</w:t>
      </w:r>
      <w:r>
        <w:rPr>
          <w:b/>
          <w:bCs/>
          <w:i/>
          <w:iCs/>
          <w:szCs w:val="21"/>
        </w:rPr>
        <w:t>]</w:t>
      </w:r>
      <w:r>
        <w:rPr>
          <w:rFonts w:hint="eastAsia"/>
          <w:szCs w:val="21"/>
        </w:rPr>
        <w:t>（</w:t>
      </w:r>
      <w:r>
        <w:rPr>
          <w:szCs w:val="21"/>
        </w:rPr>
        <w:t>“</w:t>
      </w:r>
      <w:r>
        <w:rPr>
          <w:rFonts w:hint="eastAsia"/>
          <w:szCs w:val="21"/>
        </w:rPr>
        <w:t>合同</w:t>
      </w:r>
      <w:r>
        <w:rPr>
          <w:szCs w:val="21"/>
        </w:rPr>
        <w:t>”</w:t>
      </w:r>
      <w:r>
        <w:rPr>
          <w:rFonts w:hint="eastAsia"/>
          <w:szCs w:val="21"/>
        </w:rPr>
        <w:t>）有关的工程、货物或服务方面没有参与或将要参与任何被禁止的行为（如第七章所定义），并承诺如我方负责确保遵守本承诺的人员注意到存在任何此类被禁止的行为的情况时，我方将立即通知你方</w:t>
      </w:r>
      <w:r>
        <w:rPr>
          <w:szCs w:val="21"/>
        </w:rPr>
        <w:t>。</w:t>
      </w:r>
    </w:p>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我方</w:t>
      </w:r>
      <w:r>
        <w:rPr>
          <w:rFonts w:hint="eastAsia"/>
          <w:szCs w:val="21"/>
        </w:rPr>
        <w:t>为本次投标和中标后的合同履行已经支付和将要支付给代理机构的佣金、代理费和报酬如下</w:t>
      </w:r>
      <w:r>
        <w:rPr>
          <w:color w:val="000000"/>
          <w:szCs w:val="21"/>
        </w:rPr>
        <w:t>：</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1"/>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1" w:type="dxa"/>
          </w:tcPr>
          <w:p>
            <w:pPr>
              <w:widowControl/>
              <w:spacing w:before="120" w:after="120" w:line="240" w:lineRule="atLeast"/>
              <w:jc w:val="center"/>
              <w:textAlignment w:val="auto"/>
              <w:rPr>
                <w:szCs w:val="21"/>
              </w:rPr>
            </w:pPr>
            <w:r>
              <w:rPr>
                <w:rFonts w:hint="eastAsia"/>
                <w:szCs w:val="21"/>
              </w:rPr>
              <w:t>收款人名称</w:t>
            </w:r>
          </w:p>
        </w:tc>
        <w:tc>
          <w:tcPr>
            <w:tcW w:w="1664" w:type="dxa"/>
          </w:tcPr>
          <w:p>
            <w:pPr>
              <w:widowControl/>
              <w:spacing w:before="120" w:after="120" w:line="240" w:lineRule="atLeast"/>
              <w:jc w:val="center"/>
              <w:textAlignment w:val="auto"/>
              <w:rPr>
                <w:szCs w:val="21"/>
              </w:rPr>
            </w:pPr>
            <w:r>
              <w:rPr>
                <w:rFonts w:hint="eastAsia"/>
                <w:szCs w:val="21"/>
              </w:rPr>
              <w:t>地址</w:t>
            </w:r>
          </w:p>
        </w:tc>
        <w:tc>
          <w:tcPr>
            <w:tcW w:w="1664" w:type="dxa"/>
          </w:tcPr>
          <w:p>
            <w:pPr>
              <w:widowControl/>
              <w:spacing w:before="120" w:after="120" w:line="240" w:lineRule="atLeast"/>
              <w:jc w:val="center"/>
              <w:textAlignment w:val="auto"/>
              <w:rPr>
                <w:szCs w:val="21"/>
              </w:rPr>
            </w:pPr>
            <w:r>
              <w:rPr>
                <w:rFonts w:hint="eastAsia"/>
                <w:szCs w:val="21"/>
              </w:rPr>
              <w:t>原因</w:t>
            </w:r>
          </w:p>
        </w:tc>
        <w:tc>
          <w:tcPr>
            <w:tcW w:w="1664" w:type="dxa"/>
          </w:tcPr>
          <w:p>
            <w:pPr>
              <w:widowControl/>
              <w:spacing w:before="120" w:after="120" w:line="240" w:lineRule="atLeast"/>
              <w:jc w:val="center"/>
              <w:textAlignment w:val="auto"/>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11"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11"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c>
          <w:tcPr>
            <w:tcW w:w="1664" w:type="dxa"/>
          </w:tcPr>
          <w:p>
            <w:pPr>
              <w:widowControl/>
              <w:spacing w:before="120" w:after="120" w:line="240" w:lineRule="atLeast"/>
              <w:textAlignment w:val="auto"/>
              <w:rPr>
                <w:szCs w:val="21"/>
              </w:rPr>
            </w:pPr>
          </w:p>
        </w:tc>
      </w:tr>
    </w:tbl>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我方声明，业主的任何关联公司都未以任何形式参与我方的投标</w:t>
      </w:r>
      <w:r>
        <w:rPr>
          <w:color w:val="000000"/>
          <w:szCs w:val="21"/>
        </w:rPr>
        <w:t>。</w:t>
      </w:r>
    </w:p>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在本次投标或我方中标后的合同期间，我方将任命并保持一名和你方完全和立即可接触的人员担任职务，该人员应是您合理满意的人选，并具备确保遵守本承诺的职责和必要的权力</w:t>
      </w:r>
      <w:r>
        <w:rPr>
          <w:color w:val="000000"/>
          <w:szCs w:val="21"/>
        </w:rPr>
        <w:t>。</w:t>
      </w:r>
    </w:p>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我方声明并承诺，除了在本诚信承诺书中披露的事项外</w:t>
      </w:r>
      <w:r>
        <w:rPr>
          <w:color w:val="000000"/>
          <w:szCs w:val="21"/>
        </w:rPr>
        <w:t>：</w:t>
      </w:r>
    </w:p>
    <w:p>
      <w:pPr>
        <w:widowControl/>
        <w:numPr>
          <w:ilvl w:val="0"/>
          <w:numId w:val="19"/>
        </w:numPr>
        <w:adjustRightInd/>
        <w:spacing w:before="100" w:beforeAutospacing="1" w:after="100" w:afterAutospacing="1" w:line="240" w:lineRule="auto"/>
        <w:jc w:val="left"/>
        <w:textAlignment w:val="auto"/>
        <w:rPr>
          <w:szCs w:val="21"/>
        </w:rPr>
      </w:pPr>
      <w:r>
        <w:rPr>
          <w:rFonts w:hint="eastAsia"/>
          <w:szCs w:val="21"/>
        </w:rPr>
        <w:t>我方自身、我方的子公司和关联公司，以及我方的董事、雇员、代理人或联合体成员，在本承诺书签署之前的十年内，没有在任何法院被判犯有与采购过程或提供工程、货物或服务有关的被禁止的行为的罪名</w:t>
      </w:r>
      <w:r>
        <w:rPr>
          <w:szCs w:val="21"/>
        </w:rPr>
        <w:t>；</w:t>
      </w:r>
    </w:p>
    <w:p>
      <w:pPr>
        <w:widowControl/>
        <w:numPr>
          <w:ilvl w:val="0"/>
          <w:numId w:val="19"/>
        </w:numPr>
        <w:adjustRightInd/>
        <w:spacing w:before="100" w:beforeAutospacing="1" w:after="100" w:afterAutospacing="1" w:line="240" w:lineRule="auto"/>
        <w:jc w:val="left"/>
        <w:textAlignment w:val="auto"/>
        <w:rPr>
          <w:szCs w:val="21"/>
        </w:rPr>
      </w:pPr>
      <w:r>
        <w:rPr>
          <w:rFonts w:hint="eastAsia"/>
          <w:szCs w:val="21"/>
        </w:rPr>
        <w:t>我方的董事、雇员、代理人或联合体成员没有因涉及任何被禁止的行为而被解雇或辞职，在本承诺书签署之前的十年内</w:t>
      </w:r>
      <w:r>
        <w:rPr>
          <w:szCs w:val="21"/>
        </w:rPr>
        <w:t>；</w:t>
      </w:r>
    </w:p>
    <w:p>
      <w:pPr>
        <w:widowControl/>
        <w:numPr>
          <w:ilvl w:val="0"/>
          <w:numId w:val="19"/>
        </w:numPr>
        <w:adjustRightInd/>
        <w:spacing w:before="100" w:beforeAutospacing="1" w:after="100" w:afterAutospacing="1" w:line="240" w:lineRule="auto"/>
        <w:jc w:val="left"/>
        <w:textAlignment w:val="auto"/>
        <w:rPr>
          <w:szCs w:val="21"/>
        </w:rPr>
      </w:pPr>
      <w:r>
        <w:rPr>
          <w:rFonts w:hint="eastAsia"/>
          <w:szCs w:val="21"/>
        </w:rPr>
        <w:t>我方自身、我方的子公司和关联公司，以及我方的董事、雇员、代理人或联合体成员没有因从事被禁止的行为而被任何主要多边开发银行或国际金融机构（包括世界银行集团、亚洲基础设施投资银行、亚洲开发银行、非洲开发银行集团、欧洲复兴开发银行、欧洲投资银行或中美洲开发银行）从参与采购流程或与这些机构签订合同的资格中被排除</w:t>
      </w:r>
      <w:r>
        <w:rPr>
          <w:szCs w:val="21"/>
        </w:rPr>
        <w:t>；</w:t>
      </w:r>
    </w:p>
    <w:p>
      <w:pPr>
        <w:widowControl/>
        <w:numPr>
          <w:ilvl w:val="0"/>
          <w:numId w:val="19"/>
        </w:numPr>
        <w:adjustRightInd/>
        <w:spacing w:before="100" w:beforeAutospacing="1" w:after="100" w:afterAutospacing="1" w:line="240" w:lineRule="auto"/>
        <w:jc w:val="left"/>
        <w:textAlignment w:val="auto"/>
        <w:rPr>
          <w:szCs w:val="21"/>
        </w:rPr>
      </w:pPr>
      <w:r>
        <w:rPr>
          <w:rFonts w:hint="eastAsia"/>
          <w:szCs w:val="21"/>
        </w:rPr>
        <w:t>我方自身、我方的董事、子公司和关联公司，以及任何分包商、供应商或分包商或供应商的关联公司，没有受到联合国安全理事会决议所施加的任何制裁</w:t>
      </w:r>
      <w:r>
        <w:rPr>
          <w:szCs w:val="21"/>
        </w:rPr>
        <w:t>；</w:t>
      </w:r>
    </w:p>
    <w:p>
      <w:pPr>
        <w:widowControl/>
        <w:numPr>
          <w:ilvl w:val="0"/>
          <w:numId w:val="19"/>
        </w:numPr>
        <w:adjustRightInd/>
        <w:spacing w:before="100" w:beforeAutospacing="1" w:after="100" w:afterAutospacing="1" w:line="240" w:lineRule="auto"/>
        <w:jc w:val="left"/>
        <w:textAlignment w:val="auto"/>
        <w:rPr>
          <w:szCs w:val="21"/>
        </w:rPr>
      </w:pPr>
      <w:r>
        <w:rPr>
          <w:rFonts w:hint="eastAsia"/>
          <w:szCs w:val="21"/>
        </w:rPr>
        <w:t>如果此类情况在以后的阶段发生，我方将立即通知业主和亚投行</w:t>
      </w:r>
      <w:r>
        <w:rPr>
          <w:szCs w:val="21"/>
        </w:rPr>
        <w:t>。</w:t>
      </w:r>
    </w:p>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如适用，以下提供了与第（</w:t>
      </w: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3</w:t>
      </w:r>
      <w:r>
        <w:rPr>
          <w:rFonts w:hint="eastAsia"/>
          <w:color w:val="000000"/>
          <w:szCs w:val="21"/>
        </w:rPr>
        <w:t>）或（</w:t>
      </w:r>
      <w:r>
        <w:rPr>
          <w:color w:val="000000"/>
          <w:szCs w:val="21"/>
        </w:rPr>
        <w:t>4</w:t>
      </w:r>
      <w:r>
        <w:rPr>
          <w:rFonts w:hint="eastAsia"/>
          <w:color w:val="000000"/>
          <w:szCs w:val="21"/>
        </w:rPr>
        <w:t>）条相关的任何定罪、解雇、辞职、排除或其他信息的完整披露：</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5" w:type="dxa"/>
          </w:tcPr>
          <w:p>
            <w:pPr>
              <w:widowControl/>
              <w:spacing w:before="120" w:after="120" w:line="240" w:lineRule="atLeast"/>
              <w:jc w:val="center"/>
              <w:textAlignment w:val="auto"/>
              <w:rPr>
                <w:szCs w:val="21"/>
              </w:rPr>
            </w:pPr>
            <w:r>
              <w:rPr>
                <w:rFonts w:hint="eastAsia"/>
                <w:szCs w:val="21"/>
              </w:rPr>
              <w:t>要求被披露实体的名称</w:t>
            </w:r>
          </w:p>
        </w:tc>
        <w:tc>
          <w:tcPr>
            <w:tcW w:w="3808" w:type="dxa"/>
          </w:tcPr>
          <w:p>
            <w:pPr>
              <w:widowControl/>
              <w:spacing w:before="120" w:after="120" w:line="240" w:lineRule="atLeast"/>
              <w:jc w:val="center"/>
              <w:textAlignment w:val="auto"/>
              <w:rPr>
                <w:szCs w:val="21"/>
              </w:rPr>
            </w:pPr>
            <w:r>
              <w:rPr>
                <w:rFonts w:hint="eastAsia"/>
                <w:szCs w:val="21"/>
              </w:rPr>
              <w:t>披露被要求的原因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495" w:type="dxa"/>
          </w:tcPr>
          <w:p>
            <w:pPr>
              <w:widowControl/>
              <w:spacing w:before="120" w:after="120" w:line="240" w:lineRule="atLeast"/>
              <w:textAlignment w:val="auto"/>
              <w:rPr>
                <w:szCs w:val="21"/>
              </w:rPr>
            </w:pPr>
          </w:p>
        </w:tc>
        <w:tc>
          <w:tcPr>
            <w:tcW w:w="3808" w:type="dxa"/>
          </w:tcPr>
          <w:p>
            <w:pPr>
              <w:widowControl/>
              <w:spacing w:before="120" w:after="120"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495" w:type="dxa"/>
          </w:tcPr>
          <w:p>
            <w:pPr>
              <w:widowControl/>
              <w:spacing w:before="120" w:after="120" w:line="240" w:lineRule="atLeast"/>
              <w:textAlignment w:val="auto"/>
              <w:rPr>
                <w:szCs w:val="21"/>
              </w:rPr>
            </w:pPr>
          </w:p>
        </w:tc>
        <w:tc>
          <w:tcPr>
            <w:tcW w:w="3808" w:type="dxa"/>
          </w:tcPr>
          <w:p>
            <w:pPr>
              <w:widowControl/>
              <w:spacing w:before="120" w:after="120" w:line="240" w:lineRule="atLeast"/>
              <w:textAlignment w:val="auto"/>
              <w:rPr>
                <w:szCs w:val="21"/>
              </w:rPr>
            </w:pPr>
          </w:p>
        </w:tc>
      </w:tr>
    </w:tbl>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我方理解，与本承诺所要求的信息相关的虚假陈述或未提供完整披露可能导致投标被拒绝，并可能引发根据银行政策和被禁止的行为指令采取的行动</w:t>
      </w:r>
      <w:r>
        <w:rPr>
          <w:color w:val="000000"/>
          <w:szCs w:val="21"/>
        </w:rPr>
        <w:t>。</w:t>
      </w:r>
    </w:p>
    <w:p>
      <w:pPr>
        <w:widowControl/>
        <w:tabs>
          <w:tab w:val="left" w:pos="540"/>
        </w:tabs>
        <w:spacing w:before="120" w:after="120" w:line="240" w:lineRule="atLeast"/>
        <w:ind w:firstLine="420" w:firstLineChars="200"/>
        <w:textAlignment w:val="auto"/>
        <w:rPr>
          <w:color w:val="000000"/>
          <w:szCs w:val="21"/>
        </w:rPr>
      </w:pPr>
      <w:r>
        <w:rPr>
          <w:rFonts w:hint="eastAsia"/>
          <w:color w:val="000000"/>
          <w:szCs w:val="21"/>
        </w:rPr>
        <w:t>在提交投标文件后的任何时间，我方将允许并要求我方的联合体成员、董事、雇员、代理人、分包商和与合同的任何部分有关的第三方，允许银行或其指定人员检查和复制与招标过程和合同执行有关的所有账户、账簿、记录以及其他文件（以任何媒体或任何格式），并由银行和银行指定的审计师对这些账户、账簿、记录和文件进行审计。我方同意根据适用法律保留这些记录，但在任何情况下至少保留六年，自合同实质上完成之日起计算</w:t>
      </w:r>
      <w:r>
        <w:rPr>
          <w:color w:val="000000"/>
          <w:szCs w:val="21"/>
        </w:rPr>
        <w:t>。</w:t>
      </w:r>
    </w:p>
    <w:p>
      <w:pPr>
        <w:tabs>
          <w:tab w:val="right" w:leader="dot" w:pos="9000"/>
        </w:tabs>
        <w:spacing w:before="120" w:after="120" w:line="240" w:lineRule="atLeast"/>
        <w:jc w:val="right"/>
        <w:textAlignment w:val="auto"/>
        <w:rPr>
          <w:color w:val="000000"/>
          <w:szCs w:val="21"/>
        </w:rPr>
      </w:pPr>
      <w:r>
        <w:rPr>
          <w:rFonts w:hint="eastAsia"/>
          <w:color w:val="000000"/>
          <w:szCs w:val="21"/>
        </w:rPr>
        <w:t xml:space="preserve"> </w:t>
      </w:r>
      <w:r>
        <w:rPr>
          <w:color w:val="000000"/>
          <w:szCs w:val="21"/>
        </w:rPr>
        <w:t xml:space="preserve"> </w:t>
      </w:r>
    </w:p>
    <w:p>
      <w:pPr>
        <w:tabs>
          <w:tab w:val="right" w:leader="dot" w:pos="9000"/>
        </w:tabs>
        <w:spacing w:before="120" w:after="120" w:line="240" w:lineRule="atLeast"/>
        <w:jc w:val="right"/>
        <w:textAlignment w:val="auto"/>
        <w:rPr>
          <w:color w:val="000000"/>
          <w:szCs w:val="21"/>
        </w:rPr>
      </w:pPr>
    </w:p>
    <w:p>
      <w:pPr>
        <w:tabs>
          <w:tab w:val="right" w:leader="dot" w:pos="9000"/>
        </w:tabs>
        <w:spacing w:before="120" w:after="120" w:line="240" w:lineRule="atLeast"/>
        <w:jc w:val="right"/>
        <w:textAlignment w:val="auto"/>
        <w:rPr>
          <w:color w:val="000000"/>
          <w:szCs w:val="21"/>
        </w:rPr>
      </w:pPr>
      <w:r>
        <w:rPr>
          <w:rFonts w:hint="eastAsia"/>
          <w:color w:val="000000"/>
          <w:szCs w:val="21"/>
        </w:rPr>
        <w:t>投标人：</w:t>
      </w:r>
      <w:r>
        <w:rPr>
          <w:color w:val="000000"/>
          <w:szCs w:val="21"/>
        </w:rPr>
        <w:t>_____________________</w:t>
      </w:r>
      <w:r>
        <w:rPr>
          <w:rFonts w:hint="eastAsia"/>
          <w:color w:val="000000"/>
          <w:szCs w:val="21"/>
        </w:rPr>
        <w:t>（加盖公章）</w:t>
      </w:r>
    </w:p>
    <w:p>
      <w:pPr>
        <w:tabs>
          <w:tab w:val="right" w:leader="dot" w:pos="9000"/>
        </w:tabs>
        <w:spacing w:before="120" w:after="120" w:line="240" w:lineRule="atLeast"/>
        <w:jc w:val="right"/>
        <w:textAlignment w:val="auto"/>
        <w:rPr>
          <w:color w:val="000000"/>
          <w:szCs w:val="21"/>
        </w:rPr>
      </w:pPr>
      <w:r>
        <w:rPr>
          <w:color w:val="000000"/>
          <w:szCs w:val="21"/>
        </w:rPr>
        <w:t>姓名</w:t>
      </w:r>
      <w:r>
        <w:rPr>
          <w:rFonts w:hint="eastAsia"/>
          <w:color w:val="000000"/>
          <w:szCs w:val="21"/>
        </w:rPr>
        <w:t>：</w:t>
      </w:r>
      <w:r>
        <w:rPr>
          <w:color w:val="000000"/>
          <w:szCs w:val="21"/>
        </w:rPr>
        <w:t>__________________________________</w:t>
      </w:r>
    </w:p>
    <w:p>
      <w:pPr>
        <w:tabs>
          <w:tab w:val="right" w:leader="dot" w:pos="9000"/>
        </w:tabs>
        <w:spacing w:before="120" w:after="120" w:line="240" w:lineRule="atLeast"/>
        <w:jc w:val="right"/>
        <w:textAlignment w:val="auto"/>
        <w:rPr>
          <w:color w:val="000000"/>
          <w:szCs w:val="21"/>
        </w:rPr>
      </w:pPr>
      <w:r>
        <w:rPr>
          <w:color w:val="000000"/>
          <w:szCs w:val="21"/>
        </w:rPr>
        <w:t>职</w:t>
      </w:r>
      <w:r>
        <w:rPr>
          <w:rFonts w:hint="eastAsia"/>
          <w:color w:val="000000"/>
          <w:szCs w:val="21"/>
        </w:rPr>
        <w:t>务：</w:t>
      </w:r>
      <w:r>
        <w:rPr>
          <w:color w:val="000000"/>
          <w:szCs w:val="21"/>
        </w:rPr>
        <w:t>__________________________________</w:t>
      </w:r>
    </w:p>
    <w:p>
      <w:pPr>
        <w:tabs>
          <w:tab w:val="right" w:leader="dot" w:pos="9000"/>
        </w:tabs>
        <w:spacing w:before="120" w:after="120" w:line="240" w:lineRule="atLeast"/>
        <w:jc w:val="right"/>
        <w:textAlignment w:val="auto"/>
        <w:rPr>
          <w:color w:val="000000"/>
          <w:szCs w:val="21"/>
        </w:rPr>
      </w:pPr>
      <w:r>
        <w:rPr>
          <w:color w:val="000000"/>
          <w:szCs w:val="21"/>
        </w:rPr>
        <w:t>签字</w:t>
      </w:r>
      <w:r>
        <w:rPr>
          <w:rFonts w:hint="eastAsia"/>
          <w:color w:val="000000"/>
          <w:szCs w:val="21"/>
        </w:rPr>
        <w:t>：</w:t>
      </w:r>
      <w:r>
        <w:rPr>
          <w:color w:val="000000"/>
          <w:szCs w:val="21"/>
        </w:rPr>
        <w:t>__________________________________</w:t>
      </w:r>
    </w:p>
    <w:p>
      <w:pPr>
        <w:tabs>
          <w:tab w:val="right" w:leader="dot" w:pos="9000"/>
        </w:tabs>
        <w:spacing w:before="120" w:after="120" w:line="240" w:lineRule="atLeast"/>
        <w:jc w:val="right"/>
        <w:textAlignment w:val="auto"/>
        <w:rPr>
          <w:color w:val="000000"/>
          <w:szCs w:val="21"/>
        </w:rPr>
      </w:pPr>
      <w:r>
        <w:rPr>
          <w:color w:val="000000"/>
          <w:szCs w:val="21"/>
        </w:rPr>
        <w:t>日期</w:t>
      </w:r>
      <w:r>
        <w:rPr>
          <w:rFonts w:hint="eastAsia"/>
          <w:color w:val="000000"/>
          <w:szCs w:val="21"/>
        </w:rPr>
        <w:t>：</w:t>
      </w:r>
      <w:r>
        <w:rPr>
          <w:color w:val="000000"/>
          <w:szCs w:val="21"/>
        </w:rPr>
        <w:t>_____________年________月_______日</w:t>
      </w:r>
    </w:p>
    <w:p>
      <w:pPr>
        <w:widowControl/>
        <w:adjustRightInd/>
        <w:spacing w:line="240" w:lineRule="auto"/>
        <w:jc w:val="left"/>
        <w:textAlignment w:val="auto"/>
        <w:rPr>
          <w:b/>
          <w:sz w:val="24"/>
          <w:lang w:val="zh-CN" w:eastAsia="zh-CN"/>
        </w:rPr>
      </w:pPr>
      <w:bookmarkStart w:id="1237" w:name="_Toc169103259"/>
      <w:r>
        <w:br w:type="page"/>
      </w:r>
    </w:p>
    <w:bookmarkEnd w:id="1226"/>
    <w:bookmarkEnd w:id="1227"/>
    <w:bookmarkEnd w:id="1228"/>
    <w:bookmarkEnd w:id="1229"/>
    <w:bookmarkEnd w:id="1230"/>
    <w:bookmarkEnd w:id="1231"/>
    <w:bookmarkEnd w:id="1232"/>
    <w:bookmarkEnd w:id="1233"/>
    <w:bookmarkEnd w:id="1234"/>
    <w:bookmarkEnd w:id="1237"/>
    <w:p>
      <w:pPr>
        <w:pStyle w:val="99"/>
        <w:spacing w:before="120" w:after="120" w:line="240" w:lineRule="atLeast"/>
        <w:ind w:firstLine="422"/>
        <w:rPr>
          <w:rFonts w:ascii="Times New Roman" w:hAnsi="Times New Roman"/>
          <w:bCs/>
          <w:iCs/>
          <w:color w:val="000000"/>
          <w:sz w:val="21"/>
          <w:szCs w:val="21"/>
          <w:lang w:val="en-US" w:eastAsia="zh-CN"/>
        </w:rPr>
      </w:pPr>
      <w:r>
        <w:rPr>
          <w:rFonts w:hint="eastAsia" w:ascii="Times New Roman" w:hAnsi="Times New Roman"/>
          <w:bCs/>
          <w:iCs/>
          <w:color w:val="000000"/>
          <w:sz w:val="21"/>
          <w:szCs w:val="21"/>
          <w:lang w:val="en-US" w:eastAsia="zh-CN"/>
        </w:rPr>
        <w:t>工程量清单序言</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r>
        <w:rPr>
          <w:rFonts w:ascii="Times New Roman" w:hAnsi="Times New Roman"/>
          <w:b w:val="0"/>
          <w:bCs/>
          <w:iCs/>
          <w:color w:val="000000"/>
          <w:sz w:val="21"/>
          <w:szCs w:val="21"/>
          <w:lang w:val="en-US" w:eastAsia="zh-CN"/>
        </w:rPr>
        <w:t>1.</w:t>
      </w:r>
      <w:r>
        <w:rPr>
          <w:rFonts w:hint="eastAsia" w:ascii="Times New Roman" w:hAnsi="Times New Roman"/>
          <w:b w:val="0"/>
          <w:bCs/>
          <w:iCs/>
          <w:color w:val="000000"/>
          <w:sz w:val="21"/>
          <w:szCs w:val="21"/>
          <w:lang w:val="en-US" w:eastAsia="zh-CN"/>
        </w:rPr>
        <w:t>工程量清单应与投标人须知、一般合同条款、特殊合同条款、技术规范和图纸一并使用。</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r>
        <w:rPr>
          <w:rFonts w:ascii="Times New Roman" w:hAnsi="Times New Roman"/>
          <w:b w:val="0"/>
          <w:bCs/>
          <w:iCs/>
          <w:color w:val="000000"/>
          <w:sz w:val="21"/>
          <w:szCs w:val="21"/>
          <w:lang w:val="en-US" w:eastAsia="zh-CN"/>
        </w:rPr>
        <w:t>2.</w:t>
      </w:r>
      <w:r>
        <w:rPr>
          <w:rFonts w:hint="eastAsia" w:ascii="Times New Roman" w:hAnsi="Times New Roman"/>
          <w:b w:val="0"/>
          <w:bCs/>
          <w:iCs/>
          <w:color w:val="000000"/>
          <w:sz w:val="21"/>
          <w:szCs w:val="21"/>
          <w:lang w:val="en-US" w:eastAsia="zh-CN"/>
        </w:rPr>
        <w:t>工程量清单中所给出的数量为估算和暂定数量，是为投标而准备的一个公用基础。合同的支付，是按照合同规定的计量方法，由承包商计量、监理核实的工程量</w:t>
      </w:r>
      <w:r>
        <w:rPr>
          <w:rFonts w:hint="eastAsia" w:ascii="Times New Roman" w:hAnsi="Times New Roman"/>
          <w:b w:val="0"/>
          <w:sz w:val="21"/>
          <w:szCs w:val="21"/>
          <w:lang w:eastAsia="zh-CN"/>
        </w:rPr>
        <w:t>以及</w:t>
      </w:r>
      <w:r>
        <w:rPr>
          <w:rFonts w:hint="eastAsia" w:ascii="Times New Roman" w:hAnsi="Times New Roman"/>
          <w:b w:val="0"/>
          <w:bCs/>
          <w:iCs/>
          <w:color w:val="000000"/>
          <w:sz w:val="21"/>
          <w:szCs w:val="21"/>
          <w:lang w:val="en-US" w:eastAsia="zh-CN"/>
        </w:rPr>
        <w:t>标价的工程量清单中的单价或按监理在合同条款中确定的单价进行的。</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r>
        <w:rPr>
          <w:rFonts w:hint="eastAsia" w:ascii="Times New Roman" w:hAnsi="Times New Roman"/>
          <w:b w:val="0"/>
          <w:bCs/>
          <w:iCs/>
          <w:color w:val="000000"/>
          <w:sz w:val="21"/>
          <w:szCs w:val="21"/>
          <w:lang w:val="en-US" w:eastAsia="zh-CN"/>
        </w:rPr>
        <w:t>3.除非合同另有规定，标价的工程量清单中的费率与单价应包括所有的承包商设备、劳动力、服务、材料、安装、维护、保险、利润、税收和关税以及合同中规定或隐含的所有风险、责任、义务。</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r>
        <w:rPr>
          <w:rFonts w:hint="eastAsia" w:ascii="Times New Roman" w:hAnsi="Times New Roman"/>
          <w:b w:val="0"/>
          <w:bCs/>
          <w:iCs/>
          <w:color w:val="000000"/>
          <w:sz w:val="21"/>
          <w:szCs w:val="21"/>
          <w:lang w:val="en-US" w:eastAsia="zh-CN"/>
        </w:rPr>
        <w:t>4.适用于合同条款的全部成本应包括在标价的工程量清单的项目中。工程量清单中没有的项目，其成本将被认为已包括在相关工程项目的费率和单价中。</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r>
        <w:rPr>
          <w:rFonts w:hint="eastAsia" w:ascii="Times New Roman" w:hAnsi="Times New Roman"/>
          <w:b w:val="0"/>
          <w:bCs/>
          <w:iCs/>
          <w:color w:val="000000"/>
          <w:sz w:val="21"/>
          <w:szCs w:val="21"/>
          <w:lang w:val="en-US" w:eastAsia="zh-CN"/>
        </w:rPr>
        <w:t>5.</w:t>
      </w:r>
      <w:r>
        <w:rPr>
          <w:rFonts w:hint="eastAsia" w:ascii="Times New Roman" w:hAnsi="Times New Roman"/>
          <w:b w:val="0"/>
          <w:sz w:val="21"/>
          <w:szCs w:val="21"/>
          <w:lang w:eastAsia="zh-CN"/>
        </w:rPr>
        <w:t>一般性的工程和材料描述可</w:t>
      </w:r>
      <w:r>
        <w:rPr>
          <w:rFonts w:hint="eastAsia" w:ascii="Times New Roman" w:hAnsi="Times New Roman"/>
          <w:b w:val="0"/>
          <w:bCs/>
          <w:iCs/>
          <w:color w:val="000000"/>
          <w:sz w:val="21"/>
          <w:szCs w:val="21"/>
          <w:lang w:val="en-US" w:eastAsia="zh-CN"/>
        </w:rPr>
        <w:t>不在工程量清单中重复或总结。在为标价的工程量清单的每个项目标价之前应参考有关合同文件章节中说明。</w:t>
      </w: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pPr>
    </w:p>
    <w:p>
      <w:pPr>
        <w:pStyle w:val="99"/>
        <w:spacing w:before="120" w:after="120" w:line="240" w:lineRule="atLeast"/>
        <w:ind w:firstLine="420" w:firstLineChars="200"/>
        <w:jc w:val="left"/>
        <w:rPr>
          <w:rFonts w:ascii="Times New Roman" w:hAnsi="Times New Roman"/>
          <w:b w:val="0"/>
          <w:bCs/>
          <w:iCs/>
          <w:color w:val="000000"/>
          <w:sz w:val="21"/>
          <w:szCs w:val="21"/>
          <w:lang w:val="en-US" w:eastAsia="zh-CN"/>
        </w:rPr>
        <w:sectPr>
          <w:footnotePr>
            <w:numRestart w:val="eachPage"/>
          </w:footnotePr>
          <w:endnotePr>
            <w:numFmt w:val="decimal"/>
          </w:endnotePr>
          <w:pgSz w:w="11907" w:h="16840"/>
          <w:pgMar w:top="1440" w:right="1797" w:bottom="1440" w:left="1797" w:header="851" w:footer="992" w:gutter="0"/>
          <w:cols w:space="720" w:num="1"/>
          <w:docGrid w:linePitch="360" w:charSpace="0"/>
        </w:sectPr>
      </w:pPr>
    </w:p>
    <w:p>
      <w:pPr>
        <w:pStyle w:val="99"/>
        <w:spacing w:before="120" w:after="120" w:line="240" w:lineRule="atLeast"/>
        <w:ind w:firstLine="422"/>
        <w:rPr>
          <w:rFonts w:ascii="Times New Roman" w:hAnsi="Times New Roman"/>
          <w:bCs/>
          <w:iCs/>
          <w:color w:val="000000"/>
          <w:sz w:val="21"/>
          <w:szCs w:val="21"/>
          <w:lang w:val="en-US" w:eastAsia="zh-CN"/>
        </w:rPr>
      </w:pPr>
      <w:r>
        <w:rPr>
          <w:rFonts w:hint="eastAsia" w:ascii="Times New Roman" w:hAnsi="Times New Roman"/>
          <w:bCs/>
          <w:iCs/>
          <w:color w:val="000000"/>
          <w:sz w:val="21"/>
          <w:szCs w:val="21"/>
          <w:lang w:val="en-US" w:eastAsia="zh-CN"/>
        </w:rPr>
        <w:t>工程量清单（可另册装订）</w:t>
      </w:r>
    </w:p>
    <w:p>
      <w:pPr>
        <w:pStyle w:val="99"/>
        <w:spacing w:before="120" w:after="120" w:line="240" w:lineRule="atLeast"/>
        <w:jc w:val="both"/>
        <w:rPr>
          <w:rFonts w:ascii="Times New Roman" w:hAnsi="Times New Roman"/>
          <w:b w:val="0"/>
          <w:bCs/>
          <w:iCs/>
          <w:color w:val="000000"/>
          <w:sz w:val="21"/>
          <w:szCs w:val="21"/>
          <w:lang w:val="en-US" w:eastAsia="zh-CN"/>
        </w:rPr>
      </w:pPr>
    </w:p>
    <w:p>
      <w:pPr>
        <w:pStyle w:val="99"/>
        <w:spacing w:before="120" w:after="120" w:line="240" w:lineRule="atLeast"/>
        <w:jc w:val="both"/>
        <w:rPr>
          <w:rFonts w:ascii="Times New Roman" w:hAnsi="Times New Roman"/>
          <w:b w:val="0"/>
          <w:bCs/>
          <w:iCs/>
          <w:color w:val="000000"/>
          <w:sz w:val="21"/>
          <w:szCs w:val="21"/>
          <w:lang w:val="en-US" w:eastAsia="zh-CN"/>
        </w:rPr>
        <w:sectPr>
          <w:footnotePr>
            <w:numRestart w:val="eachPage"/>
          </w:footnotePr>
          <w:endnotePr>
            <w:numFmt w:val="decimal"/>
          </w:endnotePr>
          <w:pgSz w:w="11907" w:h="16840"/>
          <w:pgMar w:top="1440" w:right="1797" w:bottom="1440" w:left="1797" w:header="851" w:footer="992" w:gutter="0"/>
          <w:cols w:space="720" w:num="1"/>
          <w:docGrid w:linePitch="360" w:charSpace="0"/>
        </w:sectPr>
      </w:pPr>
    </w:p>
    <w:p>
      <w:pPr>
        <w:pStyle w:val="4"/>
        <w:rPr>
          <w:rFonts w:hint="eastAsia" w:eastAsia="宋体"/>
          <w:lang w:eastAsia="zh-CN"/>
        </w:rPr>
      </w:pPr>
      <w:bookmarkStart w:id="1238" w:name="_Toc170312586"/>
      <w:bookmarkStart w:id="1239" w:name="_Toc110264954"/>
      <w:bookmarkStart w:id="1240" w:name="_Toc110262754"/>
      <w:bookmarkStart w:id="1241" w:name="_Toc110268528"/>
      <w:bookmarkStart w:id="1242" w:name="_Toc110264790"/>
      <w:bookmarkStart w:id="1243" w:name="_Toc110267682"/>
      <w:bookmarkStart w:id="1244" w:name="_Toc110272061"/>
      <w:bookmarkStart w:id="1245" w:name="_Toc110263948"/>
      <w:bookmarkStart w:id="1246" w:name="_Toc110264737"/>
      <w:bookmarkStart w:id="1247" w:name="_Toc110264409"/>
      <w:bookmarkStart w:id="1248" w:name="_Toc171063124"/>
      <w:bookmarkStart w:id="1249" w:name="_Toc110265190"/>
      <w:bookmarkStart w:id="1250" w:name="_Toc169103260"/>
      <w:r>
        <w:t>价格调整表</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r>
        <w:rPr>
          <w:rFonts w:hint="eastAsia"/>
          <w:lang w:eastAsia="zh-CN"/>
        </w:rPr>
        <w:t>（</w:t>
      </w:r>
      <w:r>
        <w:rPr>
          <w:rFonts w:hint="eastAsia"/>
          <w:lang w:val="en-US" w:eastAsia="zh-CN"/>
        </w:rPr>
        <w:t>不适用</w:t>
      </w:r>
      <w:r>
        <w:rPr>
          <w:rFonts w:hint="eastAsia"/>
          <w:lang w:eastAsia="zh-CN"/>
        </w:rPr>
        <w:t>）</w:t>
      </w:r>
    </w:p>
    <w:tbl>
      <w:tblPr>
        <w:tblStyle w:val="62"/>
        <w:tblW w:w="8267" w:type="dxa"/>
        <w:jc w:val="center"/>
        <w:tblInd w:w="0" w:type="dxa"/>
        <w:tblLayout w:type="fixed"/>
        <w:tblCellMar>
          <w:top w:w="0" w:type="dxa"/>
          <w:left w:w="72" w:type="dxa"/>
          <w:bottom w:w="0" w:type="dxa"/>
          <w:right w:w="72" w:type="dxa"/>
        </w:tblCellMar>
      </w:tblPr>
      <w:tblGrid>
        <w:gridCol w:w="1135"/>
        <w:gridCol w:w="1136"/>
        <w:gridCol w:w="1136"/>
        <w:gridCol w:w="2105"/>
        <w:gridCol w:w="650"/>
        <w:gridCol w:w="2105"/>
      </w:tblGrid>
      <w:tr>
        <w:tblPrEx>
          <w:tblLayout w:type="fixed"/>
          <w:tblCellMar>
            <w:top w:w="0" w:type="dxa"/>
            <w:left w:w="72" w:type="dxa"/>
            <w:bottom w:w="0" w:type="dxa"/>
            <w:right w:w="72" w:type="dxa"/>
          </w:tblCellMar>
        </w:tblPrEx>
        <w:trPr>
          <w:cantSplit/>
          <w:jc w:val="center"/>
        </w:trPr>
        <w:tc>
          <w:tcPr>
            <w:tcW w:w="1135"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b/>
                <w:bCs/>
                <w:iCs/>
                <w:color w:val="000000"/>
                <w:szCs w:val="21"/>
              </w:rPr>
              <w:t>指数</w:t>
            </w:r>
            <w:r>
              <w:rPr>
                <w:rFonts w:hint="eastAsia"/>
                <w:b/>
                <w:bCs/>
                <w:iCs/>
                <w:color w:val="000000"/>
                <w:szCs w:val="21"/>
              </w:rPr>
              <w:t>编</w:t>
            </w:r>
            <w:r>
              <w:rPr>
                <w:b/>
                <w:bCs/>
                <w:iCs/>
                <w:color w:val="000000"/>
                <w:szCs w:val="21"/>
              </w:rPr>
              <w:t>号</w:t>
            </w:r>
          </w:p>
        </w:tc>
        <w:tc>
          <w:tcPr>
            <w:tcW w:w="1136"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b/>
                <w:bCs/>
                <w:iCs/>
                <w:color w:val="000000"/>
                <w:szCs w:val="21"/>
              </w:rPr>
              <w:t>指数描述</w:t>
            </w:r>
          </w:p>
        </w:tc>
        <w:tc>
          <w:tcPr>
            <w:tcW w:w="1136"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b/>
                <w:bCs/>
                <w:iCs/>
                <w:color w:val="000000"/>
                <w:szCs w:val="21"/>
              </w:rPr>
              <w:t>指数来源</w:t>
            </w:r>
          </w:p>
        </w:tc>
        <w:tc>
          <w:tcPr>
            <w:tcW w:w="2105"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b/>
                <w:bCs/>
                <w:iCs/>
                <w:color w:val="000000"/>
                <w:szCs w:val="21"/>
              </w:rPr>
              <w:t>指数基准值和日期</w:t>
            </w:r>
          </w:p>
        </w:tc>
        <w:tc>
          <w:tcPr>
            <w:tcW w:w="650"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rFonts w:hint="eastAsia"/>
                <w:b/>
                <w:bCs/>
                <w:iCs/>
                <w:color w:val="000000"/>
                <w:szCs w:val="21"/>
              </w:rPr>
              <w:t>金额</w:t>
            </w:r>
          </w:p>
        </w:tc>
        <w:tc>
          <w:tcPr>
            <w:tcW w:w="2105" w:type="dxa"/>
            <w:tcBorders>
              <w:top w:val="single" w:color="auto" w:sz="18" w:space="0"/>
              <w:left w:val="single" w:color="auto" w:sz="18" w:space="0"/>
              <w:bottom w:val="single" w:color="auto" w:sz="18" w:space="0"/>
              <w:right w:val="single" w:color="auto" w:sz="18" w:space="0"/>
            </w:tcBorders>
            <w:vAlign w:val="center"/>
          </w:tcPr>
          <w:p>
            <w:pPr>
              <w:suppressAutoHyphens/>
              <w:spacing w:before="120" w:after="120" w:line="240" w:lineRule="atLeast"/>
              <w:jc w:val="center"/>
              <w:textAlignment w:val="auto"/>
              <w:rPr>
                <w:b/>
                <w:bCs/>
                <w:iCs/>
                <w:color w:val="000000"/>
                <w:szCs w:val="21"/>
              </w:rPr>
            </w:pPr>
            <w:r>
              <w:rPr>
                <w:b/>
                <w:bCs/>
                <w:iCs/>
                <w:color w:val="000000"/>
                <w:szCs w:val="21"/>
              </w:rPr>
              <w:t>投标人建议的权重</w:t>
            </w:r>
          </w:p>
        </w:tc>
      </w:tr>
      <w:tr>
        <w:tblPrEx>
          <w:tblLayout w:type="fixed"/>
          <w:tblCellMar>
            <w:top w:w="0" w:type="dxa"/>
            <w:left w:w="72" w:type="dxa"/>
            <w:bottom w:w="0" w:type="dxa"/>
            <w:right w:w="72" w:type="dxa"/>
          </w:tblCellMar>
        </w:tblPrEx>
        <w:trPr>
          <w:cantSplit/>
          <w:jc w:val="center"/>
        </w:trPr>
        <w:tc>
          <w:tcPr>
            <w:tcW w:w="1135" w:type="dxa"/>
            <w:tcBorders>
              <w:top w:val="single" w:color="auto" w:sz="18" w:space="0"/>
              <w:left w:val="single" w:color="auto" w:sz="2" w:space="0"/>
              <w:bottom w:val="single" w:color="auto" w:sz="2" w:space="0"/>
              <w:right w:val="single" w:color="auto" w:sz="2" w:space="0"/>
            </w:tcBorders>
          </w:tcPr>
          <w:p>
            <w:pPr>
              <w:suppressAutoHyphens/>
              <w:spacing w:before="120" w:after="120" w:line="240" w:lineRule="atLeast"/>
              <w:textAlignment w:val="auto"/>
              <w:rPr>
                <w:color w:val="000000"/>
                <w:szCs w:val="21"/>
              </w:rPr>
            </w:pPr>
          </w:p>
        </w:tc>
        <w:tc>
          <w:tcPr>
            <w:tcW w:w="1136" w:type="dxa"/>
            <w:tcBorders>
              <w:top w:val="single" w:color="auto" w:sz="18" w:space="0"/>
              <w:left w:val="single" w:color="auto" w:sz="2" w:space="0"/>
              <w:bottom w:val="single" w:color="auto" w:sz="2" w:space="0"/>
              <w:right w:val="single" w:color="auto" w:sz="2" w:space="0"/>
            </w:tcBorders>
          </w:tcPr>
          <w:p>
            <w:pPr>
              <w:suppressAutoHyphens/>
              <w:spacing w:before="120" w:after="120" w:line="240" w:lineRule="atLeast"/>
              <w:textAlignment w:val="auto"/>
              <w:rPr>
                <w:color w:val="000000"/>
                <w:sz w:val="16"/>
                <w:szCs w:val="16"/>
              </w:rPr>
            </w:pPr>
            <w:r>
              <w:rPr>
                <w:color w:val="000000"/>
                <w:sz w:val="16"/>
                <w:szCs w:val="16"/>
              </w:rPr>
              <w:t>不可调整</w:t>
            </w:r>
            <w:r>
              <w:rPr>
                <w:rFonts w:hint="eastAsia"/>
                <w:color w:val="000000"/>
                <w:sz w:val="16"/>
                <w:szCs w:val="16"/>
              </w:rPr>
              <w:t>部分</w:t>
            </w:r>
          </w:p>
        </w:tc>
        <w:tc>
          <w:tcPr>
            <w:tcW w:w="1136" w:type="dxa"/>
            <w:tcBorders>
              <w:top w:val="single" w:color="auto" w:sz="18" w:space="0"/>
              <w:left w:val="single" w:color="auto" w:sz="2" w:space="0"/>
              <w:bottom w:val="single" w:color="auto" w:sz="2" w:space="0"/>
              <w:right w:val="single" w:color="auto" w:sz="2" w:space="0"/>
            </w:tcBorders>
          </w:tcPr>
          <w:p>
            <w:pPr>
              <w:suppressAutoHyphens/>
              <w:spacing w:before="120" w:after="120" w:line="240" w:lineRule="atLeast"/>
              <w:jc w:val="center"/>
              <w:textAlignment w:val="auto"/>
              <w:rPr>
                <w:color w:val="000000"/>
                <w:szCs w:val="21"/>
              </w:rPr>
            </w:pPr>
            <w:r>
              <w:rPr>
                <w:color w:val="000000"/>
                <w:szCs w:val="21"/>
              </w:rPr>
              <w:t>—</w:t>
            </w:r>
          </w:p>
        </w:tc>
        <w:tc>
          <w:tcPr>
            <w:tcW w:w="2105" w:type="dxa"/>
            <w:tcBorders>
              <w:top w:val="single" w:color="auto" w:sz="18" w:space="0"/>
              <w:left w:val="single" w:color="auto" w:sz="2" w:space="0"/>
              <w:bottom w:val="single" w:color="auto" w:sz="2" w:space="0"/>
              <w:right w:val="single" w:color="auto" w:sz="2" w:space="0"/>
            </w:tcBorders>
          </w:tcPr>
          <w:p>
            <w:pPr>
              <w:suppressAutoHyphens/>
              <w:spacing w:before="120" w:after="120" w:line="240" w:lineRule="atLeast"/>
              <w:jc w:val="center"/>
              <w:textAlignment w:val="auto"/>
              <w:rPr>
                <w:color w:val="000000"/>
                <w:szCs w:val="21"/>
              </w:rPr>
            </w:pPr>
            <w:r>
              <w:rPr>
                <w:color w:val="000000"/>
                <w:szCs w:val="21"/>
              </w:rPr>
              <w:t>—</w:t>
            </w:r>
          </w:p>
        </w:tc>
        <w:tc>
          <w:tcPr>
            <w:tcW w:w="650" w:type="dxa"/>
            <w:tcBorders>
              <w:top w:val="single" w:color="auto" w:sz="18" w:space="0"/>
              <w:left w:val="single" w:color="auto" w:sz="2" w:space="0"/>
              <w:bottom w:val="single" w:color="auto" w:sz="18" w:space="0"/>
              <w:right w:val="single" w:color="auto" w:sz="2" w:space="0"/>
            </w:tcBorders>
          </w:tcPr>
          <w:p>
            <w:pPr>
              <w:suppressAutoHyphens/>
              <w:spacing w:before="120" w:after="120" w:line="240" w:lineRule="atLeast"/>
              <w:jc w:val="center"/>
              <w:textAlignment w:val="auto"/>
              <w:rPr>
                <w:color w:val="000000"/>
                <w:szCs w:val="21"/>
              </w:rPr>
            </w:pPr>
            <w:r>
              <w:rPr>
                <w:color w:val="000000"/>
                <w:szCs w:val="21"/>
              </w:rPr>
              <w:t>—</w:t>
            </w:r>
          </w:p>
        </w:tc>
        <w:tc>
          <w:tcPr>
            <w:tcW w:w="2105" w:type="dxa"/>
            <w:tcBorders>
              <w:top w:val="single" w:color="auto" w:sz="18" w:space="0"/>
              <w:left w:val="single" w:color="auto" w:sz="2" w:space="0"/>
              <w:bottom w:val="single" w:color="auto" w:sz="18" w:space="0"/>
              <w:right w:val="single" w:color="auto" w:sz="2" w:space="0"/>
            </w:tcBorders>
          </w:tcPr>
          <w:p>
            <w:pPr>
              <w:tabs>
                <w:tab w:val="left" w:pos="1055"/>
              </w:tabs>
              <w:suppressAutoHyphens/>
              <w:spacing w:before="120" w:after="120" w:line="240" w:lineRule="atLeast"/>
              <w:textAlignment w:val="auto"/>
              <w:rPr>
                <w:color w:val="000000"/>
                <w:szCs w:val="21"/>
              </w:rPr>
            </w:pPr>
            <w:r>
              <w:rPr>
                <w:color w:val="000000"/>
                <w:szCs w:val="21"/>
              </w:rPr>
              <w:t>A：</w:t>
            </w:r>
            <w:r>
              <w:rPr>
                <w:color w:val="000000"/>
                <w:szCs w:val="21"/>
                <w:u w:val="single"/>
              </w:rPr>
              <w:tab/>
            </w:r>
          </w:p>
          <w:p>
            <w:pPr>
              <w:tabs>
                <w:tab w:val="left" w:pos="1055"/>
              </w:tabs>
              <w:suppressAutoHyphens/>
              <w:spacing w:before="120" w:after="120" w:line="240" w:lineRule="atLeast"/>
              <w:textAlignment w:val="auto"/>
              <w:rPr>
                <w:color w:val="000000"/>
                <w:szCs w:val="21"/>
              </w:rPr>
            </w:pPr>
            <w:r>
              <w:rPr>
                <w:color w:val="000000"/>
                <w:szCs w:val="21"/>
              </w:rPr>
              <w:t>B：</w:t>
            </w:r>
            <w:r>
              <w:rPr>
                <w:color w:val="000000"/>
                <w:szCs w:val="21"/>
                <w:u w:val="single"/>
              </w:rPr>
              <w:tab/>
            </w:r>
          </w:p>
          <w:p>
            <w:pPr>
              <w:tabs>
                <w:tab w:val="left" w:pos="1055"/>
              </w:tabs>
              <w:suppressAutoHyphens/>
              <w:spacing w:before="120" w:after="120" w:line="240" w:lineRule="atLeast"/>
              <w:textAlignment w:val="auto"/>
              <w:rPr>
                <w:color w:val="000000"/>
                <w:szCs w:val="21"/>
              </w:rPr>
            </w:pPr>
            <w:r>
              <w:rPr>
                <w:color w:val="000000"/>
                <w:szCs w:val="21"/>
              </w:rPr>
              <w:t>C：</w:t>
            </w:r>
            <w:r>
              <w:rPr>
                <w:color w:val="000000"/>
                <w:szCs w:val="21"/>
                <w:u w:val="single"/>
              </w:rPr>
              <w:tab/>
            </w:r>
          </w:p>
          <w:p>
            <w:pPr>
              <w:tabs>
                <w:tab w:val="left" w:pos="1055"/>
              </w:tabs>
              <w:suppressAutoHyphens/>
              <w:spacing w:before="120" w:after="120" w:line="240" w:lineRule="atLeast"/>
              <w:textAlignment w:val="auto"/>
              <w:rPr>
                <w:color w:val="000000"/>
                <w:szCs w:val="21"/>
              </w:rPr>
            </w:pPr>
            <w:r>
              <w:rPr>
                <w:color w:val="000000"/>
                <w:szCs w:val="21"/>
              </w:rPr>
              <w:t>D：</w:t>
            </w:r>
            <w:r>
              <w:rPr>
                <w:color w:val="000000"/>
                <w:szCs w:val="21"/>
                <w:u w:val="single"/>
              </w:rPr>
              <w:tab/>
            </w:r>
          </w:p>
          <w:p>
            <w:pPr>
              <w:tabs>
                <w:tab w:val="left" w:pos="1055"/>
              </w:tabs>
              <w:suppressAutoHyphens/>
              <w:spacing w:before="120" w:after="120" w:line="240" w:lineRule="atLeast"/>
              <w:textAlignment w:val="auto"/>
              <w:rPr>
                <w:color w:val="000000"/>
                <w:szCs w:val="21"/>
                <w:u w:val="single"/>
              </w:rPr>
            </w:pPr>
            <w:r>
              <w:rPr>
                <w:color w:val="000000"/>
                <w:szCs w:val="21"/>
              </w:rPr>
              <w:t>E：</w:t>
            </w:r>
            <w:r>
              <w:rPr>
                <w:color w:val="000000"/>
                <w:szCs w:val="21"/>
                <w:u w:val="single"/>
              </w:rPr>
              <w:tab/>
            </w:r>
          </w:p>
        </w:tc>
      </w:tr>
      <w:tr>
        <w:tblPrEx>
          <w:tblLayout w:type="fixed"/>
          <w:tblCellMar>
            <w:top w:w="0" w:type="dxa"/>
            <w:left w:w="72" w:type="dxa"/>
            <w:bottom w:w="0" w:type="dxa"/>
            <w:right w:w="72" w:type="dxa"/>
          </w:tblCellMar>
        </w:tblPrEx>
        <w:trPr>
          <w:cantSplit/>
          <w:jc w:val="center"/>
        </w:trPr>
        <w:tc>
          <w:tcPr>
            <w:tcW w:w="1135" w:type="dxa"/>
            <w:tcBorders>
              <w:top w:val="single" w:color="auto" w:sz="2" w:space="0"/>
            </w:tcBorders>
          </w:tcPr>
          <w:p>
            <w:pPr>
              <w:suppressAutoHyphens/>
              <w:spacing w:before="120" w:after="120" w:line="240" w:lineRule="atLeast"/>
              <w:ind w:firstLine="422"/>
              <w:textAlignment w:val="auto"/>
              <w:rPr>
                <w:b/>
                <w:bCs/>
                <w:color w:val="000000"/>
                <w:szCs w:val="21"/>
              </w:rPr>
            </w:pPr>
          </w:p>
        </w:tc>
        <w:tc>
          <w:tcPr>
            <w:tcW w:w="1136" w:type="dxa"/>
            <w:tcBorders>
              <w:top w:val="single" w:color="auto" w:sz="2" w:space="0"/>
            </w:tcBorders>
          </w:tcPr>
          <w:p>
            <w:pPr>
              <w:suppressAutoHyphens/>
              <w:spacing w:before="120" w:after="120" w:line="240" w:lineRule="atLeast"/>
              <w:ind w:firstLine="422"/>
              <w:textAlignment w:val="auto"/>
              <w:rPr>
                <w:b/>
                <w:bCs/>
                <w:color w:val="000000"/>
                <w:szCs w:val="21"/>
              </w:rPr>
            </w:pPr>
          </w:p>
        </w:tc>
        <w:tc>
          <w:tcPr>
            <w:tcW w:w="1136" w:type="dxa"/>
            <w:tcBorders>
              <w:top w:val="single" w:color="auto" w:sz="2" w:space="0"/>
            </w:tcBorders>
          </w:tcPr>
          <w:p>
            <w:pPr>
              <w:suppressAutoHyphens/>
              <w:spacing w:before="120" w:after="120" w:line="240" w:lineRule="atLeast"/>
              <w:ind w:firstLine="422"/>
              <w:textAlignment w:val="auto"/>
              <w:rPr>
                <w:b/>
                <w:bCs/>
                <w:color w:val="000000"/>
                <w:szCs w:val="21"/>
              </w:rPr>
            </w:pPr>
          </w:p>
        </w:tc>
        <w:tc>
          <w:tcPr>
            <w:tcW w:w="2105" w:type="dxa"/>
            <w:tcBorders>
              <w:top w:val="single" w:color="auto" w:sz="2" w:space="0"/>
              <w:right w:val="single" w:color="auto" w:sz="18" w:space="0"/>
            </w:tcBorders>
          </w:tcPr>
          <w:p>
            <w:pPr>
              <w:suppressAutoHyphens/>
              <w:spacing w:before="120" w:after="120" w:line="240" w:lineRule="atLeast"/>
              <w:ind w:firstLine="422"/>
              <w:jc w:val="center"/>
              <w:textAlignment w:val="auto"/>
              <w:rPr>
                <w:b/>
                <w:bCs/>
                <w:color w:val="000000"/>
                <w:szCs w:val="21"/>
              </w:rPr>
            </w:pPr>
            <w:r>
              <w:rPr>
                <w:b/>
                <w:bCs/>
                <w:color w:val="000000"/>
                <w:szCs w:val="21"/>
              </w:rPr>
              <w:t>合计</w:t>
            </w:r>
          </w:p>
        </w:tc>
        <w:tc>
          <w:tcPr>
            <w:tcW w:w="650" w:type="dxa"/>
            <w:tcBorders>
              <w:top w:val="single" w:color="auto" w:sz="18" w:space="0"/>
              <w:left w:val="single" w:color="auto" w:sz="18" w:space="0"/>
              <w:bottom w:val="single" w:color="auto" w:sz="18" w:space="0"/>
              <w:right w:val="single" w:color="auto" w:sz="18" w:space="0"/>
            </w:tcBorders>
          </w:tcPr>
          <w:p>
            <w:pPr>
              <w:suppressAutoHyphens/>
              <w:spacing w:before="120" w:after="120" w:line="240" w:lineRule="atLeast"/>
              <w:ind w:firstLine="422"/>
              <w:textAlignment w:val="auto"/>
              <w:rPr>
                <w:b/>
                <w:bCs/>
                <w:color w:val="000000"/>
                <w:szCs w:val="21"/>
              </w:rPr>
            </w:pPr>
          </w:p>
        </w:tc>
        <w:tc>
          <w:tcPr>
            <w:tcW w:w="2105" w:type="dxa"/>
            <w:tcBorders>
              <w:top w:val="single" w:color="auto" w:sz="18" w:space="0"/>
              <w:left w:val="single" w:color="auto" w:sz="18" w:space="0"/>
              <w:bottom w:val="single" w:color="auto" w:sz="18" w:space="0"/>
              <w:right w:val="single" w:color="auto" w:sz="18" w:space="0"/>
            </w:tcBorders>
          </w:tcPr>
          <w:p>
            <w:pPr>
              <w:tabs>
                <w:tab w:val="decimal" w:pos="695"/>
              </w:tabs>
              <w:suppressAutoHyphens/>
              <w:spacing w:before="120" w:after="120" w:line="240" w:lineRule="atLeast"/>
              <w:ind w:firstLine="422"/>
              <w:textAlignment w:val="auto"/>
              <w:rPr>
                <w:b/>
                <w:bCs/>
                <w:color w:val="000000"/>
                <w:szCs w:val="21"/>
              </w:rPr>
            </w:pPr>
            <w:r>
              <w:rPr>
                <w:b/>
                <w:bCs/>
                <w:color w:val="000000"/>
                <w:szCs w:val="21"/>
              </w:rPr>
              <w:t>1.00</w:t>
            </w:r>
          </w:p>
        </w:tc>
      </w:tr>
    </w:tbl>
    <w:p>
      <w:pPr>
        <w:suppressAutoHyphens/>
        <w:spacing w:before="120" w:after="120" w:line="240" w:lineRule="atLeast"/>
        <w:ind w:right="289"/>
        <w:textAlignment w:val="auto"/>
        <w:rPr>
          <w:bCs/>
          <w:iCs/>
          <w:color w:val="000000"/>
          <w:szCs w:val="21"/>
        </w:rPr>
      </w:pPr>
    </w:p>
    <w:p>
      <w:pPr>
        <w:suppressAutoHyphens/>
        <w:spacing w:before="120" w:after="120" w:line="240" w:lineRule="atLeast"/>
        <w:ind w:right="289"/>
        <w:textAlignment w:val="auto"/>
        <w:rPr>
          <w:bCs/>
          <w:iCs/>
          <w:color w:val="000000"/>
          <w:szCs w:val="21"/>
        </w:rPr>
      </w:pPr>
    </w:p>
    <w:p>
      <w:pPr>
        <w:suppressAutoHyphens/>
        <w:spacing w:before="120" w:after="120" w:line="240" w:lineRule="atLeast"/>
        <w:ind w:right="289"/>
        <w:textAlignment w:val="auto"/>
        <w:rPr>
          <w:bCs/>
          <w:i/>
          <w:iCs/>
          <w:color w:val="000000"/>
          <w:szCs w:val="21"/>
        </w:rPr>
      </w:pPr>
      <w:r>
        <w:rPr>
          <w:rFonts w:hint="eastAsia"/>
          <w:bCs/>
          <w:i/>
          <w:iCs/>
          <w:color w:val="000000"/>
          <w:szCs w:val="21"/>
        </w:rPr>
        <w:t>[业主应在招标文件中规定A的数值，一般不超过0.15。</w:t>
      </w:r>
    </w:p>
    <w:p>
      <w:pPr>
        <w:suppressAutoHyphens/>
        <w:spacing w:before="120" w:after="120" w:line="240" w:lineRule="atLeast"/>
        <w:ind w:right="289"/>
        <w:textAlignment w:val="auto"/>
        <w:rPr>
          <w:bCs/>
          <w:i/>
          <w:iCs/>
          <w:color w:val="000000"/>
          <w:szCs w:val="21"/>
        </w:rPr>
      </w:pPr>
      <w:r>
        <w:rPr>
          <w:rFonts w:hint="eastAsia"/>
          <w:bCs/>
          <w:i/>
          <w:iCs/>
          <w:color w:val="000000"/>
          <w:szCs w:val="21"/>
        </w:rPr>
        <w:t>对于B、C、D和E等，业主应规定一个区间，投标人可在此区间内建议各权重的数值。</w:t>
      </w:r>
    </w:p>
    <w:p>
      <w:pPr>
        <w:suppressAutoHyphens/>
        <w:spacing w:before="120" w:after="120" w:line="240" w:lineRule="atLeast"/>
        <w:ind w:right="289"/>
        <w:textAlignment w:val="auto"/>
        <w:rPr>
          <w:bCs/>
          <w:i/>
          <w:iCs/>
          <w:color w:val="000000"/>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r>
        <w:rPr>
          <w:rFonts w:hint="eastAsia"/>
          <w:bCs/>
          <w:i/>
          <w:iCs/>
          <w:color w:val="000000"/>
          <w:szCs w:val="21"/>
        </w:rPr>
        <w:t>所有权重之和应为1.00]</w:t>
      </w:r>
    </w:p>
    <w:p>
      <w:pPr>
        <w:pStyle w:val="4"/>
      </w:pPr>
      <w:bookmarkStart w:id="1251" w:name="_Toc110262755"/>
      <w:bookmarkStart w:id="1252" w:name="_Toc171063125"/>
      <w:bookmarkStart w:id="1253" w:name="_Toc168753485"/>
      <w:bookmarkStart w:id="1254" w:name="_Toc110265191"/>
      <w:bookmarkStart w:id="1255" w:name="_Toc128397565"/>
      <w:bookmarkStart w:id="1256" w:name="_Toc110264955"/>
      <w:bookmarkStart w:id="1257" w:name="_Toc110264738"/>
      <w:bookmarkStart w:id="1258" w:name="_Toc169103261"/>
      <w:bookmarkStart w:id="1259" w:name="_Toc170312587"/>
      <w:bookmarkStart w:id="1260" w:name="_Toc110264410"/>
      <w:bookmarkStart w:id="1261" w:name="_Toc110267683"/>
      <w:bookmarkStart w:id="1262" w:name="_Toc110268529"/>
      <w:bookmarkStart w:id="1263" w:name="_Toc110264791"/>
      <w:bookmarkStart w:id="1264" w:name="_Toc110263949"/>
      <w:bookmarkStart w:id="1265" w:name="_Toc110272062"/>
      <w:r>
        <w:rPr>
          <w:rFonts w:hint="eastAsia"/>
        </w:rPr>
        <w:t>投标保证金（银行保函）</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spacing w:before="120" w:after="120" w:line="240" w:lineRule="atLeast"/>
        <w:jc w:val="left"/>
        <w:textAlignment w:val="auto"/>
        <w:rPr>
          <w:szCs w:val="21"/>
          <w:lang w:val="es-ES"/>
        </w:rPr>
      </w:pPr>
    </w:p>
    <w:p>
      <w:pPr>
        <w:spacing w:before="120" w:after="120" w:line="240" w:lineRule="atLeast"/>
        <w:jc w:val="left"/>
        <w:textAlignment w:val="auto"/>
        <w:rPr>
          <w:i/>
          <w:szCs w:val="21"/>
          <w:lang w:val="es-ES"/>
        </w:rPr>
      </w:pPr>
      <w:r>
        <w:rPr>
          <w:rFonts w:hint="eastAsia"/>
          <w:szCs w:val="21"/>
          <w:lang w:val="es-ES"/>
        </w:rPr>
        <w:t>受益人：_</w:t>
      </w:r>
      <w:r>
        <w:rPr>
          <w:szCs w:val="21"/>
          <w:lang w:val="es-ES"/>
        </w:rPr>
        <w:t>___________________</w:t>
      </w:r>
    </w:p>
    <w:p>
      <w:pPr>
        <w:spacing w:before="120" w:after="120" w:line="240" w:lineRule="atLeast"/>
        <w:jc w:val="left"/>
        <w:textAlignment w:val="auto"/>
        <w:rPr>
          <w:szCs w:val="21"/>
          <w:lang w:val="es-ES"/>
        </w:rPr>
      </w:pPr>
      <w:r>
        <w:rPr>
          <w:szCs w:val="21"/>
          <w:lang w:val="es-ES"/>
        </w:rPr>
        <w:t>投标保函编号：</w:t>
      </w:r>
      <w:r>
        <w:rPr>
          <w:rFonts w:hint="eastAsia"/>
          <w:szCs w:val="21"/>
          <w:lang w:val="es-ES"/>
        </w:rPr>
        <w:t>_</w:t>
      </w:r>
      <w:r>
        <w:rPr>
          <w:szCs w:val="21"/>
          <w:lang w:val="es-ES"/>
        </w:rPr>
        <w:t>_____________</w:t>
      </w:r>
    </w:p>
    <w:p>
      <w:pPr>
        <w:spacing w:before="120" w:after="120" w:line="240" w:lineRule="atLeast"/>
        <w:ind w:firstLine="420" w:firstLineChars="200"/>
        <w:jc w:val="left"/>
        <w:textAlignment w:val="auto"/>
        <w:rPr>
          <w:szCs w:val="21"/>
        </w:rPr>
      </w:pPr>
    </w:p>
    <w:p>
      <w:pPr>
        <w:spacing w:before="120" w:after="120" w:line="240" w:lineRule="atLeast"/>
        <w:ind w:firstLine="420" w:firstLineChars="200"/>
        <w:textAlignment w:val="auto"/>
        <w:rPr>
          <w:szCs w:val="21"/>
        </w:rPr>
      </w:pPr>
      <w:r>
        <w:rPr>
          <w:szCs w:val="21"/>
        </w:rPr>
        <w:t>为满足</w:t>
      </w:r>
      <w:r>
        <w:rPr>
          <w:rFonts w:hint="eastAsia"/>
          <w:szCs w:val="21"/>
          <w:lang w:val="es-ES"/>
        </w:rPr>
        <w:t>_</w:t>
      </w:r>
      <w:r>
        <w:rPr>
          <w:szCs w:val="21"/>
          <w:lang w:val="es-ES"/>
        </w:rPr>
        <w:t>___________________</w:t>
      </w:r>
      <w:r>
        <w:rPr>
          <w:iCs/>
          <w:szCs w:val="21"/>
        </w:rPr>
        <w:t>（以下简称</w:t>
      </w:r>
      <w:r>
        <w:rPr>
          <w:rFonts w:hint="eastAsia"/>
          <w:iCs/>
          <w:szCs w:val="21"/>
        </w:rPr>
        <w:t>“</w:t>
      </w:r>
      <w:r>
        <w:rPr>
          <w:iCs/>
          <w:szCs w:val="21"/>
        </w:rPr>
        <w:t>投标人</w:t>
      </w:r>
      <w:r>
        <w:rPr>
          <w:rFonts w:hint="eastAsia"/>
          <w:iCs/>
          <w:szCs w:val="21"/>
        </w:rPr>
        <w:t>”</w:t>
      </w:r>
      <w:r>
        <w:rPr>
          <w:iCs/>
          <w:szCs w:val="21"/>
        </w:rPr>
        <w:t>）响应</w:t>
      </w:r>
      <w:r>
        <w:rPr>
          <w:rFonts w:hint="eastAsia"/>
          <w:szCs w:val="21"/>
          <w:lang w:val="es-ES"/>
        </w:rPr>
        <w:t>_</w:t>
      </w:r>
      <w:r>
        <w:rPr>
          <w:szCs w:val="21"/>
          <w:lang w:val="es-ES"/>
        </w:rPr>
        <w:t>_________________</w:t>
      </w:r>
      <w:r>
        <w:rPr>
          <w:iCs/>
          <w:szCs w:val="21"/>
        </w:rPr>
        <w:t>号</w:t>
      </w:r>
      <w:r>
        <w:rPr>
          <w:i/>
          <w:iCs/>
          <w:szCs w:val="21"/>
        </w:rPr>
        <w:t xml:space="preserve"> </w:t>
      </w:r>
      <w:r>
        <w:rPr>
          <w:rFonts w:hint="eastAsia"/>
          <w:iCs/>
          <w:szCs w:val="21"/>
        </w:rPr>
        <w:t>“投标邀请函”的邀请，参加为</w:t>
      </w:r>
      <w:r>
        <w:rPr>
          <w:rFonts w:hint="eastAsia"/>
          <w:szCs w:val="21"/>
          <w:lang w:val="es-ES"/>
        </w:rPr>
        <w:t>_</w:t>
      </w:r>
      <w:r>
        <w:rPr>
          <w:szCs w:val="21"/>
          <w:lang w:val="es-ES"/>
        </w:rPr>
        <w:t>________________</w:t>
      </w:r>
      <w:r>
        <w:rPr>
          <w:rFonts w:hint="eastAsia"/>
          <w:szCs w:val="21"/>
          <w:lang w:val="es-ES"/>
        </w:rPr>
        <w:t>（业主）</w:t>
      </w:r>
      <w:r>
        <w:rPr>
          <w:iCs/>
          <w:szCs w:val="21"/>
        </w:rPr>
        <w:t>实施</w:t>
      </w:r>
      <w:r>
        <w:rPr>
          <w:rFonts w:hint="eastAsia"/>
          <w:iCs/>
          <w:szCs w:val="21"/>
        </w:rPr>
        <w:t>的</w:t>
      </w:r>
      <w:r>
        <w:rPr>
          <w:rFonts w:hint="eastAsia"/>
          <w:szCs w:val="21"/>
          <w:lang w:val="es-ES"/>
        </w:rPr>
        <w:t>_</w:t>
      </w:r>
      <w:r>
        <w:rPr>
          <w:szCs w:val="21"/>
          <w:lang w:val="es-ES"/>
        </w:rPr>
        <w:t>___________________</w:t>
      </w:r>
      <w:r>
        <w:rPr>
          <w:rFonts w:hint="eastAsia"/>
        </w:rPr>
        <w:t>项目（合同编号：</w:t>
      </w:r>
      <w:r>
        <w:t>_____________</w:t>
      </w:r>
      <w:r>
        <w:rPr>
          <w:rFonts w:hint="eastAsia"/>
        </w:rPr>
        <w:t>）</w:t>
      </w:r>
      <w:r>
        <w:rPr>
          <w:iCs/>
          <w:szCs w:val="21"/>
        </w:rPr>
        <w:t xml:space="preserve"> 的</w:t>
      </w:r>
      <w:r>
        <w:rPr>
          <w:szCs w:val="21"/>
        </w:rPr>
        <w:t>投标需要，</w:t>
      </w:r>
      <w:r>
        <w:rPr>
          <w:rFonts w:hint="eastAsia"/>
          <w:szCs w:val="21"/>
          <w:lang w:val="es-ES"/>
        </w:rPr>
        <w:t>_</w:t>
      </w:r>
      <w:r>
        <w:rPr>
          <w:szCs w:val="21"/>
          <w:lang w:val="es-ES"/>
        </w:rPr>
        <w:t>___________________</w:t>
      </w:r>
      <w:r>
        <w:rPr>
          <w:rFonts w:hint="eastAsia"/>
          <w:szCs w:val="21"/>
          <w:lang w:val="es-ES"/>
        </w:rPr>
        <w:t>银行</w:t>
      </w:r>
      <w:r>
        <w:rPr>
          <w:szCs w:val="21"/>
        </w:rPr>
        <w:t>在此无条件地和不可撤销地保证，在收到贵方书面要求后即向</w:t>
      </w:r>
      <w:r>
        <w:rPr>
          <w:rFonts w:hint="eastAsia"/>
          <w:szCs w:val="21"/>
        </w:rPr>
        <w:t>贵</w:t>
      </w:r>
      <w:r>
        <w:rPr>
          <w:szCs w:val="21"/>
        </w:rPr>
        <w:t>方支付无追索权的人民币</w:t>
      </w:r>
      <w:r>
        <w:rPr>
          <w:rFonts w:hint="eastAsia"/>
          <w:szCs w:val="21"/>
          <w:lang w:val="es-ES"/>
        </w:rPr>
        <w:t>_</w:t>
      </w:r>
      <w:r>
        <w:rPr>
          <w:szCs w:val="21"/>
          <w:lang w:val="es-ES"/>
        </w:rPr>
        <w:t>____________</w:t>
      </w:r>
      <w:r>
        <w:rPr>
          <w:rFonts w:hint="eastAsia"/>
          <w:szCs w:val="21"/>
          <w:lang w:val="es-ES"/>
        </w:rPr>
        <w:t>元</w:t>
      </w:r>
      <w:r>
        <w:rPr>
          <w:szCs w:val="21"/>
        </w:rPr>
        <w:t>。该保证对</w:t>
      </w:r>
      <w:r>
        <w:rPr>
          <w:rFonts w:hint="eastAsia"/>
          <w:szCs w:val="21"/>
        </w:rPr>
        <w:t>本行、本行的继任人、受让人都具有拘束力。贵方的书面要求应说明以下事项：</w:t>
      </w:r>
      <w:r>
        <w:rPr>
          <w:szCs w:val="21"/>
        </w:rPr>
        <w:t xml:space="preserve"> </w:t>
      </w:r>
    </w:p>
    <w:p>
      <w:pPr>
        <w:pStyle w:val="102"/>
        <w:numPr>
          <w:ilvl w:val="0"/>
          <w:numId w:val="20"/>
        </w:numPr>
        <w:spacing w:before="120" w:after="120" w:line="240" w:lineRule="atLeast"/>
        <w:ind w:firstLineChars="0"/>
        <w:jc w:val="left"/>
        <w:rPr>
          <w:szCs w:val="21"/>
        </w:rPr>
      </w:pPr>
      <w:r>
        <w:rPr>
          <w:szCs w:val="21"/>
        </w:rPr>
        <w:t>投标人在其投标函所述的投标有效期内撤回</w:t>
      </w:r>
      <w:r>
        <w:rPr>
          <w:rFonts w:hint="eastAsia"/>
          <w:szCs w:val="21"/>
        </w:rPr>
        <w:t>了</w:t>
      </w:r>
      <w:r>
        <w:rPr>
          <w:szCs w:val="21"/>
        </w:rPr>
        <w:t>其投标</w:t>
      </w:r>
      <w:r>
        <w:rPr>
          <w:rFonts w:hint="eastAsia"/>
          <w:szCs w:val="21"/>
        </w:rPr>
        <w:t>文件</w:t>
      </w:r>
      <w:r>
        <w:rPr>
          <w:szCs w:val="21"/>
        </w:rPr>
        <w:t>；</w:t>
      </w:r>
    </w:p>
    <w:p>
      <w:pPr>
        <w:pStyle w:val="102"/>
        <w:numPr>
          <w:ilvl w:val="0"/>
          <w:numId w:val="20"/>
        </w:numPr>
        <w:spacing w:before="120" w:after="120" w:line="240" w:lineRule="atLeast"/>
        <w:ind w:firstLineChars="0"/>
        <w:jc w:val="left"/>
        <w:rPr>
          <w:szCs w:val="21"/>
        </w:rPr>
      </w:pPr>
      <w:r>
        <w:rPr>
          <w:rFonts w:hint="eastAsia"/>
          <w:szCs w:val="21"/>
        </w:rPr>
        <w:t>投标人在其投标函所述的投标有效期内收到</w:t>
      </w:r>
      <w:r>
        <w:rPr>
          <w:rFonts w:hint="eastAsia"/>
          <w:szCs w:val="21"/>
          <w:lang w:val="es-ES"/>
        </w:rPr>
        <w:t>业主</w:t>
      </w:r>
      <w:r>
        <w:rPr>
          <w:rFonts w:hint="eastAsia"/>
          <w:szCs w:val="21"/>
        </w:rPr>
        <w:t>发出的中标通知书后，（</w:t>
      </w:r>
      <w:r>
        <w:rPr>
          <w:szCs w:val="21"/>
        </w:rPr>
        <w:t>i</w:t>
      </w:r>
      <w:r>
        <w:rPr>
          <w:rFonts w:hint="eastAsia"/>
          <w:szCs w:val="21"/>
        </w:rPr>
        <w:t>）</w:t>
      </w:r>
      <w:r>
        <w:rPr>
          <w:szCs w:val="21"/>
        </w:rPr>
        <w:t>未能或拒绝与</w:t>
      </w:r>
      <w:r>
        <w:rPr>
          <w:rFonts w:hint="eastAsia"/>
          <w:szCs w:val="21"/>
          <w:lang w:val="es-ES"/>
        </w:rPr>
        <w:t>业主</w:t>
      </w:r>
      <w:r>
        <w:rPr>
          <w:szCs w:val="21"/>
        </w:rPr>
        <w:t>签订合同；或</w:t>
      </w:r>
      <w:r>
        <w:rPr>
          <w:rFonts w:hint="eastAsia"/>
          <w:szCs w:val="21"/>
        </w:rPr>
        <w:t>（ii）</w:t>
      </w:r>
      <w:r>
        <w:rPr>
          <w:szCs w:val="21"/>
        </w:rPr>
        <w:t>未</w:t>
      </w:r>
      <w:r>
        <w:rPr>
          <w:rFonts w:hint="eastAsia"/>
          <w:szCs w:val="21"/>
        </w:rPr>
        <w:t>能或拒绝按照“投标人须知”的规定提交履约保证金。</w:t>
      </w:r>
    </w:p>
    <w:p>
      <w:pPr>
        <w:spacing w:before="120" w:after="120" w:line="240" w:lineRule="atLeast"/>
        <w:ind w:firstLine="420" w:firstLineChars="200"/>
        <w:textAlignment w:val="auto"/>
        <w:rPr>
          <w:szCs w:val="21"/>
        </w:rPr>
      </w:pPr>
      <w:r>
        <w:rPr>
          <w:rFonts w:hint="eastAsia"/>
          <w:szCs w:val="21"/>
        </w:rPr>
        <w:t>本保函在出现下列情形之一时失效：</w:t>
      </w:r>
    </w:p>
    <w:p>
      <w:pPr>
        <w:pStyle w:val="102"/>
        <w:numPr>
          <w:ilvl w:val="0"/>
          <w:numId w:val="21"/>
        </w:numPr>
        <w:spacing w:before="120" w:after="120" w:line="240" w:lineRule="atLeast"/>
        <w:ind w:firstLineChars="0"/>
        <w:jc w:val="left"/>
        <w:rPr>
          <w:szCs w:val="21"/>
        </w:rPr>
      </w:pPr>
      <w:r>
        <w:rPr>
          <w:rFonts w:hint="eastAsia"/>
          <w:szCs w:val="21"/>
        </w:rPr>
        <w:t>如果该投标人中标，则在我行收到该投标人签署的合同副本和按该投标人旨意而开具给贵方的履约保函副本；</w:t>
      </w:r>
    </w:p>
    <w:p>
      <w:pPr>
        <w:pStyle w:val="102"/>
        <w:numPr>
          <w:ilvl w:val="0"/>
          <w:numId w:val="21"/>
        </w:numPr>
        <w:spacing w:before="120" w:after="120" w:line="240" w:lineRule="atLeast"/>
        <w:ind w:firstLineChars="0"/>
        <w:jc w:val="left"/>
        <w:rPr>
          <w:szCs w:val="21"/>
        </w:rPr>
      </w:pPr>
      <w:r>
        <w:rPr>
          <w:rFonts w:hint="eastAsia"/>
          <w:szCs w:val="21"/>
        </w:rPr>
        <w:t>如果该投标人没有中标，则在我行收到贵方发给该投标人关于中标人情况的通知书副本时，或在该投标人的投标有效期届满</w:t>
      </w:r>
      <w:r>
        <w:rPr>
          <w:szCs w:val="21"/>
        </w:rPr>
        <w:t>28</w:t>
      </w:r>
      <w:r>
        <w:rPr>
          <w:rFonts w:hint="eastAsia"/>
          <w:szCs w:val="21"/>
        </w:rPr>
        <w:t>天后，以先到者为准。</w:t>
      </w:r>
    </w:p>
    <w:p>
      <w:pPr>
        <w:spacing w:before="120" w:after="120" w:line="240" w:lineRule="atLeast"/>
        <w:ind w:firstLine="420" w:firstLineChars="200"/>
        <w:textAlignment w:val="auto"/>
        <w:rPr>
          <w:szCs w:val="21"/>
        </w:rPr>
      </w:pPr>
      <w:r>
        <w:rPr>
          <w:rFonts w:hint="eastAsia"/>
          <w:szCs w:val="21"/>
        </w:rPr>
        <w:t>因此，任何根据本保函提出的付款要求都必须在上述日期前送达我行。</w:t>
      </w:r>
    </w:p>
    <w:p>
      <w:pPr>
        <w:spacing w:before="120" w:after="120" w:line="240" w:lineRule="atLeast"/>
        <w:ind w:firstLine="420" w:firstLineChars="200"/>
        <w:textAlignment w:val="auto"/>
        <w:rPr>
          <w:szCs w:val="21"/>
        </w:rPr>
      </w:pPr>
      <w:bookmarkStart w:id="1266" w:name="_Hlk13041106"/>
      <w:r>
        <w:rPr>
          <w:szCs w:val="21"/>
        </w:rPr>
        <w:t>本保函受《</w:t>
      </w:r>
      <w:r>
        <w:rPr>
          <w:rFonts w:hint="eastAsia"/>
          <w:szCs w:val="21"/>
        </w:rPr>
        <w:t>见索即付保函统一规则》（国际商会第</w:t>
      </w:r>
      <w:r>
        <w:rPr>
          <w:szCs w:val="21"/>
        </w:rPr>
        <w:t>758</w:t>
      </w:r>
      <w:r>
        <w:rPr>
          <w:rFonts w:hint="eastAsia"/>
          <w:szCs w:val="21"/>
        </w:rPr>
        <w:t>号出版物）的约束。</w:t>
      </w:r>
    </w:p>
    <w:bookmarkEnd w:id="1266"/>
    <w:p>
      <w:pPr>
        <w:widowControl/>
        <w:spacing w:before="120" w:after="120" w:line="240" w:lineRule="atLeast"/>
        <w:jc w:val="left"/>
        <w:textAlignment w:val="auto"/>
        <w:rPr>
          <w:szCs w:val="21"/>
        </w:rPr>
      </w:pPr>
    </w:p>
    <w:p>
      <w:pPr>
        <w:widowControl/>
        <w:spacing w:before="120" w:after="120" w:line="240" w:lineRule="atLeast"/>
        <w:textAlignment w:val="auto"/>
        <w:rPr>
          <w:iCs/>
          <w:szCs w:val="21"/>
        </w:rPr>
      </w:pPr>
    </w:p>
    <w:p>
      <w:pPr>
        <w:widowControl/>
        <w:spacing w:before="120" w:after="120" w:line="240" w:lineRule="atLeast"/>
        <w:ind w:firstLine="420" w:firstLineChars="200"/>
        <w:jc w:val="right"/>
        <w:textAlignment w:val="auto"/>
        <w:rPr>
          <w:i/>
          <w:szCs w:val="21"/>
        </w:rPr>
      </w:pPr>
      <w:r>
        <w:rPr>
          <w:rFonts w:hint="eastAsia"/>
          <w:szCs w:val="21"/>
        </w:rPr>
        <w:t>授权人：</w:t>
      </w:r>
      <w:r>
        <w:rPr>
          <w:szCs w:val="21"/>
        </w:rPr>
        <w:t>________________</w:t>
      </w:r>
    </w:p>
    <w:p>
      <w:pPr>
        <w:widowControl/>
        <w:spacing w:before="120" w:after="120" w:line="240" w:lineRule="atLeast"/>
        <w:ind w:firstLine="420" w:firstLineChars="200"/>
        <w:jc w:val="right"/>
        <w:textAlignment w:val="auto"/>
        <w:rPr>
          <w:szCs w:val="21"/>
        </w:rPr>
      </w:pPr>
      <w:r>
        <w:rPr>
          <w:rFonts w:hint="eastAsia"/>
          <w:szCs w:val="21"/>
        </w:rPr>
        <w:t>职务：________________</w:t>
      </w:r>
    </w:p>
    <w:p>
      <w:pPr>
        <w:widowControl/>
        <w:spacing w:before="120" w:after="120" w:line="240" w:lineRule="atLeast"/>
        <w:ind w:firstLine="420" w:firstLineChars="200"/>
        <w:jc w:val="right"/>
        <w:textAlignment w:val="auto"/>
        <w:rPr>
          <w:szCs w:val="21"/>
        </w:rPr>
      </w:pPr>
      <w:r>
        <w:rPr>
          <w:szCs w:val="21"/>
        </w:rPr>
        <w:t xml:space="preserve">  </w:t>
      </w:r>
    </w:p>
    <w:p>
      <w:pPr>
        <w:widowControl/>
        <w:spacing w:before="120" w:after="120" w:line="240" w:lineRule="atLeast"/>
        <w:ind w:right="-237" w:firstLine="420" w:firstLineChars="200"/>
        <w:jc w:val="right"/>
        <w:textAlignment w:val="auto"/>
        <w:rPr>
          <w:szCs w:val="21"/>
        </w:rPr>
      </w:pPr>
      <w:r>
        <w:rPr>
          <w:rFonts w:hint="eastAsia"/>
          <w:szCs w:val="21"/>
        </w:rPr>
        <w:t>银行</w:t>
      </w:r>
      <w:r>
        <w:rPr>
          <w:szCs w:val="21"/>
        </w:rPr>
        <w:t>名称：</w:t>
      </w:r>
      <w:r>
        <w:rPr>
          <w:rFonts w:hint="eastAsia"/>
          <w:szCs w:val="21"/>
        </w:rPr>
        <w:t>________________</w:t>
      </w:r>
    </w:p>
    <w:p>
      <w:pPr>
        <w:spacing w:before="120" w:after="120" w:line="240" w:lineRule="atLeast"/>
        <w:ind w:firstLine="420" w:firstLineChars="200"/>
        <w:jc w:val="right"/>
        <w:textAlignment w:val="auto"/>
        <w:rPr>
          <w:szCs w:val="21"/>
        </w:rPr>
      </w:pPr>
      <w:r>
        <w:rPr>
          <w:rFonts w:hint="eastAsia"/>
          <w:szCs w:val="21"/>
        </w:rPr>
        <w:t xml:space="preserve">（加盖公章） </w:t>
      </w:r>
      <w:r>
        <w:rPr>
          <w:szCs w:val="21"/>
        </w:rPr>
        <w:t xml:space="preserve"> </w:t>
      </w:r>
    </w:p>
    <w:p>
      <w:pPr>
        <w:widowControl/>
        <w:spacing w:before="120" w:after="120" w:line="240" w:lineRule="atLeast"/>
        <w:ind w:firstLine="420" w:firstLineChars="200"/>
        <w:jc w:val="right"/>
        <w:textAlignment w:val="auto"/>
        <w:rPr>
          <w:iCs/>
          <w:szCs w:val="21"/>
        </w:rPr>
      </w:pPr>
      <w:r>
        <w:rPr>
          <w:rFonts w:hint="eastAsia"/>
          <w:iCs/>
          <w:szCs w:val="21"/>
        </w:rPr>
        <w:t>地址：________________</w:t>
      </w:r>
    </w:p>
    <w:p>
      <w:pPr>
        <w:widowControl/>
        <w:spacing w:before="120" w:after="120" w:line="240" w:lineRule="atLeast"/>
        <w:ind w:firstLine="420" w:firstLineChars="200"/>
        <w:jc w:val="right"/>
        <w:textAlignment w:val="auto"/>
        <w:rPr>
          <w:iCs/>
          <w:szCs w:val="21"/>
        </w:rPr>
      </w:pPr>
      <w:r>
        <w:rPr>
          <w:rFonts w:hint="eastAsia"/>
          <w:szCs w:val="21"/>
        </w:rPr>
        <w:t>日期：</w:t>
      </w:r>
      <w:r>
        <w:rPr>
          <w:rFonts w:hint="eastAsia"/>
          <w:iCs/>
          <w:szCs w:val="21"/>
        </w:rPr>
        <w:t>________________</w:t>
      </w:r>
    </w:p>
    <w:p>
      <w:pPr>
        <w:pStyle w:val="57"/>
        <w:adjustRightInd w:val="0"/>
        <w:snapToGrid w:val="0"/>
        <w:spacing w:before="120" w:beforeAutospacing="0" w:after="120" w:afterAutospacing="0" w:line="240" w:lineRule="atLeast"/>
        <w:ind w:right="288"/>
        <w:rPr>
          <w:rFonts w:ascii="Times New Roman" w:hAnsi="Times New Roman" w:eastAsia="宋体"/>
          <w:i/>
          <w:color w:val="000000"/>
          <w:sz w:val="21"/>
          <w:szCs w:val="21"/>
          <w:lang w:eastAsia="zh-CN"/>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pPr>
      <w:bookmarkStart w:id="1267" w:name="_Toc110264411"/>
      <w:bookmarkStart w:id="1268" w:name="_Toc110267684"/>
      <w:bookmarkStart w:id="1269" w:name="_Toc164169029"/>
      <w:bookmarkStart w:id="1270" w:name="_Toc169103262"/>
      <w:bookmarkStart w:id="1271" w:name="_Toc391287343"/>
      <w:bookmarkStart w:id="1272" w:name="_Toc324772211"/>
      <w:bookmarkStart w:id="1273" w:name="_Toc110272063"/>
      <w:bookmarkStart w:id="1274" w:name="_Toc110264956"/>
      <w:bookmarkStart w:id="1275" w:name="_Toc110264792"/>
      <w:bookmarkStart w:id="1276" w:name="_Toc110268530"/>
      <w:bookmarkStart w:id="1277" w:name="_Toc110265192"/>
      <w:bookmarkStart w:id="1278" w:name="_Toc110263950"/>
      <w:bookmarkStart w:id="1279" w:name="_Toc324771995"/>
      <w:bookmarkStart w:id="1280" w:name="_Toc110262756"/>
      <w:bookmarkStart w:id="1281" w:name="_Toc170312588"/>
      <w:bookmarkStart w:id="1282" w:name="_Toc171063126"/>
      <w:bookmarkStart w:id="1283" w:name="_Toc110264739"/>
      <w:r>
        <w:t>技术建议书</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textAlignment w:val="auto"/>
        <w:rPr>
          <w:i/>
          <w:iCs/>
        </w:rPr>
      </w:pPr>
      <w:bookmarkStart w:id="1284" w:name="_Toc536450592"/>
      <w:bookmarkStart w:id="1285" w:name="_Toc391287344"/>
      <w:bookmarkStart w:id="1286" w:name="_Toc324771996"/>
      <w:bookmarkStart w:id="1287" w:name="_Toc164169030"/>
      <w:bookmarkStart w:id="1288" w:name="_Toc324772212"/>
      <w:r>
        <w:rPr>
          <w:rFonts w:hint="eastAsia"/>
          <w:b/>
          <w:bCs/>
          <w:i/>
          <w:iCs/>
        </w:rPr>
        <w:t>注：</w:t>
      </w:r>
      <w:r>
        <w:rPr>
          <w:rFonts w:hint="eastAsia"/>
          <w:i/>
          <w:iCs/>
        </w:rPr>
        <w:t>技术建议书应至少包含但不限于：人员、设备、施工组织计划、施工方法、动员计划、施工进度计划、</w:t>
      </w:r>
      <w:bookmarkStart w:id="1289" w:name="_Hlk62129245"/>
      <w:r>
        <w:rPr>
          <w:rFonts w:hint="eastAsia"/>
          <w:i/>
          <w:iCs/>
        </w:rPr>
        <w:t>疫情期间特定场所健康与安全管理计划</w:t>
      </w:r>
      <w:bookmarkEnd w:id="1289"/>
      <w:r>
        <w:rPr>
          <w:rFonts w:hint="eastAsia"/>
          <w:i/>
          <w:iCs/>
        </w:rPr>
        <w:t>等内容。</w:t>
      </w:r>
      <w:bookmarkEnd w:id="1284"/>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人员</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设备</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现场组织</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施工方法</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进场计划</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施工进度</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环境-社会-健康-安全管理策略和实施方案</w:t>
      </w:r>
    </w:p>
    <w:p>
      <w:pPr>
        <w:tabs>
          <w:tab w:val="right" w:pos="9000"/>
        </w:tabs>
        <w:ind w:left="360" w:right="288"/>
        <w:textAlignment w:val="auto"/>
        <w:rPr>
          <w:b/>
          <w:bCs/>
        </w:rPr>
      </w:pPr>
    </w:p>
    <w:p>
      <w:pPr>
        <w:tabs>
          <w:tab w:val="right" w:pos="9000"/>
        </w:tabs>
        <w:ind w:left="360" w:right="288"/>
        <w:textAlignment w:val="auto"/>
        <w:rPr>
          <w:b/>
          <w:bCs/>
        </w:rPr>
      </w:pPr>
    </w:p>
    <w:p>
      <w:pPr>
        <w:tabs>
          <w:tab w:val="right" w:pos="9000"/>
        </w:tabs>
        <w:ind w:left="360" w:right="288"/>
        <w:textAlignment w:val="auto"/>
        <w:rPr>
          <w:b/>
          <w:bCs/>
        </w:rPr>
      </w:pPr>
      <w:r>
        <w:rPr>
          <w:rFonts w:hint="eastAsia"/>
          <w:b/>
          <w:bCs/>
        </w:rPr>
        <w:t>环境-社会-健康-安全行为准则</w:t>
      </w:r>
    </w:p>
    <w:p>
      <w:pPr>
        <w:tabs>
          <w:tab w:val="right" w:pos="9000"/>
        </w:tabs>
        <w:ind w:left="360" w:right="288"/>
        <w:textAlignment w:val="auto"/>
        <w:rPr>
          <w:b/>
          <w:bCs/>
        </w:rPr>
      </w:pPr>
    </w:p>
    <w:p>
      <w:pPr>
        <w:widowControl/>
        <w:adjustRightInd/>
        <w:spacing w:line="240" w:lineRule="auto"/>
        <w:ind w:firstLine="360"/>
        <w:jc w:val="left"/>
        <w:textAlignment w:val="auto"/>
        <w:rPr>
          <w:b/>
          <w:bCs/>
          <w:lang w:eastAsia="zh-CN"/>
        </w:rPr>
      </w:pPr>
      <w:r>
        <w:rPr>
          <w:rFonts w:hint="eastAsia"/>
          <w:b/>
          <w:bCs/>
        </w:rPr>
        <w:t>其它</w:t>
      </w:r>
      <w:r>
        <w:rPr>
          <w:b/>
          <w:bCs/>
        </w:rPr>
        <w:br w:type="page"/>
      </w:r>
    </w:p>
    <w:p>
      <w:pPr>
        <w:pStyle w:val="4"/>
      </w:pPr>
      <w:bookmarkStart w:id="1290" w:name="_Toc110264412"/>
      <w:bookmarkStart w:id="1291" w:name="_Toc110267685"/>
      <w:bookmarkStart w:id="1292" w:name="_Toc171063127"/>
      <w:bookmarkStart w:id="1293" w:name="_Toc110263951"/>
      <w:bookmarkStart w:id="1294" w:name="_Toc170312589"/>
      <w:bookmarkStart w:id="1295" w:name="_Toc169103263"/>
      <w:bookmarkStart w:id="1296" w:name="_Toc110262757"/>
      <w:r>
        <w:t>人员</w:t>
      </w:r>
      <w:bookmarkEnd w:id="1290"/>
      <w:bookmarkEnd w:id="1291"/>
      <w:bookmarkEnd w:id="1292"/>
      <w:bookmarkEnd w:id="1293"/>
      <w:bookmarkEnd w:id="1294"/>
      <w:bookmarkEnd w:id="1295"/>
      <w:bookmarkEnd w:id="1296"/>
    </w:p>
    <w:p>
      <w:pPr>
        <w:pStyle w:val="99"/>
        <w:spacing w:before="120" w:after="120" w:line="240" w:lineRule="atLeast"/>
        <w:ind w:firstLine="422" w:firstLineChars="200"/>
        <w:rPr>
          <w:rFonts w:ascii="Times New Roman" w:hAnsi="Times New Roman"/>
          <w:color w:val="000000"/>
          <w:szCs w:val="21"/>
          <w:lang w:eastAsia="zh-CN"/>
        </w:rPr>
      </w:pPr>
      <w:r>
        <w:rPr>
          <w:rFonts w:ascii="Times New Roman" w:hAnsi="Times New Roman"/>
          <w:color w:val="000000"/>
          <w:sz w:val="21"/>
          <w:szCs w:val="21"/>
          <w:lang w:val="en-US" w:eastAsia="zh-CN"/>
        </w:rPr>
        <w:t>表</w:t>
      </w:r>
      <w:r>
        <w:rPr>
          <w:rFonts w:hint="eastAsia" w:ascii="Times New Roman" w:hAnsi="Times New Roman"/>
          <w:color w:val="000000"/>
          <w:sz w:val="21"/>
          <w:szCs w:val="21"/>
          <w:lang w:val="en-US" w:eastAsia="zh-CN"/>
        </w:rPr>
        <w:t>2.5.1：</w:t>
      </w:r>
      <w:r>
        <w:rPr>
          <w:rFonts w:ascii="Times New Roman" w:hAnsi="Times New Roman"/>
          <w:color w:val="000000"/>
          <w:sz w:val="21"/>
          <w:szCs w:val="21"/>
          <w:lang w:eastAsia="zh-CN"/>
        </w:rPr>
        <w:t>建议的人员</w:t>
      </w:r>
    </w:p>
    <w:p>
      <w:pPr>
        <w:pStyle w:val="99"/>
        <w:spacing w:before="120" w:after="120" w:line="240" w:lineRule="atLeast"/>
        <w:ind w:firstLine="420" w:firstLineChars="200"/>
        <w:jc w:val="both"/>
        <w:rPr>
          <w:rFonts w:ascii="Times New Roman" w:hAnsi="Times New Roman"/>
          <w:color w:val="000000"/>
          <w:szCs w:val="21"/>
          <w:lang w:eastAsia="zh-CN"/>
        </w:rPr>
      </w:pPr>
      <w:r>
        <w:rPr>
          <w:rFonts w:ascii="Times New Roman" w:hAnsi="Times New Roman"/>
          <w:b w:val="0"/>
          <w:color w:val="000000"/>
          <w:sz w:val="21"/>
          <w:szCs w:val="21"/>
          <w:lang w:eastAsia="zh-CN"/>
        </w:rPr>
        <w:t>投标人</w:t>
      </w:r>
      <w:r>
        <w:rPr>
          <w:rFonts w:hint="eastAsia" w:ascii="Times New Roman" w:hAnsi="Times New Roman"/>
          <w:b w:val="0"/>
          <w:color w:val="000000"/>
          <w:sz w:val="21"/>
          <w:szCs w:val="21"/>
          <w:lang w:eastAsia="zh-CN"/>
        </w:rPr>
        <w:t>应</w:t>
      </w:r>
      <w:r>
        <w:rPr>
          <w:rFonts w:ascii="Times New Roman" w:hAnsi="Times New Roman"/>
          <w:b w:val="0"/>
          <w:color w:val="000000"/>
          <w:sz w:val="21"/>
          <w:szCs w:val="21"/>
          <w:lang w:eastAsia="zh-CN"/>
        </w:rPr>
        <w:t>提供</w:t>
      </w:r>
      <w:r>
        <w:rPr>
          <w:rFonts w:hint="eastAsia" w:ascii="Times New Roman" w:hAnsi="Times New Roman"/>
          <w:b w:val="0"/>
          <w:color w:val="000000"/>
          <w:sz w:val="21"/>
          <w:szCs w:val="21"/>
          <w:lang w:eastAsia="zh-CN"/>
        </w:rPr>
        <w:t>满足第三章资历要求的各岗位</w:t>
      </w:r>
      <w:r>
        <w:rPr>
          <w:rFonts w:ascii="Times New Roman" w:hAnsi="Times New Roman"/>
          <w:b w:val="0"/>
          <w:color w:val="000000"/>
          <w:sz w:val="21"/>
          <w:szCs w:val="21"/>
          <w:lang w:eastAsia="zh-CN"/>
        </w:rPr>
        <w:t>人员</w:t>
      </w:r>
      <w:r>
        <w:rPr>
          <w:rFonts w:hint="eastAsia" w:ascii="Times New Roman" w:hAnsi="Times New Roman"/>
          <w:b w:val="0"/>
          <w:color w:val="000000"/>
          <w:sz w:val="21"/>
          <w:szCs w:val="21"/>
          <w:lang w:eastAsia="zh-CN"/>
        </w:rPr>
        <w:t>资料</w:t>
      </w:r>
      <w:r>
        <w:rPr>
          <w:rFonts w:ascii="Times New Roman" w:hAnsi="Times New Roman"/>
          <w:b w:val="0"/>
          <w:color w:val="000000"/>
          <w:sz w:val="21"/>
          <w:szCs w:val="21"/>
          <w:lang w:eastAsia="zh-CN"/>
        </w:rPr>
        <w:t>。</w:t>
      </w:r>
    </w:p>
    <w:tbl>
      <w:tblPr>
        <w:tblStyle w:val="62"/>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65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bottom w:val="nil"/>
            </w:tcBorders>
          </w:tcPr>
          <w:p>
            <w:pPr>
              <w:suppressAutoHyphens/>
              <w:spacing w:before="120" w:after="120"/>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1.</w:t>
            </w: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职位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top w:val="nil"/>
            </w:tcBorders>
          </w:tcPr>
          <w:p>
            <w:pPr>
              <w:suppressAutoHyphens/>
              <w:spacing w:before="120" w:after="120"/>
              <w:jc w:val="center"/>
              <w:textAlignment w:val="auto"/>
              <w:rPr>
                <w:rStyle w:val="100"/>
                <w:rFonts w:ascii="Times New Roman" w:hAnsi="Times New Roman"/>
                <w:bCs/>
                <w:color w:val="000000"/>
                <w:spacing w:val="-2"/>
                <w:szCs w:val="21"/>
              </w:rPr>
            </w:pP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姓名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bottom w:val="nil"/>
            </w:tcBorders>
          </w:tcPr>
          <w:p>
            <w:pPr>
              <w:suppressAutoHyphens/>
              <w:spacing w:before="120" w:after="120"/>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2.</w:t>
            </w: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职位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top w:val="nil"/>
            </w:tcBorders>
          </w:tcPr>
          <w:p>
            <w:pPr>
              <w:suppressAutoHyphens/>
              <w:spacing w:before="120" w:after="120"/>
              <w:jc w:val="center"/>
              <w:textAlignment w:val="auto"/>
              <w:rPr>
                <w:rStyle w:val="100"/>
                <w:rFonts w:ascii="Times New Roman" w:hAnsi="Times New Roman"/>
                <w:bCs/>
                <w:color w:val="000000"/>
                <w:spacing w:val="-2"/>
                <w:szCs w:val="21"/>
              </w:rPr>
            </w:pP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姓名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bottom w:val="nil"/>
            </w:tcBorders>
          </w:tcPr>
          <w:p>
            <w:pPr>
              <w:suppressAutoHyphens/>
              <w:spacing w:before="120" w:after="120"/>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3.</w:t>
            </w: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职位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top w:val="nil"/>
            </w:tcBorders>
          </w:tcPr>
          <w:p>
            <w:pPr>
              <w:suppressAutoHyphens/>
              <w:spacing w:before="120" w:after="120"/>
              <w:jc w:val="center"/>
              <w:textAlignment w:val="auto"/>
              <w:rPr>
                <w:rStyle w:val="100"/>
                <w:rFonts w:ascii="Times New Roman" w:hAnsi="Times New Roman"/>
                <w:bCs/>
                <w:color w:val="000000"/>
                <w:spacing w:val="-2"/>
                <w:szCs w:val="21"/>
              </w:rPr>
            </w:pP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姓名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bottom w:val="nil"/>
            </w:tcBorders>
          </w:tcPr>
          <w:p>
            <w:pPr>
              <w:suppressAutoHyphens/>
              <w:spacing w:before="120" w:after="120"/>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5.</w:t>
            </w: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职位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top w:val="nil"/>
            </w:tcBorders>
          </w:tcPr>
          <w:p>
            <w:pPr>
              <w:suppressAutoHyphens/>
              <w:spacing w:before="120" w:after="120"/>
              <w:jc w:val="center"/>
              <w:textAlignment w:val="auto"/>
              <w:rPr>
                <w:rStyle w:val="100"/>
                <w:rFonts w:ascii="Times New Roman" w:hAnsi="Times New Roman"/>
                <w:bCs/>
                <w:color w:val="000000"/>
                <w:spacing w:val="-2"/>
                <w:szCs w:val="21"/>
              </w:rPr>
            </w:pP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姓名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bottom w:val="nil"/>
            </w:tcBorders>
          </w:tcPr>
          <w:p>
            <w:pPr>
              <w:suppressAutoHyphens/>
              <w:spacing w:before="120" w:after="120"/>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6.</w:t>
            </w: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职位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658" w:type="dxa"/>
            <w:tcBorders>
              <w:top w:val="nil"/>
            </w:tcBorders>
          </w:tcPr>
          <w:p>
            <w:pPr>
              <w:suppressAutoHyphens/>
              <w:spacing w:before="120" w:after="120"/>
              <w:jc w:val="center"/>
              <w:textAlignment w:val="auto"/>
              <w:rPr>
                <w:rStyle w:val="100"/>
                <w:rFonts w:ascii="Times New Roman" w:hAnsi="Times New Roman"/>
                <w:bCs/>
                <w:color w:val="000000"/>
                <w:spacing w:val="-2"/>
                <w:szCs w:val="21"/>
              </w:rPr>
            </w:pPr>
          </w:p>
        </w:tc>
        <w:tc>
          <w:tcPr>
            <w:tcW w:w="7645" w:type="dxa"/>
          </w:tcPr>
          <w:p>
            <w:pPr>
              <w:suppressAutoHyphens/>
              <w:spacing w:before="120" w:after="120"/>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姓名</w:t>
            </w:r>
            <w:r>
              <w:rPr>
                <w:rStyle w:val="100"/>
                <w:rFonts w:hint="eastAsia" w:ascii="Times New Roman" w:hAnsi="Times New Roman"/>
                <w:bCs/>
                <w:color w:val="000000"/>
                <w:spacing w:val="-2"/>
                <w:szCs w:val="21"/>
              </w:rPr>
              <w:t>：</w:t>
            </w:r>
            <w:r>
              <w:rPr>
                <w:bCs/>
                <w:i/>
                <w:iCs/>
                <w:szCs w:val="21"/>
                <w:lang w:val="es-ES"/>
              </w:rPr>
              <w:t>_______________________</w:t>
            </w:r>
            <w:r>
              <w:rPr>
                <w:bCs/>
                <w:iCs/>
                <w:szCs w:val="21"/>
                <w:lang w:val="es-ES"/>
              </w:rPr>
              <w:t>_</w:t>
            </w:r>
          </w:p>
        </w:tc>
      </w:tr>
    </w:tbl>
    <w:p>
      <w:pPr>
        <w:tabs>
          <w:tab w:val="right" w:pos="9000"/>
        </w:tabs>
        <w:spacing w:before="120" w:after="120"/>
        <w:ind w:firstLine="422"/>
        <w:textAlignment w:val="auto"/>
        <w:rPr>
          <w:b/>
          <w:bCs/>
          <w:color w:val="000000"/>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spacing w:before="120" w:after="120" w:line="240" w:lineRule="atLeast"/>
        <w:ind w:firstLine="422" w:firstLineChars="200"/>
        <w:textAlignment w:val="auto"/>
        <w:rPr>
          <w:b/>
          <w:bCs/>
          <w:color w:val="000000"/>
          <w:szCs w:val="21"/>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spacing w:before="120" w:after="120" w:line="240" w:lineRule="atLeast"/>
        <w:ind w:firstLine="422" w:firstLineChars="200"/>
        <w:jc w:val="center"/>
        <w:textAlignment w:val="auto"/>
        <w:rPr>
          <w:b/>
          <w:bCs/>
          <w:color w:val="000000"/>
          <w:szCs w:val="21"/>
        </w:rPr>
      </w:pPr>
      <w:r>
        <w:rPr>
          <w:b/>
          <w:bCs/>
          <w:color w:val="000000"/>
          <w:szCs w:val="21"/>
        </w:rPr>
        <w:t>表</w:t>
      </w:r>
      <w:r>
        <w:rPr>
          <w:rFonts w:hint="eastAsia"/>
          <w:b/>
          <w:bCs/>
          <w:color w:val="000000"/>
          <w:szCs w:val="21"/>
        </w:rPr>
        <w:t>2.5.2：</w:t>
      </w:r>
      <w:r>
        <w:rPr>
          <w:b/>
          <w:bCs/>
          <w:color w:val="000000"/>
          <w:szCs w:val="21"/>
        </w:rPr>
        <w:t>推荐人员履历表</w:t>
      </w:r>
    </w:p>
    <w:p>
      <w:pPr>
        <w:spacing w:before="120" w:after="120" w:line="240" w:lineRule="atLeast"/>
        <w:ind w:firstLine="420" w:firstLineChars="200"/>
        <w:textAlignment w:val="auto"/>
        <w:rPr>
          <w:bCs/>
          <w:color w:val="000000"/>
          <w:szCs w:val="21"/>
        </w:rPr>
      </w:pPr>
      <w:r>
        <w:rPr>
          <w:rFonts w:hint="eastAsia"/>
          <w:bCs/>
          <w:color w:val="000000"/>
          <w:szCs w:val="21"/>
        </w:rPr>
        <w:t>投标人应提供下述全部信息。</w:t>
      </w:r>
    </w:p>
    <w:tbl>
      <w:tblPr>
        <w:tblStyle w:val="62"/>
        <w:tblW w:w="8297" w:type="dxa"/>
        <w:tblInd w:w="0" w:type="dxa"/>
        <w:tblLayout w:type="fixed"/>
        <w:tblCellMar>
          <w:top w:w="0" w:type="dxa"/>
          <w:left w:w="72" w:type="dxa"/>
          <w:bottom w:w="0" w:type="dxa"/>
          <w:right w:w="72" w:type="dxa"/>
        </w:tblCellMar>
      </w:tblPr>
      <w:tblGrid>
        <w:gridCol w:w="1611"/>
        <w:gridCol w:w="3344"/>
        <w:gridCol w:w="3342"/>
      </w:tblGrid>
      <w:tr>
        <w:tblPrEx>
          <w:tblLayout w:type="fixed"/>
          <w:tblCellMar>
            <w:top w:w="0" w:type="dxa"/>
            <w:left w:w="72" w:type="dxa"/>
            <w:bottom w:w="0" w:type="dxa"/>
            <w:right w:w="72" w:type="dxa"/>
          </w:tblCellMar>
        </w:tblPrEx>
        <w:trPr>
          <w:cantSplit/>
          <w:trHeight w:val="451" w:hRule="atLeast"/>
        </w:trPr>
        <w:tc>
          <w:tcPr>
            <w:tcW w:w="8297" w:type="dxa"/>
            <w:gridSpan w:val="3"/>
            <w:tcBorders>
              <w:top w:val="single" w:color="auto" w:sz="6" w:space="0"/>
              <w:left w:val="single" w:color="auto" w:sz="6" w:space="0"/>
              <w:right w:val="single" w:color="auto" w:sz="6" w:space="0"/>
            </w:tcBorders>
          </w:tcPr>
          <w:p>
            <w:pPr>
              <w:tabs>
                <w:tab w:val="left" w:pos="1638"/>
                <w:tab w:val="left" w:pos="1998"/>
              </w:tabs>
              <w:suppressAutoHyphens/>
              <w:spacing w:before="120" w:after="120" w:line="240" w:lineRule="atLeast"/>
              <w:ind w:firstLine="396"/>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职位</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tc>
      </w:tr>
      <w:tr>
        <w:tblPrEx>
          <w:tblLayout w:type="fixed"/>
          <w:tblCellMar>
            <w:top w:w="0" w:type="dxa"/>
            <w:left w:w="72" w:type="dxa"/>
            <w:bottom w:w="0" w:type="dxa"/>
            <w:right w:w="72" w:type="dxa"/>
          </w:tblCellMar>
        </w:tblPrEx>
        <w:trPr>
          <w:cantSplit/>
          <w:trHeight w:val="567" w:hRule="atLeast"/>
        </w:trPr>
        <w:tc>
          <w:tcPr>
            <w:tcW w:w="1611" w:type="dxa"/>
            <w:tcBorders>
              <w:top w:val="single" w:color="auto" w:sz="6" w:space="0"/>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人员资料</w:t>
            </w:r>
          </w:p>
        </w:tc>
        <w:tc>
          <w:tcPr>
            <w:tcW w:w="3344" w:type="dxa"/>
            <w:tcBorders>
              <w:top w:val="single" w:color="auto" w:sz="6" w:space="0"/>
              <w:lef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姓名</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tc>
        <w:tc>
          <w:tcPr>
            <w:tcW w:w="3342" w:type="dxa"/>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iCs/>
                <w:sz w:val="21"/>
                <w:szCs w:val="21"/>
                <w:lang w:val="es-ES"/>
              </w:rPr>
            </w:pPr>
            <w:r>
              <w:rPr>
                <w:rStyle w:val="100"/>
                <w:rFonts w:ascii="Times New Roman" w:hAnsi="Times New Roman"/>
                <w:bCs/>
                <w:iCs/>
                <w:color w:val="000000"/>
                <w:spacing w:val="-2"/>
                <w:szCs w:val="21"/>
              </w:rPr>
              <w:t>出生日期</w:t>
            </w:r>
            <w:r>
              <w:rPr>
                <w:rStyle w:val="100"/>
                <w:rFonts w:hint="eastAsia" w:ascii="Times New Roman" w:hAnsi="Times New Roman"/>
                <w:bCs/>
                <w:iCs/>
                <w:color w:val="000000"/>
                <w:spacing w:val="-2"/>
                <w:szCs w:val="21"/>
              </w:rPr>
              <w:t>：</w:t>
            </w:r>
            <w:r>
              <w:rPr>
                <w:i/>
                <w:iCs/>
                <w:szCs w:val="21"/>
                <w:lang w:val="es-ES"/>
              </w:rPr>
              <w:t>_____________________</w:t>
            </w:r>
          </w:p>
        </w:tc>
      </w:tr>
      <w:tr>
        <w:tblPrEx>
          <w:tblLayout w:type="fixed"/>
          <w:tblCellMar>
            <w:top w:w="0" w:type="dxa"/>
            <w:left w:w="72" w:type="dxa"/>
            <w:bottom w:w="0" w:type="dxa"/>
            <w:right w:w="72" w:type="dxa"/>
          </w:tblCellMar>
        </w:tblPrEx>
        <w:trPr>
          <w:cantSplit/>
          <w:trHeight w:val="567" w:hRule="atLeast"/>
        </w:trPr>
        <w:tc>
          <w:tcPr>
            <w:tcW w:w="1611" w:type="dxa"/>
            <w:tcBorders>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6686" w:type="dxa"/>
            <w:gridSpan w:val="2"/>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专业职称</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tc>
      </w:tr>
      <w:tr>
        <w:tblPrEx>
          <w:tblLayout w:type="fixed"/>
          <w:tblCellMar>
            <w:top w:w="0" w:type="dxa"/>
            <w:left w:w="72" w:type="dxa"/>
            <w:bottom w:w="0" w:type="dxa"/>
            <w:right w:w="72" w:type="dxa"/>
          </w:tblCellMar>
        </w:tblPrEx>
        <w:trPr>
          <w:cantSplit/>
          <w:trHeight w:val="567" w:hRule="atLeast"/>
        </w:trPr>
        <w:tc>
          <w:tcPr>
            <w:tcW w:w="1611" w:type="dxa"/>
            <w:tcBorders>
              <w:top w:val="single" w:color="auto" w:sz="6" w:space="0"/>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工作</w:t>
            </w:r>
            <w:r>
              <w:rPr>
                <w:rStyle w:val="100"/>
                <w:rFonts w:hint="eastAsia" w:ascii="Times New Roman" w:hAnsi="Times New Roman"/>
                <w:bCs/>
                <w:iCs/>
                <w:color w:val="000000"/>
                <w:spacing w:val="-2"/>
                <w:szCs w:val="21"/>
              </w:rPr>
              <w:t>单位</w:t>
            </w:r>
          </w:p>
        </w:tc>
        <w:tc>
          <w:tcPr>
            <w:tcW w:w="6686" w:type="dxa"/>
            <w:gridSpan w:val="2"/>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hint="eastAsia" w:ascii="Times New Roman" w:hAnsi="Times New Roman"/>
                <w:bCs/>
                <w:iCs/>
                <w:color w:val="000000"/>
                <w:spacing w:val="-2"/>
                <w:szCs w:val="21"/>
              </w:rPr>
              <w:t>单位</w:t>
            </w:r>
            <w:r>
              <w:rPr>
                <w:rStyle w:val="100"/>
                <w:rFonts w:ascii="Times New Roman" w:hAnsi="Times New Roman"/>
                <w:bCs/>
                <w:iCs/>
                <w:color w:val="000000"/>
                <w:spacing w:val="-2"/>
                <w:szCs w:val="21"/>
              </w:rPr>
              <w:t>名称</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tc>
      </w:tr>
      <w:tr>
        <w:tblPrEx>
          <w:tblLayout w:type="fixed"/>
          <w:tblCellMar>
            <w:top w:w="0" w:type="dxa"/>
            <w:left w:w="72" w:type="dxa"/>
            <w:bottom w:w="0" w:type="dxa"/>
            <w:right w:w="72" w:type="dxa"/>
          </w:tblCellMar>
        </w:tblPrEx>
        <w:trPr>
          <w:cantSplit/>
          <w:trHeight w:val="723" w:hRule="atLeast"/>
        </w:trPr>
        <w:tc>
          <w:tcPr>
            <w:tcW w:w="1611" w:type="dxa"/>
            <w:tcBorders>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6686" w:type="dxa"/>
            <w:gridSpan w:val="2"/>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hint="eastAsia" w:ascii="Times New Roman" w:hAnsi="Times New Roman"/>
                <w:bCs/>
                <w:iCs/>
                <w:color w:val="000000"/>
                <w:spacing w:val="-2"/>
                <w:szCs w:val="21"/>
              </w:rPr>
              <w:t>单位</w:t>
            </w:r>
            <w:r>
              <w:rPr>
                <w:rStyle w:val="100"/>
                <w:rFonts w:ascii="Times New Roman" w:hAnsi="Times New Roman"/>
                <w:bCs/>
                <w:iCs/>
                <w:color w:val="000000"/>
                <w:spacing w:val="-2"/>
                <w:szCs w:val="21"/>
              </w:rPr>
              <w:t>地址</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tc>
      </w:tr>
      <w:tr>
        <w:tblPrEx>
          <w:tblLayout w:type="fixed"/>
          <w:tblCellMar>
            <w:top w:w="0" w:type="dxa"/>
            <w:left w:w="72" w:type="dxa"/>
            <w:bottom w:w="0" w:type="dxa"/>
            <w:right w:w="72" w:type="dxa"/>
          </w:tblCellMar>
        </w:tblPrEx>
        <w:trPr>
          <w:cantSplit/>
          <w:trHeight w:val="567" w:hRule="atLeast"/>
        </w:trPr>
        <w:tc>
          <w:tcPr>
            <w:tcW w:w="1611" w:type="dxa"/>
            <w:tcBorders>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3344" w:type="dxa"/>
            <w:tcBorders>
              <w:top w:val="single" w:color="auto" w:sz="6" w:space="0"/>
              <w:lef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电话</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3342" w:type="dxa"/>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联系人</w:t>
            </w:r>
            <w:r>
              <w:rPr>
                <w:rStyle w:val="100"/>
                <w:rFonts w:hint="eastAsia" w:ascii="Times New Roman" w:hAnsi="Times New Roman"/>
                <w:bCs/>
                <w:iCs/>
                <w:color w:val="000000"/>
                <w:spacing w:val="-2"/>
                <w:szCs w:val="21"/>
              </w:rPr>
              <w:t>（</w:t>
            </w:r>
            <w:r>
              <w:rPr>
                <w:rStyle w:val="100"/>
                <w:rFonts w:ascii="Times New Roman" w:hAnsi="Times New Roman"/>
                <w:bCs/>
                <w:iCs/>
                <w:color w:val="000000"/>
                <w:spacing w:val="-2"/>
                <w:szCs w:val="21"/>
              </w:rPr>
              <w:t>经理或人事部官员</w:t>
            </w:r>
            <w:r>
              <w:rPr>
                <w:rStyle w:val="100"/>
                <w:rFonts w:hint="eastAsia" w:ascii="Times New Roman" w:hAnsi="Times New Roman"/>
                <w:bCs/>
                <w:iCs/>
                <w:color w:val="000000"/>
                <w:spacing w:val="-2"/>
                <w:szCs w:val="21"/>
              </w:rPr>
              <w:t>)：</w:t>
            </w:r>
          </w:p>
          <w:p>
            <w:pPr>
              <w:suppressAutoHyphens/>
              <w:spacing w:before="120" w:after="120" w:line="240" w:lineRule="atLeast"/>
              <w:textAlignment w:val="auto"/>
              <w:rPr>
                <w:rStyle w:val="100"/>
                <w:rFonts w:ascii="Times New Roman" w:hAnsi="Times New Roman"/>
                <w:bCs/>
                <w:iCs/>
                <w:color w:val="000000"/>
                <w:spacing w:val="-2"/>
                <w:szCs w:val="21"/>
              </w:rPr>
            </w:pPr>
            <w:r>
              <w:rPr>
                <w:i/>
                <w:iCs/>
                <w:szCs w:val="21"/>
                <w:lang w:val="es-ES"/>
              </w:rPr>
              <w:t>_____________________</w:t>
            </w:r>
          </w:p>
        </w:tc>
      </w:tr>
      <w:tr>
        <w:tblPrEx>
          <w:tblLayout w:type="fixed"/>
          <w:tblCellMar>
            <w:top w:w="0" w:type="dxa"/>
            <w:left w:w="72" w:type="dxa"/>
            <w:bottom w:w="0" w:type="dxa"/>
            <w:right w:w="72" w:type="dxa"/>
          </w:tblCellMar>
        </w:tblPrEx>
        <w:trPr>
          <w:cantSplit/>
          <w:trHeight w:val="567" w:hRule="atLeast"/>
        </w:trPr>
        <w:tc>
          <w:tcPr>
            <w:tcW w:w="1611" w:type="dxa"/>
            <w:tcBorders>
              <w:left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3344" w:type="dxa"/>
            <w:tcBorders>
              <w:top w:val="single" w:color="auto" w:sz="6" w:space="0"/>
              <w:lef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传真</w:t>
            </w:r>
            <w:r>
              <w:rPr>
                <w:rStyle w:val="100"/>
                <w:rFonts w:hint="eastAsia" w:ascii="Times New Roman" w:hAnsi="Times New Roman"/>
                <w:bCs/>
                <w:iCs/>
                <w:color w:val="000000"/>
                <w:spacing w:val="-2"/>
                <w:szCs w:val="21"/>
              </w:rPr>
              <w:t>：</w:t>
            </w:r>
            <w:r>
              <w:rPr>
                <w:i/>
                <w:iCs/>
                <w:szCs w:val="21"/>
                <w:lang w:val="es-ES"/>
              </w:rPr>
              <w:t>_______________________</w:t>
            </w:r>
            <w:r>
              <w:rPr>
                <w:iCs/>
                <w:szCs w:val="21"/>
                <w:lang w:val="es-ES"/>
              </w:rPr>
              <w:t>_</w:t>
            </w:r>
          </w:p>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3342" w:type="dxa"/>
            <w:tcBorders>
              <w:top w:val="single" w:color="auto" w:sz="6" w:space="0"/>
              <w:left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电子邮件</w:t>
            </w:r>
            <w:r>
              <w:rPr>
                <w:rStyle w:val="100"/>
                <w:rFonts w:hint="eastAsia" w:ascii="Times New Roman" w:hAnsi="Times New Roman"/>
                <w:bCs/>
                <w:iCs/>
                <w:color w:val="000000"/>
                <w:spacing w:val="-2"/>
                <w:szCs w:val="21"/>
              </w:rPr>
              <w:t>：</w:t>
            </w:r>
            <w:r>
              <w:rPr>
                <w:i/>
                <w:iCs/>
                <w:szCs w:val="21"/>
                <w:lang w:val="es-ES"/>
              </w:rPr>
              <w:t>____________________</w:t>
            </w:r>
          </w:p>
        </w:tc>
      </w:tr>
      <w:tr>
        <w:tblPrEx>
          <w:tblLayout w:type="fixed"/>
          <w:tblCellMar>
            <w:top w:w="0" w:type="dxa"/>
            <w:left w:w="72" w:type="dxa"/>
            <w:bottom w:w="0" w:type="dxa"/>
            <w:right w:w="72" w:type="dxa"/>
          </w:tblCellMar>
        </w:tblPrEx>
        <w:trPr>
          <w:cantSplit/>
          <w:trHeight w:val="567" w:hRule="atLeast"/>
        </w:trPr>
        <w:tc>
          <w:tcPr>
            <w:tcW w:w="1611" w:type="dxa"/>
            <w:tcBorders>
              <w:left w:val="single" w:color="auto" w:sz="6" w:space="0"/>
              <w:bottom w:val="single" w:color="auto" w:sz="6" w:space="0"/>
            </w:tcBorders>
          </w:tcPr>
          <w:p>
            <w:pPr>
              <w:suppressAutoHyphens/>
              <w:spacing w:before="120" w:after="120" w:line="240" w:lineRule="atLeast"/>
              <w:ind w:firstLine="396"/>
              <w:textAlignment w:val="auto"/>
              <w:rPr>
                <w:rStyle w:val="100"/>
                <w:rFonts w:ascii="Times New Roman" w:hAnsi="Times New Roman"/>
                <w:bCs/>
                <w:iCs/>
                <w:color w:val="000000"/>
                <w:spacing w:val="-2"/>
                <w:szCs w:val="21"/>
              </w:rPr>
            </w:pPr>
          </w:p>
        </w:tc>
        <w:tc>
          <w:tcPr>
            <w:tcW w:w="3344" w:type="dxa"/>
            <w:tcBorders>
              <w:top w:val="single" w:color="auto" w:sz="6" w:space="0"/>
              <w:left w:val="single" w:color="auto" w:sz="6" w:space="0"/>
              <w:bottom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工作职位</w:t>
            </w:r>
            <w:r>
              <w:rPr>
                <w:rStyle w:val="100"/>
                <w:rFonts w:hint="eastAsia" w:ascii="Times New Roman" w:hAnsi="Times New Roman"/>
                <w:bCs/>
                <w:iCs/>
                <w:color w:val="000000"/>
                <w:spacing w:val="-2"/>
                <w:szCs w:val="21"/>
              </w:rPr>
              <w:t>：</w:t>
            </w:r>
            <w:r>
              <w:rPr>
                <w:i/>
                <w:iCs/>
                <w:szCs w:val="21"/>
                <w:lang w:val="es-ES"/>
              </w:rPr>
              <w:t>____________________</w:t>
            </w:r>
          </w:p>
        </w:tc>
        <w:tc>
          <w:tcPr>
            <w:tcW w:w="3342" w:type="dxa"/>
            <w:tcBorders>
              <w:top w:val="single" w:color="auto" w:sz="6" w:space="0"/>
              <w:left w:val="single" w:color="auto" w:sz="6" w:space="0"/>
              <w:bottom w:val="single" w:color="auto" w:sz="6" w:space="0"/>
              <w:right w:val="single" w:color="auto" w:sz="6" w:space="0"/>
            </w:tcBorders>
          </w:tcPr>
          <w:p>
            <w:pPr>
              <w:suppressAutoHyphens/>
              <w:spacing w:before="120" w:after="120" w:line="240" w:lineRule="atLeast"/>
              <w:textAlignment w:val="auto"/>
              <w:rPr>
                <w:rStyle w:val="100"/>
                <w:rFonts w:ascii="Times New Roman" w:hAnsi="Times New Roman"/>
                <w:bCs/>
                <w:iCs/>
                <w:color w:val="000000"/>
                <w:spacing w:val="-2"/>
                <w:szCs w:val="21"/>
              </w:rPr>
            </w:pPr>
            <w:r>
              <w:rPr>
                <w:rStyle w:val="100"/>
                <w:rFonts w:ascii="Times New Roman" w:hAnsi="Times New Roman"/>
                <w:bCs/>
                <w:iCs/>
                <w:color w:val="000000"/>
                <w:spacing w:val="-2"/>
                <w:szCs w:val="21"/>
              </w:rPr>
              <w:t>在当前单位</w:t>
            </w:r>
            <w:r>
              <w:rPr>
                <w:rStyle w:val="100"/>
                <w:rFonts w:hint="eastAsia" w:ascii="Times New Roman" w:hAnsi="Times New Roman"/>
                <w:bCs/>
                <w:iCs/>
                <w:color w:val="000000"/>
                <w:spacing w:val="-2"/>
                <w:szCs w:val="21"/>
              </w:rPr>
              <w:t>的</w:t>
            </w:r>
            <w:r>
              <w:rPr>
                <w:rStyle w:val="100"/>
                <w:rFonts w:ascii="Times New Roman" w:hAnsi="Times New Roman"/>
                <w:bCs/>
                <w:iCs/>
                <w:color w:val="000000"/>
                <w:spacing w:val="-2"/>
                <w:szCs w:val="21"/>
              </w:rPr>
              <w:t>工作年限</w:t>
            </w:r>
            <w:r>
              <w:rPr>
                <w:rStyle w:val="100"/>
                <w:rFonts w:hint="eastAsia" w:ascii="Times New Roman" w:hAnsi="Times New Roman"/>
                <w:bCs/>
                <w:iCs/>
                <w:color w:val="000000"/>
                <w:spacing w:val="-2"/>
                <w:szCs w:val="21"/>
              </w:rPr>
              <w:t>：</w:t>
            </w:r>
            <w:r>
              <w:rPr>
                <w:i/>
                <w:iCs/>
                <w:szCs w:val="21"/>
                <w:lang w:val="es-ES"/>
              </w:rPr>
              <w:t>__________</w:t>
            </w:r>
          </w:p>
        </w:tc>
      </w:tr>
    </w:tbl>
    <w:p>
      <w:pPr>
        <w:spacing w:before="120" w:after="120" w:line="240" w:lineRule="atLeast"/>
        <w:ind w:firstLine="420" w:firstLineChars="200"/>
        <w:textAlignment w:val="auto"/>
        <w:rPr>
          <w:color w:val="000000"/>
          <w:szCs w:val="21"/>
        </w:rPr>
      </w:pPr>
    </w:p>
    <w:p>
      <w:pPr>
        <w:spacing w:before="120" w:after="120" w:line="240" w:lineRule="atLeast"/>
        <w:ind w:firstLine="420" w:firstLineChars="200"/>
        <w:textAlignment w:val="auto"/>
        <w:rPr>
          <w:rStyle w:val="100"/>
          <w:rFonts w:ascii="Times New Roman" w:hAnsi="Times New Roman"/>
          <w:b/>
          <w:bCs/>
          <w:iCs/>
          <w:color w:val="000000"/>
          <w:spacing w:val="-2"/>
          <w:szCs w:val="21"/>
        </w:rPr>
      </w:pPr>
      <w:r>
        <w:rPr>
          <w:color w:val="000000"/>
          <w:szCs w:val="21"/>
        </w:rPr>
        <w:t>按逆时间</w:t>
      </w:r>
      <w:r>
        <w:rPr>
          <w:bCs/>
          <w:color w:val="000000"/>
          <w:szCs w:val="21"/>
        </w:rPr>
        <w:t>顺序</w:t>
      </w:r>
      <w:r>
        <w:rPr>
          <w:color w:val="000000"/>
          <w:szCs w:val="21"/>
        </w:rPr>
        <w:t>，概述专业工作经历。重点说明与项目有关的技术和管理经验。</w:t>
      </w:r>
    </w:p>
    <w:tbl>
      <w:tblPr>
        <w:tblStyle w:val="62"/>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987"/>
        <w:gridCol w:w="986"/>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pacing w:before="120" w:after="120"/>
              <w:textAlignment w:val="auto"/>
              <w:rPr>
                <w:b/>
                <w:szCs w:val="21"/>
              </w:rPr>
            </w:pPr>
            <w:r>
              <w:rPr>
                <w:b/>
                <w:szCs w:val="21"/>
              </w:rPr>
              <w:t>从</w:t>
            </w:r>
          </w:p>
        </w:tc>
        <w:tc>
          <w:tcPr>
            <w:tcW w:w="986" w:type="dxa"/>
          </w:tcPr>
          <w:p>
            <w:pPr>
              <w:spacing w:before="120" w:after="120"/>
              <w:textAlignment w:val="auto"/>
              <w:rPr>
                <w:b/>
                <w:szCs w:val="21"/>
              </w:rPr>
            </w:pPr>
            <w:r>
              <w:rPr>
                <w:b/>
                <w:szCs w:val="21"/>
              </w:rPr>
              <w:t>至</w:t>
            </w:r>
          </w:p>
        </w:tc>
        <w:tc>
          <w:tcPr>
            <w:tcW w:w="6330" w:type="dxa"/>
          </w:tcPr>
          <w:p>
            <w:pPr>
              <w:spacing w:before="120" w:after="120"/>
              <w:ind w:firstLine="422"/>
              <w:jc w:val="center"/>
              <w:textAlignment w:val="auto"/>
              <w:rPr>
                <w:b/>
                <w:szCs w:val="21"/>
              </w:rPr>
            </w:pPr>
            <w:r>
              <w:rPr>
                <w:rFonts w:hint="eastAsia"/>
                <w:b/>
                <w:szCs w:val="21"/>
              </w:rPr>
              <w:t>工作单位、</w:t>
            </w:r>
            <w:r>
              <w:rPr>
                <w:b/>
                <w:szCs w:val="21"/>
              </w:rPr>
              <w:t>项目</w:t>
            </w:r>
            <w:r>
              <w:rPr>
                <w:rFonts w:hint="eastAsia"/>
                <w:b/>
                <w:szCs w:val="21"/>
              </w:rPr>
              <w:t>、</w:t>
            </w:r>
            <w:r>
              <w:rPr>
                <w:b/>
                <w:szCs w:val="21"/>
              </w:rPr>
              <w:t>职位</w:t>
            </w:r>
            <w:r>
              <w:rPr>
                <w:rFonts w:hint="eastAsia"/>
                <w:b/>
                <w:szCs w:val="21"/>
              </w:rPr>
              <w:t>、</w:t>
            </w:r>
            <w:r>
              <w:rPr>
                <w:b/>
                <w:szCs w:val="21"/>
              </w:rPr>
              <w:t>有关技术和管理经验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Ex>
        <w:trPr>
          <w:cantSplit/>
          <w:jc w:val="center"/>
        </w:trPr>
        <w:tc>
          <w:tcPr>
            <w:tcW w:w="987"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986"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c>
          <w:tcPr>
            <w:tcW w:w="6330" w:type="dxa"/>
          </w:tcPr>
          <w:p>
            <w:pPr>
              <w:suppressAutoHyphens/>
              <w:spacing w:before="120" w:after="120" w:line="240" w:lineRule="atLeast"/>
              <w:ind w:firstLine="396"/>
              <w:textAlignment w:val="auto"/>
              <w:rPr>
                <w:rStyle w:val="100"/>
                <w:rFonts w:ascii="Times New Roman" w:hAnsi="Times New Roman"/>
                <w:i/>
                <w:color w:val="000000"/>
                <w:spacing w:val="-2"/>
                <w:szCs w:val="21"/>
              </w:rPr>
            </w:pPr>
          </w:p>
        </w:tc>
      </w:tr>
    </w:tbl>
    <w:p>
      <w:pPr>
        <w:tabs>
          <w:tab w:val="left" w:pos="9360"/>
        </w:tabs>
        <w:spacing w:before="120" w:after="120"/>
        <w:ind w:left="180" w:right="289"/>
        <w:textAlignment w:val="auto"/>
        <w:rPr>
          <w:color w:val="000000"/>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5"/>
        <w:sectPr>
          <w:footerReference r:id="rId15" w:type="default"/>
          <w:footnotePr>
            <w:numRestart w:val="eachPage"/>
          </w:footnotePr>
          <w:endnotePr>
            <w:numFmt w:val="decimal"/>
          </w:endnotePr>
          <w:type w:val="continuous"/>
          <w:pgSz w:w="11907" w:h="16840"/>
          <w:pgMar w:top="1440" w:right="1797" w:bottom="1440" w:left="1797" w:header="851" w:footer="992" w:gutter="0"/>
          <w:cols w:space="425" w:num="1"/>
          <w:docGrid w:linePitch="286" w:charSpace="0"/>
        </w:sectPr>
      </w:pPr>
    </w:p>
    <w:p>
      <w:pPr>
        <w:pStyle w:val="4"/>
      </w:pPr>
      <w:bookmarkStart w:id="1297" w:name="_Toc110264413"/>
      <w:bookmarkStart w:id="1298" w:name="_Toc170312590"/>
      <w:bookmarkStart w:id="1299" w:name="_Toc391287345"/>
      <w:bookmarkStart w:id="1300" w:name="_Toc171063128"/>
      <w:bookmarkStart w:id="1301" w:name="_Toc110262758"/>
      <w:bookmarkStart w:id="1302" w:name="_Toc169103264"/>
      <w:bookmarkStart w:id="1303" w:name="_Toc324771997"/>
      <w:bookmarkStart w:id="1304" w:name="_Toc110263952"/>
      <w:bookmarkStart w:id="1305" w:name="_Toc324772213"/>
      <w:bookmarkStart w:id="1306" w:name="_Toc110267686"/>
      <w:r>
        <w:t>设备</w:t>
      </w:r>
      <w:bookmarkEnd w:id="1297"/>
      <w:bookmarkEnd w:id="1298"/>
      <w:bookmarkEnd w:id="1299"/>
      <w:bookmarkEnd w:id="1300"/>
      <w:bookmarkEnd w:id="1301"/>
      <w:bookmarkEnd w:id="1302"/>
      <w:bookmarkEnd w:id="1303"/>
      <w:bookmarkEnd w:id="1304"/>
      <w:bookmarkEnd w:id="1305"/>
      <w:bookmarkEnd w:id="1306"/>
    </w:p>
    <w:p>
      <w:pPr>
        <w:spacing w:before="120" w:after="120" w:line="240" w:lineRule="atLeast"/>
        <w:ind w:firstLine="420" w:firstLineChars="200"/>
        <w:textAlignment w:val="auto"/>
        <w:rPr>
          <w:bCs/>
          <w:color w:val="000000"/>
          <w:szCs w:val="21"/>
        </w:rPr>
      </w:pPr>
      <w:r>
        <w:rPr>
          <w:color w:val="000000"/>
          <w:szCs w:val="21"/>
        </w:rPr>
        <w:t>投标人应提供足够的</w:t>
      </w:r>
      <w:r>
        <w:rPr>
          <w:rFonts w:hint="eastAsia"/>
          <w:color w:val="000000"/>
          <w:szCs w:val="21"/>
        </w:rPr>
        <w:t>资料证明其</w:t>
      </w:r>
      <w:r>
        <w:rPr>
          <w:color w:val="000000"/>
          <w:szCs w:val="21"/>
        </w:rPr>
        <w:t>有能力满足第三章所列的主要设备要求。</w:t>
      </w:r>
      <w:r>
        <w:rPr>
          <w:rFonts w:hint="eastAsia"/>
          <w:color w:val="000000"/>
          <w:szCs w:val="21"/>
        </w:rPr>
        <w:t>对第三章</w:t>
      </w:r>
      <w:r>
        <w:rPr>
          <w:color w:val="000000"/>
          <w:szCs w:val="21"/>
        </w:rPr>
        <w:t>所列</w:t>
      </w:r>
      <w:r>
        <w:rPr>
          <w:rFonts w:hint="eastAsia"/>
          <w:color w:val="000000"/>
          <w:szCs w:val="21"/>
        </w:rPr>
        <w:t>的每一项</w:t>
      </w:r>
      <w:r>
        <w:rPr>
          <w:color w:val="000000"/>
          <w:szCs w:val="21"/>
        </w:rPr>
        <w:t>设备或投标人建议的</w:t>
      </w:r>
      <w:r>
        <w:rPr>
          <w:rFonts w:hint="eastAsia"/>
          <w:color w:val="000000"/>
          <w:szCs w:val="21"/>
        </w:rPr>
        <w:t>每一项</w:t>
      </w:r>
      <w:r>
        <w:rPr>
          <w:color w:val="000000"/>
          <w:szCs w:val="21"/>
        </w:rPr>
        <w:t>替代设备，</w:t>
      </w:r>
      <w:r>
        <w:rPr>
          <w:rFonts w:hint="eastAsia"/>
          <w:color w:val="000000"/>
          <w:szCs w:val="21"/>
        </w:rPr>
        <w:t>投标人均需</w:t>
      </w:r>
      <w:r>
        <w:rPr>
          <w:color w:val="000000"/>
          <w:szCs w:val="21"/>
        </w:rPr>
        <w:t>提供</w:t>
      </w:r>
      <w:r>
        <w:rPr>
          <w:rFonts w:hint="eastAsia"/>
          <w:color w:val="000000"/>
          <w:szCs w:val="21"/>
        </w:rPr>
        <w:t>单独的</w:t>
      </w:r>
      <w:r>
        <w:rPr>
          <w:color w:val="000000"/>
          <w:szCs w:val="21"/>
        </w:rPr>
        <w:t>表格。</w:t>
      </w:r>
      <w:r>
        <w:rPr>
          <w:rFonts w:hint="eastAsia"/>
          <w:bCs/>
          <w:color w:val="000000"/>
          <w:szCs w:val="21"/>
        </w:rPr>
        <w:t>投标人应尽可能地提供下述全部信息。</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3411"/>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3"/>
          </w:tcPr>
          <w:p>
            <w:pPr>
              <w:spacing w:before="120" w:after="120" w:line="240" w:lineRule="atLeast"/>
              <w:textAlignment w:val="auto"/>
              <w:rPr>
                <w:bCs/>
                <w:color w:val="000000"/>
                <w:szCs w:val="21"/>
              </w:rPr>
            </w:pPr>
            <w:r>
              <w:rPr>
                <w:bCs/>
                <w:color w:val="000000"/>
                <w:szCs w:val="21"/>
              </w:rPr>
              <w:t>设备</w:t>
            </w:r>
            <w:r>
              <w:rPr>
                <w:rFonts w:hint="eastAsia"/>
                <w:bCs/>
                <w:color w:val="000000"/>
                <w:szCs w:val="21"/>
              </w:rPr>
              <w:t>名称：</w:t>
            </w:r>
            <w:r>
              <w:rPr>
                <w:i/>
                <w:iCs/>
                <w:szCs w:val="21"/>
                <w:lang w:val="es-ES"/>
              </w:rPr>
              <w:t>_______________________</w:t>
            </w:r>
            <w:r>
              <w:rPr>
                <w:iCs/>
                <w:szCs w:val="21"/>
                <w:lang w:val="es-ES"/>
              </w:rPr>
              <w:t>_</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restart"/>
            <w:vAlign w:val="center"/>
          </w:tcPr>
          <w:p>
            <w:pPr>
              <w:spacing w:before="120" w:after="120" w:line="240" w:lineRule="atLeast"/>
              <w:jc w:val="center"/>
              <w:textAlignment w:val="auto"/>
              <w:rPr>
                <w:bCs/>
                <w:color w:val="000000"/>
                <w:szCs w:val="21"/>
              </w:rPr>
            </w:pPr>
            <w:r>
              <w:rPr>
                <w:bCs/>
                <w:color w:val="000000"/>
                <w:szCs w:val="21"/>
              </w:rPr>
              <w:t>设备信息</w:t>
            </w:r>
          </w:p>
        </w:tc>
        <w:tc>
          <w:tcPr>
            <w:tcW w:w="3411" w:type="dxa"/>
          </w:tcPr>
          <w:p>
            <w:pPr>
              <w:spacing w:before="120" w:after="120" w:line="240" w:lineRule="atLeast"/>
              <w:textAlignment w:val="auto"/>
              <w:rPr>
                <w:bCs/>
                <w:color w:val="000000"/>
                <w:szCs w:val="21"/>
              </w:rPr>
            </w:pPr>
            <w:r>
              <w:rPr>
                <w:bCs/>
                <w:color w:val="000000"/>
                <w:szCs w:val="21"/>
              </w:rPr>
              <w:t>制造商名称</w:t>
            </w:r>
            <w:r>
              <w:rPr>
                <w:rFonts w:hint="eastAsia"/>
                <w:bCs/>
                <w:color w:val="000000"/>
                <w:szCs w:val="21"/>
              </w:rPr>
              <w:t>：</w:t>
            </w:r>
            <w:r>
              <w:rPr>
                <w:i/>
                <w:iCs/>
                <w:szCs w:val="21"/>
                <w:lang w:val="es-ES"/>
              </w:rPr>
              <w:t>__________________</w:t>
            </w:r>
          </w:p>
        </w:tc>
        <w:tc>
          <w:tcPr>
            <w:tcW w:w="3409" w:type="dxa"/>
          </w:tcPr>
          <w:p>
            <w:pPr>
              <w:spacing w:before="120" w:after="120" w:line="240" w:lineRule="atLeast"/>
              <w:textAlignment w:val="auto"/>
              <w:rPr>
                <w:bCs/>
                <w:color w:val="000000"/>
                <w:szCs w:val="21"/>
              </w:rPr>
            </w:pPr>
            <w:r>
              <w:rPr>
                <w:bCs/>
                <w:color w:val="000000"/>
                <w:szCs w:val="21"/>
              </w:rPr>
              <w:t>型号</w:t>
            </w:r>
            <w:r>
              <w:rPr>
                <w:rFonts w:hint="eastAsia"/>
                <w:bCs/>
                <w:color w:val="000000"/>
                <w:szCs w:val="21"/>
              </w:rPr>
              <w:t>或</w:t>
            </w:r>
            <w:r>
              <w:rPr>
                <w:bCs/>
                <w:color w:val="000000"/>
                <w:szCs w:val="21"/>
              </w:rPr>
              <w:t>额定功率</w:t>
            </w:r>
            <w:r>
              <w:rPr>
                <w:rFonts w:hint="eastAsia"/>
                <w:bCs/>
                <w:color w:val="000000"/>
                <w:szCs w:val="21"/>
              </w:rPr>
              <w:t>：</w:t>
            </w:r>
            <w:r>
              <w:rPr>
                <w:i/>
                <w:iCs/>
                <w:szCs w:val="21"/>
                <w:lang w:val="es-ES"/>
              </w:rPr>
              <w:t>______________</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tcPr>
          <w:p>
            <w:pPr>
              <w:spacing w:before="120" w:after="120" w:line="240" w:lineRule="atLeast"/>
              <w:textAlignment w:val="auto"/>
              <w:rPr>
                <w:bCs/>
                <w:color w:val="000000"/>
                <w:szCs w:val="21"/>
              </w:rPr>
            </w:pPr>
          </w:p>
        </w:tc>
        <w:tc>
          <w:tcPr>
            <w:tcW w:w="3411" w:type="dxa"/>
          </w:tcPr>
          <w:p>
            <w:pPr>
              <w:spacing w:before="120" w:after="120" w:line="240" w:lineRule="atLeast"/>
              <w:textAlignment w:val="auto"/>
              <w:rPr>
                <w:bCs/>
                <w:color w:val="000000"/>
                <w:szCs w:val="21"/>
              </w:rPr>
            </w:pPr>
            <w:r>
              <w:rPr>
                <w:rFonts w:hint="eastAsia"/>
                <w:bCs/>
                <w:color w:val="000000"/>
                <w:szCs w:val="21"/>
              </w:rPr>
              <w:t>规格：</w:t>
            </w:r>
            <w:r>
              <w:rPr>
                <w:i/>
                <w:iCs/>
                <w:szCs w:val="21"/>
                <w:lang w:val="es-ES"/>
              </w:rPr>
              <w:t>_______________________</w:t>
            </w:r>
            <w:r>
              <w:rPr>
                <w:iCs/>
                <w:szCs w:val="21"/>
                <w:lang w:val="es-ES"/>
              </w:rPr>
              <w:t>_</w:t>
            </w:r>
          </w:p>
        </w:tc>
        <w:tc>
          <w:tcPr>
            <w:tcW w:w="3409" w:type="dxa"/>
          </w:tcPr>
          <w:p>
            <w:pPr>
              <w:spacing w:before="120" w:after="120" w:line="240" w:lineRule="atLeast"/>
              <w:textAlignment w:val="auto"/>
              <w:rPr>
                <w:bCs/>
                <w:color w:val="000000"/>
                <w:szCs w:val="21"/>
              </w:rPr>
            </w:pPr>
            <w:r>
              <w:rPr>
                <w:bCs/>
                <w:color w:val="000000"/>
                <w:szCs w:val="21"/>
              </w:rPr>
              <w:t>制造年份</w:t>
            </w:r>
            <w:r>
              <w:rPr>
                <w:rFonts w:hint="eastAsia"/>
                <w:bCs/>
                <w:color w:val="000000"/>
                <w:szCs w:val="21"/>
              </w:rPr>
              <w:t>：</w:t>
            </w:r>
            <w:r>
              <w:rPr>
                <w:i/>
                <w:iCs/>
                <w:szCs w:val="21"/>
                <w:lang w:val="es-ES"/>
              </w:rPr>
              <w:t>____________________</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restart"/>
            <w:vAlign w:val="center"/>
          </w:tcPr>
          <w:p>
            <w:pPr>
              <w:spacing w:before="120" w:after="120" w:line="240" w:lineRule="atLeast"/>
              <w:jc w:val="center"/>
              <w:textAlignment w:val="auto"/>
              <w:rPr>
                <w:bCs/>
                <w:color w:val="000000"/>
                <w:szCs w:val="21"/>
              </w:rPr>
            </w:pPr>
            <w:r>
              <w:rPr>
                <w:bCs/>
                <w:color w:val="000000"/>
                <w:szCs w:val="21"/>
              </w:rPr>
              <w:t>现状</w:t>
            </w:r>
          </w:p>
        </w:tc>
        <w:tc>
          <w:tcPr>
            <w:tcW w:w="6820" w:type="dxa"/>
            <w:gridSpan w:val="2"/>
          </w:tcPr>
          <w:p>
            <w:pPr>
              <w:spacing w:before="120" w:after="120" w:line="240" w:lineRule="atLeast"/>
              <w:textAlignment w:val="auto"/>
              <w:rPr>
                <w:bCs/>
                <w:color w:val="000000"/>
                <w:szCs w:val="21"/>
              </w:rPr>
            </w:pPr>
            <w:r>
              <w:rPr>
                <w:rFonts w:hint="eastAsia"/>
                <w:bCs/>
                <w:color w:val="000000"/>
                <w:szCs w:val="21"/>
              </w:rPr>
              <w:t>设备</w:t>
            </w:r>
            <w:r>
              <w:rPr>
                <w:bCs/>
                <w:color w:val="000000"/>
                <w:szCs w:val="21"/>
              </w:rPr>
              <w:t>目前所在</w:t>
            </w:r>
            <w:r>
              <w:rPr>
                <w:rFonts w:hint="eastAsia"/>
                <w:bCs/>
                <w:color w:val="000000"/>
                <w:szCs w:val="21"/>
              </w:rPr>
              <w:t>项目：</w:t>
            </w:r>
            <w:r>
              <w:rPr>
                <w:i/>
                <w:iCs/>
                <w:szCs w:val="21"/>
                <w:lang w:val="es-ES"/>
              </w:rPr>
              <w:t>_______________________</w:t>
            </w:r>
            <w:r>
              <w:rPr>
                <w:iCs/>
                <w:szCs w:val="21"/>
                <w:lang w:val="es-ES"/>
              </w:rPr>
              <w:t>_</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tcPr>
          <w:p>
            <w:pPr>
              <w:spacing w:before="120" w:after="120" w:line="240" w:lineRule="atLeast"/>
              <w:textAlignment w:val="auto"/>
              <w:rPr>
                <w:bCs/>
                <w:color w:val="000000"/>
                <w:szCs w:val="21"/>
              </w:rPr>
            </w:pPr>
          </w:p>
        </w:tc>
        <w:tc>
          <w:tcPr>
            <w:tcW w:w="6820" w:type="dxa"/>
            <w:gridSpan w:val="2"/>
          </w:tcPr>
          <w:p>
            <w:pPr>
              <w:spacing w:before="120" w:after="120" w:line="240" w:lineRule="atLeast"/>
              <w:textAlignment w:val="auto"/>
              <w:rPr>
                <w:bCs/>
                <w:color w:val="000000"/>
                <w:szCs w:val="21"/>
              </w:rPr>
            </w:pPr>
            <w:r>
              <w:rPr>
                <w:bCs/>
                <w:color w:val="000000"/>
                <w:szCs w:val="21"/>
              </w:rPr>
              <w:t>目前</w:t>
            </w:r>
            <w:r>
              <w:rPr>
                <w:rFonts w:hint="eastAsia"/>
                <w:bCs/>
                <w:color w:val="000000"/>
                <w:szCs w:val="21"/>
              </w:rPr>
              <w:t>所在项目的概况、进度和完工时间：</w:t>
            </w:r>
            <w:r>
              <w:rPr>
                <w:i/>
                <w:iCs/>
                <w:szCs w:val="21"/>
                <w:lang w:val="es-ES"/>
              </w:rPr>
              <w:t>_______________________</w:t>
            </w:r>
            <w:r>
              <w:rPr>
                <w:iCs/>
                <w:szCs w:val="21"/>
                <w:lang w:val="es-ES"/>
              </w:rPr>
              <w:t>_</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Align w:val="center"/>
          </w:tcPr>
          <w:p>
            <w:pPr>
              <w:spacing w:before="120" w:after="120" w:line="240" w:lineRule="atLeast"/>
              <w:jc w:val="center"/>
              <w:textAlignment w:val="auto"/>
              <w:rPr>
                <w:bCs/>
                <w:color w:val="000000"/>
                <w:szCs w:val="21"/>
              </w:rPr>
            </w:pPr>
            <w:r>
              <w:rPr>
                <w:bCs/>
                <w:color w:val="000000"/>
                <w:szCs w:val="21"/>
              </w:rPr>
              <w:t>来源</w:t>
            </w:r>
          </w:p>
        </w:tc>
        <w:tc>
          <w:tcPr>
            <w:tcW w:w="6820" w:type="dxa"/>
            <w:gridSpan w:val="2"/>
          </w:tcPr>
          <w:p>
            <w:pPr>
              <w:spacing w:before="120" w:after="120" w:line="240" w:lineRule="atLeast"/>
              <w:textAlignment w:val="auto"/>
              <w:rPr>
                <w:bCs/>
                <w:color w:val="000000"/>
                <w:szCs w:val="21"/>
              </w:rPr>
            </w:pPr>
            <w:r>
              <w:rPr>
                <w:bCs/>
                <w:color w:val="000000"/>
                <w:szCs w:val="21"/>
              </w:rPr>
              <w:t>设备的来源</w:t>
            </w:r>
          </w:p>
          <w:p>
            <w:pPr>
              <w:spacing w:before="120" w:after="120" w:line="240" w:lineRule="atLeast"/>
              <w:jc w:val="center"/>
              <w:textAlignment w:val="auto"/>
              <w:rPr>
                <w:bCs/>
                <w:color w:val="000000"/>
                <w:szCs w:val="21"/>
              </w:rPr>
            </w:pPr>
            <w:r>
              <w:rPr>
                <w:bCs/>
                <w:color w:val="000000"/>
                <w:szCs w:val="21"/>
              </w:rPr>
              <w:t>□</w:t>
            </w:r>
            <w:r>
              <w:rPr>
                <w:rFonts w:hint="eastAsia"/>
                <w:bCs/>
                <w:color w:val="000000"/>
                <w:szCs w:val="21"/>
              </w:rPr>
              <w:t>自</w:t>
            </w:r>
            <w:r>
              <w:rPr>
                <w:bCs/>
                <w:color w:val="000000"/>
                <w:szCs w:val="21"/>
              </w:rPr>
              <w:t>有　　　□租用　　　□</w:t>
            </w:r>
            <w:r>
              <w:rPr>
                <w:rFonts w:hint="eastAsia"/>
                <w:bCs/>
                <w:color w:val="000000"/>
                <w:szCs w:val="21"/>
              </w:rPr>
              <w:t>融资</w:t>
            </w:r>
            <w:r>
              <w:rPr>
                <w:bCs/>
                <w:color w:val="000000"/>
                <w:szCs w:val="21"/>
              </w:rPr>
              <w:t>租赁　　　□</w:t>
            </w:r>
            <w:r>
              <w:rPr>
                <w:rFonts w:hint="eastAsia"/>
                <w:bCs/>
                <w:color w:val="000000"/>
                <w:szCs w:val="21"/>
              </w:rPr>
              <w:t>定制</w:t>
            </w:r>
          </w:p>
        </w:tc>
      </w:tr>
    </w:tbl>
    <w:p>
      <w:pPr>
        <w:spacing w:before="120" w:after="120" w:line="240" w:lineRule="atLeast"/>
        <w:ind w:firstLine="420" w:firstLineChars="200"/>
        <w:textAlignment w:val="auto"/>
        <w:rPr>
          <w:bCs/>
          <w:color w:val="000000"/>
          <w:szCs w:val="21"/>
        </w:rPr>
      </w:pPr>
      <w:r>
        <w:rPr>
          <w:rFonts w:hint="eastAsia"/>
          <w:bCs/>
          <w:color w:val="000000"/>
          <w:szCs w:val="21"/>
        </w:rPr>
        <w:t>下述信息仅适用</w:t>
      </w:r>
      <w:r>
        <w:rPr>
          <w:bCs/>
          <w:color w:val="000000"/>
          <w:szCs w:val="21"/>
        </w:rPr>
        <w:t>于</w:t>
      </w:r>
      <w:r>
        <w:rPr>
          <w:rFonts w:hint="eastAsia"/>
          <w:bCs/>
          <w:color w:val="000000"/>
          <w:szCs w:val="21"/>
        </w:rPr>
        <w:t>非</w:t>
      </w:r>
      <w:r>
        <w:rPr>
          <w:bCs/>
          <w:color w:val="000000"/>
          <w:szCs w:val="21"/>
        </w:rPr>
        <w:t>投标人</w:t>
      </w:r>
      <w:r>
        <w:rPr>
          <w:rFonts w:hint="eastAsia"/>
          <w:bCs/>
          <w:color w:val="000000"/>
          <w:szCs w:val="21"/>
        </w:rPr>
        <w:t>自有</w:t>
      </w:r>
      <w:r>
        <w:rPr>
          <w:bCs/>
          <w:color w:val="000000"/>
          <w:szCs w:val="21"/>
        </w:rPr>
        <w:t>的设备</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519"/>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bottom w:val="nil"/>
            </w:tcBorders>
          </w:tcPr>
          <w:p>
            <w:pPr>
              <w:spacing w:before="120" w:after="120" w:line="240" w:lineRule="atLeast"/>
              <w:textAlignment w:val="auto"/>
              <w:rPr>
                <w:bCs/>
                <w:color w:val="000000"/>
                <w:szCs w:val="21"/>
              </w:rPr>
            </w:pPr>
            <w:r>
              <w:rPr>
                <w:rFonts w:hint="eastAsia"/>
                <w:bCs/>
                <w:color w:val="000000"/>
                <w:szCs w:val="21"/>
              </w:rPr>
              <w:t>设备</w:t>
            </w:r>
            <w:r>
              <w:rPr>
                <w:bCs/>
                <w:color w:val="000000"/>
                <w:szCs w:val="21"/>
              </w:rPr>
              <w:t>所有人</w:t>
            </w:r>
          </w:p>
        </w:tc>
        <w:tc>
          <w:tcPr>
            <w:tcW w:w="7034" w:type="dxa"/>
            <w:gridSpan w:val="2"/>
          </w:tcPr>
          <w:p>
            <w:pPr>
              <w:spacing w:before="120" w:after="120" w:line="240" w:lineRule="atLeast"/>
              <w:textAlignment w:val="auto"/>
              <w:rPr>
                <w:bCs/>
                <w:color w:val="000000"/>
                <w:szCs w:val="21"/>
              </w:rPr>
            </w:pPr>
            <w:r>
              <w:rPr>
                <w:bCs/>
                <w:color w:val="000000"/>
                <w:szCs w:val="21"/>
              </w:rPr>
              <w:t>所有人名称</w:t>
            </w:r>
            <w:r>
              <w:rPr>
                <w:rFonts w:hint="eastAsia"/>
                <w:bCs/>
                <w:color w:val="000000"/>
                <w:szCs w:val="21"/>
              </w:rPr>
              <w:t>：</w:t>
            </w:r>
            <w:r>
              <w:rPr>
                <w:i/>
                <w:iCs/>
                <w:szCs w:val="21"/>
                <w:lang w:val="es-ES"/>
              </w:rPr>
              <w:t>_______________________</w:t>
            </w:r>
            <w:r>
              <w:rPr>
                <w:iCs/>
                <w:szCs w:val="21"/>
                <w:lang w:val="es-ES"/>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top w:val="nil"/>
              <w:bottom w:val="nil"/>
            </w:tcBorders>
          </w:tcPr>
          <w:p>
            <w:pPr>
              <w:spacing w:before="120" w:after="120" w:line="240" w:lineRule="atLeast"/>
              <w:textAlignment w:val="auto"/>
              <w:rPr>
                <w:bCs/>
                <w:color w:val="000000"/>
                <w:szCs w:val="21"/>
              </w:rPr>
            </w:pPr>
          </w:p>
        </w:tc>
        <w:tc>
          <w:tcPr>
            <w:tcW w:w="7034" w:type="dxa"/>
            <w:gridSpan w:val="2"/>
          </w:tcPr>
          <w:p>
            <w:pPr>
              <w:spacing w:before="120" w:after="120" w:line="240" w:lineRule="atLeast"/>
              <w:textAlignment w:val="auto"/>
              <w:rPr>
                <w:bCs/>
                <w:color w:val="000000"/>
                <w:szCs w:val="21"/>
              </w:rPr>
            </w:pPr>
            <w:r>
              <w:rPr>
                <w:bCs/>
                <w:color w:val="000000"/>
                <w:szCs w:val="21"/>
              </w:rPr>
              <w:t>所有人地址</w:t>
            </w:r>
            <w:r>
              <w:rPr>
                <w:rFonts w:hint="eastAsia"/>
                <w:bCs/>
                <w:color w:val="000000"/>
                <w:szCs w:val="21"/>
              </w:rPr>
              <w:t>：</w:t>
            </w:r>
            <w:r>
              <w:rPr>
                <w:i/>
                <w:iCs/>
                <w:szCs w:val="21"/>
                <w:lang w:val="es-ES"/>
              </w:rPr>
              <w:t>_______________________</w:t>
            </w:r>
            <w:r>
              <w:rPr>
                <w:iCs/>
                <w:szCs w:val="21"/>
                <w:lang w:val="es-ES"/>
              </w:rPr>
              <w:t>_</w:t>
            </w:r>
          </w:p>
          <w:p>
            <w:pPr>
              <w:spacing w:before="120" w:after="120" w:line="240" w:lineRule="atLeast"/>
              <w:textAlignment w:val="auto"/>
              <w:rPr>
                <w:bCs/>
                <w:color w:val="000000"/>
                <w:szCs w:val="21"/>
              </w:rPr>
            </w:pP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top w:val="nil"/>
              <w:bottom w:val="nil"/>
            </w:tcBorders>
          </w:tcPr>
          <w:p>
            <w:pPr>
              <w:spacing w:before="120" w:after="120" w:line="240" w:lineRule="atLeast"/>
              <w:textAlignment w:val="auto"/>
              <w:rPr>
                <w:bCs/>
                <w:color w:val="000000"/>
                <w:szCs w:val="21"/>
              </w:rPr>
            </w:pPr>
          </w:p>
        </w:tc>
        <w:tc>
          <w:tcPr>
            <w:tcW w:w="3519" w:type="dxa"/>
          </w:tcPr>
          <w:p>
            <w:pPr>
              <w:spacing w:before="120" w:after="120" w:line="240" w:lineRule="atLeast"/>
              <w:textAlignment w:val="auto"/>
              <w:rPr>
                <w:bCs/>
                <w:color w:val="000000"/>
                <w:szCs w:val="21"/>
              </w:rPr>
            </w:pPr>
            <w:r>
              <w:rPr>
                <w:bCs/>
                <w:color w:val="000000"/>
                <w:szCs w:val="21"/>
              </w:rPr>
              <w:t>电话</w:t>
            </w:r>
            <w:r>
              <w:rPr>
                <w:rFonts w:hint="eastAsia"/>
                <w:bCs/>
                <w:color w:val="000000"/>
                <w:szCs w:val="21"/>
              </w:rPr>
              <w:t>：</w:t>
            </w:r>
            <w:r>
              <w:rPr>
                <w:i/>
                <w:iCs/>
                <w:szCs w:val="21"/>
                <w:lang w:val="es-ES"/>
              </w:rPr>
              <w:t>_______________________</w:t>
            </w:r>
            <w:r>
              <w:rPr>
                <w:iCs/>
                <w:szCs w:val="21"/>
                <w:lang w:val="es-ES"/>
              </w:rPr>
              <w:t>_</w:t>
            </w:r>
          </w:p>
        </w:tc>
        <w:tc>
          <w:tcPr>
            <w:tcW w:w="3515" w:type="dxa"/>
          </w:tcPr>
          <w:p>
            <w:pPr>
              <w:spacing w:before="120" w:after="120" w:line="240" w:lineRule="atLeast"/>
              <w:textAlignment w:val="auto"/>
              <w:rPr>
                <w:bCs/>
                <w:color w:val="000000"/>
                <w:szCs w:val="21"/>
              </w:rPr>
            </w:pPr>
            <w:r>
              <w:rPr>
                <w:bCs/>
                <w:color w:val="000000"/>
                <w:szCs w:val="21"/>
              </w:rPr>
              <w:t>联系人名称与职务</w:t>
            </w:r>
            <w:r>
              <w:rPr>
                <w:rFonts w:hint="eastAsia"/>
                <w:bCs/>
                <w:color w:val="000000"/>
                <w:szCs w:val="21"/>
              </w:rPr>
              <w:t>：</w:t>
            </w:r>
            <w:r>
              <w:rPr>
                <w:i/>
                <w:iCs/>
                <w:szCs w:val="21"/>
                <w:lang w:val="es-ES"/>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top w:val="nil"/>
              <w:bottom w:val="single" w:color="auto" w:sz="4" w:space="0"/>
            </w:tcBorders>
          </w:tcPr>
          <w:p>
            <w:pPr>
              <w:spacing w:before="120" w:after="120" w:line="240" w:lineRule="atLeast"/>
              <w:textAlignment w:val="auto"/>
              <w:rPr>
                <w:bCs/>
                <w:color w:val="000000"/>
                <w:szCs w:val="21"/>
              </w:rPr>
            </w:pPr>
          </w:p>
        </w:tc>
        <w:tc>
          <w:tcPr>
            <w:tcW w:w="3519" w:type="dxa"/>
            <w:tcBorders>
              <w:bottom w:val="single" w:color="auto" w:sz="4" w:space="0"/>
            </w:tcBorders>
          </w:tcPr>
          <w:p>
            <w:pPr>
              <w:spacing w:before="120" w:after="120" w:line="240" w:lineRule="atLeast"/>
              <w:textAlignment w:val="auto"/>
              <w:rPr>
                <w:bCs/>
                <w:color w:val="000000"/>
                <w:szCs w:val="21"/>
              </w:rPr>
            </w:pPr>
            <w:r>
              <w:rPr>
                <w:bCs/>
                <w:color w:val="000000"/>
                <w:szCs w:val="21"/>
              </w:rPr>
              <w:t>传真</w:t>
            </w:r>
            <w:r>
              <w:rPr>
                <w:rFonts w:hint="eastAsia"/>
                <w:bCs/>
                <w:color w:val="000000"/>
                <w:szCs w:val="21"/>
              </w:rPr>
              <w:t>：</w:t>
            </w:r>
            <w:r>
              <w:rPr>
                <w:i/>
                <w:iCs/>
                <w:szCs w:val="21"/>
                <w:lang w:val="es-ES"/>
              </w:rPr>
              <w:t>_______________________</w:t>
            </w:r>
            <w:r>
              <w:rPr>
                <w:iCs/>
                <w:szCs w:val="21"/>
                <w:lang w:val="es-ES"/>
              </w:rPr>
              <w:t>_</w:t>
            </w:r>
          </w:p>
        </w:tc>
        <w:tc>
          <w:tcPr>
            <w:tcW w:w="3515" w:type="dxa"/>
            <w:tcBorders>
              <w:bottom w:val="single" w:color="auto" w:sz="4" w:space="0"/>
            </w:tcBorders>
          </w:tcPr>
          <w:p>
            <w:pPr>
              <w:spacing w:before="120" w:after="120" w:line="240" w:lineRule="atLeast"/>
              <w:textAlignment w:val="auto"/>
              <w:rPr>
                <w:bCs/>
                <w:color w:val="000000"/>
                <w:szCs w:val="21"/>
              </w:rPr>
            </w:pPr>
            <w:r>
              <w:rPr>
                <w:bCs/>
                <w:color w:val="000000"/>
                <w:szCs w:val="21"/>
              </w:rPr>
              <w:t>电传</w:t>
            </w:r>
            <w:r>
              <w:rPr>
                <w:rFonts w:hint="eastAsia"/>
                <w:bCs/>
                <w:color w:val="000000"/>
                <w:szCs w:val="21"/>
              </w:rPr>
              <w:t>：</w:t>
            </w:r>
            <w:r>
              <w:rPr>
                <w:i/>
                <w:iCs/>
                <w:szCs w:val="21"/>
                <w:lang w:val="es-ES"/>
              </w:rPr>
              <w:t>_______________________</w:t>
            </w:r>
            <w:r>
              <w:rPr>
                <w:iCs/>
                <w:szCs w:val="21"/>
                <w:lang w:val="es-ES"/>
              </w:rPr>
              <w:t xml:space="preserve">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bottom w:val="single" w:color="auto" w:sz="4" w:space="0"/>
            </w:tcBorders>
          </w:tcPr>
          <w:p>
            <w:pPr>
              <w:spacing w:before="120" w:after="120" w:line="240" w:lineRule="atLeast"/>
              <w:textAlignment w:val="auto"/>
              <w:rPr>
                <w:bCs/>
                <w:color w:val="000000"/>
                <w:szCs w:val="21"/>
              </w:rPr>
            </w:pPr>
            <w:r>
              <w:rPr>
                <w:rFonts w:hint="eastAsia"/>
                <w:bCs/>
                <w:color w:val="000000"/>
                <w:szCs w:val="21"/>
              </w:rPr>
              <w:t>合同</w:t>
            </w:r>
          </w:p>
        </w:tc>
        <w:tc>
          <w:tcPr>
            <w:tcW w:w="7034" w:type="dxa"/>
            <w:gridSpan w:val="2"/>
            <w:tcBorders>
              <w:bottom w:val="single" w:color="auto" w:sz="4" w:space="0"/>
            </w:tcBorders>
          </w:tcPr>
          <w:p>
            <w:pPr>
              <w:spacing w:before="120" w:after="120" w:line="240" w:lineRule="atLeast"/>
              <w:textAlignment w:val="auto"/>
              <w:rPr>
                <w:bCs/>
                <w:color w:val="000000"/>
                <w:szCs w:val="21"/>
              </w:rPr>
            </w:pPr>
            <w:r>
              <w:rPr>
                <w:rFonts w:hint="eastAsia"/>
                <w:bCs/>
                <w:color w:val="000000"/>
                <w:szCs w:val="21"/>
              </w:rPr>
              <w:t>设备</w:t>
            </w:r>
            <w:r>
              <w:rPr>
                <w:bCs/>
                <w:color w:val="000000"/>
                <w:szCs w:val="21"/>
              </w:rPr>
              <w:t>租用</w:t>
            </w:r>
            <w:r>
              <w:rPr>
                <w:rFonts w:hint="eastAsia"/>
                <w:bCs/>
                <w:color w:val="000000"/>
                <w:szCs w:val="21"/>
              </w:rPr>
              <w:t>合同</w:t>
            </w:r>
            <w:r>
              <w:rPr>
                <w:bCs/>
                <w:color w:val="000000"/>
                <w:szCs w:val="21"/>
              </w:rPr>
              <w:t>/</w:t>
            </w:r>
            <w:r>
              <w:rPr>
                <w:rFonts w:hint="eastAsia"/>
                <w:bCs/>
                <w:color w:val="000000"/>
                <w:szCs w:val="21"/>
              </w:rPr>
              <w:t>融资</w:t>
            </w:r>
            <w:r>
              <w:rPr>
                <w:bCs/>
                <w:color w:val="000000"/>
                <w:szCs w:val="21"/>
              </w:rPr>
              <w:t>租赁</w:t>
            </w:r>
            <w:r>
              <w:rPr>
                <w:rFonts w:hint="eastAsia"/>
                <w:bCs/>
                <w:color w:val="000000"/>
                <w:szCs w:val="21"/>
              </w:rPr>
              <w:t>合同</w:t>
            </w:r>
            <w:r>
              <w:rPr>
                <w:bCs/>
                <w:color w:val="000000"/>
                <w:szCs w:val="21"/>
              </w:rPr>
              <w:t>/</w:t>
            </w:r>
            <w:r>
              <w:rPr>
                <w:rFonts w:hint="eastAsia"/>
                <w:bCs/>
                <w:color w:val="000000"/>
                <w:szCs w:val="21"/>
              </w:rPr>
              <w:t>定制合同的细节</w:t>
            </w:r>
          </w:p>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top w:val="single" w:color="auto" w:sz="4" w:space="0"/>
              <w:bottom w:val="single" w:color="auto" w:sz="4" w:space="0"/>
            </w:tcBorders>
          </w:tcPr>
          <w:p>
            <w:pPr>
              <w:spacing w:before="120" w:after="120" w:line="240" w:lineRule="atLeast"/>
              <w:textAlignment w:val="auto"/>
              <w:rPr>
                <w:bCs/>
                <w:color w:val="000000"/>
                <w:szCs w:val="21"/>
              </w:rPr>
            </w:pPr>
          </w:p>
        </w:tc>
        <w:tc>
          <w:tcPr>
            <w:tcW w:w="7034" w:type="dxa"/>
            <w:gridSpan w:val="2"/>
            <w:tcBorders>
              <w:top w:val="single" w:color="auto" w:sz="4" w:space="0"/>
              <w:bottom w:val="single" w:color="auto" w:sz="4" w:space="0"/>
            </w:tcBorders>
          </w:tcPr>
          <w:p>
            <w:pPr>
              <w:spacing w:before="120" w:after="120" w:line="240" w:lineRule="atLeast"/>
              <w:textAlignment w:val="auto"/>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tcBorders>
              <w:top w:val="single" w:color="auto" w:sz="4" w:space="0"/>
            </w:tcBorders>
          </w:tcPr>
          <w:p>
            <w:pPr>
              <w:spacing w:before="120" w:after="120" w:line="240" w:lineRule="atLeast"/>
              <w:textAlignment w:val="auto"/>
              <w:rPr>
                <w:bCs/>
                <w:color w:val="000000"/>
                <w:szCs w:val="21"/>
              </w:rPr>
            </w:pPr>
          </w:p>
        </w:tc>
        <w:tc>
          <w:tcPr>
            <w:tcW w:w="7034" w:type="dxa"/>
            <w:gridSpan w:val="2"/>
            <w:tcBorders>
              <w:top w:val="single" w:color="auto" w:sz="4" w:space="0"/>
            </w:tcBorders>
          </w:tcPr>
          <w:p>
            <w:pPr>
              <w:spacing w:before="120" w:after="120" w:line="240" w:lineRule="atLeast"/>
              <w:textAlignment w:val="auto"/>
              <w:rPr>
                <w:bCs/>
                <w:color w:val="000000"/>
                <w:szCs w:val="21"/>
              </w:rPr>
            </w:pPr>
          </w:p>
        </w:tc>
      </w:tr>
    </w:tbl>
    <w:p>
      <w:pPr>
        <w:pStyle w:val="5"/>
        <w:sectPr>
          <w:footerReference r:id="rId16" w:type="default"/>
          <w:footnotePr>
            <w:numRestart w:val="eachPage"/>
          </w:footnotePr>
          <w:endnotePr>
            <w:numFmt w:val="decimal"/>
          </w:endnotePr>
          <w:pgSz w:w="11907" w:h="16840"/>
          <w:pgMar w:top="1440" w:right="1797" w:bottom="1440" w:left="1797" w:header="851" w:footer="992" w:gutter="0"/>
          <w:cols w:space="425" w:num="1"/>
          <w:docGrid w:linePitch="286" w:charSpace="0"/>
        </w:sectPr>
      </w:pPr>
    </w:p>
    <w:p>
      <w:pPr>
        <w:pStyle w:val="4"/>
      </w:pPr>
      <w:bookmarkStart w:id="1307" w:name="_Toc170312591"/>
      <w:bookmarkStart w:id="1308" w:name="_Toc171063129"/>
      <w:bookmarkStart w:id="1309" w:name="_Toc169103265"/>
      <w:bookmarkStart w:id="1310" w:name="_Toc473887081"/>
      <w:bookmarkStart w:id="1311" w:name="_Toc473814130"/>
      <w:r>
        <w:rPr>
          <w:rFonts w:hint="eastAsia"/>
        </w:rPr>
        <w:t>环境-社会-健康-安全行为准则</w:t>
      </w:r>
      <w:bookmarkEnd w:id="1307"/>
      <w:bookmarkEnd w:id="1308"/>
      <w:bookmarkEnd w:id="1309"/>
    </w:p>
    <w:bookmarkEnd w:id="1310"/>
    <w:bookmarkEnd w:id="1311"/>
    <w:p>
      <w:pPr>
        <w:jc w:val="center"/>
        <w:textAlignment w:val="auto"/>
        <w:rPr>
          <w:b/>
        </w:rPr>
      </w:pPr>
    </w:p>
    <w:p>
      <w:pPr>
        <w:spacing w:before="120" w:after="120" w:line="240" w:lineRule="atLeast"/>
        <w:ind w:firstLine="420" w:firstLineChars="200"/>
        <w:textAlignment w:val="auto"/>
        <w:rPr>
          <w:szCs w:val="21"/>
        </w:rPr>
      </w:pPr>
      <w:bookmarkStart w:id="1312" w:name="_Toc32766880"/>
      <w:r>
        <w:rPr>
          <w:rFonts w:hint="eastAsia"/>
          <w:szCs w:val="21"/>
        </w:rPr>
        <w:t>投标人应提交承包商及其分包商员工环境-社会-健康-安全行为准则，以确保其履行环境-社会-健康-安全合同义务。行为准则应按照第六章“业主要求”编写行为准则需应对的风险，例如外来劳工流入、可传染疾病的传播、性骚扰、与性别有关的暴力、非法行为和犯罪、建立安全的工作环境等，且应考虑到满足合同中关于环境-社会-健康-安全的要求，以及以下文件关于环境-社会-健康-安全的要求：</w:t>
      </w:r>
      <w:bookmarkEnd w:id="1312"/>
    </w:p>
    <w:p>
      <w:pPr>
        <w:spacing w:before="120" w:after="120" w:line="240" w:lineRule="atLeast"/>
        <w:ind w:firstLine="420" w:firstLineChars="200"/>
        <w:textAlignment w:val="auto"/>
        <w:rPr>
          <w:i/>
          <w:iCs/>
          <w:szCs w:val="21"/>
        </w:rPr>
      </w:pPr>
      <w:r>
        <w:rPr>
          <w:i/>
          <w:iCs/>
          <w:szCs w:val="21"/>
        </w:rPr>
        <w:t>[</w:t>
      </w:r>
      <w:r>
        <w:rPr>
          <w:rFonts w:hint="eastAsia"/>
          <w:i/>
          <w:iCs/>
          <w:szCs w:val="21"/>
        </w:rPr>
        <w:t>业主应根据实际情况填写文件名称，例如：</w:t>
      </w:r>
    </w:p>
    <w:p>
      <w:pPr>
        <w:pStyle w:val="102"/>
        <w:numPr>
          <w:ilvl w:val="0"/>
          <w:numId w:val="22"/>
        </w:numPr>
        <w:spacing w:before="120" w:after="120" w:line="240" w:lineRule="atLeast"/>
        <w:ind w:firstLineChars="0"/>
        <w:rPr>
          <w:i/>
          <w:iCs/>
          <w:szCs w:val="21"/>
        </w:rPr>
      </w:pPr>
      <w:r>
        <w:rPr>
          <w:rFonts w:hint="eastAsia"/>
          <w:i/>
          <w:iCs/>
          <w:szCs w:val="21"/>
        </w:rPr>
        <w:t>招标文件第六章业主要求；</w:t>
      </w:r>
    </w:p>
    <w:p>
      <w:pPr>
        <w:pStyle w:val="102"/>
        <w:numPr>
          <w:ilvl w:val="0"/>
          <w:numId w:val="22"/>
        </w:numPr>
        <w:spacing w:before="120" w:after="120" w:line="240" w:lineRule="atLeast"/>
        <w:ind w:firstLineChars="0"/>
        <w:rPr>
          <w:i/>
          <w:iCs/>
          <w:szCs w:val="21"/>
        </w:rPr>
      </w:pPr>
      <w:r>
        <w:rPr>
          <w:rFonts w:hint="eastAsia"/>
          <w:i/>
          <w:iCs/>
          <w:szCs w:val="21"/>
        </w:rPr>
        <w:t>环境社会影响评估 （</w:t>
      </w:r>
      <w:r>
        <w:rPr>
          <w:i/>
          <w:iCs/>
          <w:szCs w:val="21"/>
        </w:rPr>
        <w:t>ESIA</w:t>
      </w:r>
      <w:r>
        <w:rPr>
          <w:rFonts w:hint="eastAsia"/>
          <w:i/>
          <w:iCs/>
          <w:szCs w:val="21"/>
        </w:rPr>
        <w:t>）；</w:t>
      </w:r>
    </w:p>
    <w:p>
      <w:pPr>
        <w:pStyle w:val="102"/>
        <w:numPr>
          <w:ilvl w:val="0"/>
          <w:numId w:val="22"/>
        </w:numPr>
        <w:spacing w:before="120" w:after="120" w:line="240" w:lineRule="atLeast"/>
        <w:ind w:firstLineChars="0"/>
        <w:rPr>
          <w:i/>
          <w:iCs/>
          <w:szCs w:val="21"/>
        </w:rPr>
      </w:pPr>
      <w:r>
        <w:rPr>
          <w:rFonts w:hint="eastAsia"/>
          <w:i/>
          <w:iCs/>
          <w:szCs w:val="21"/>
        </w:rPr>
        <w:t>环境社会管理计划 （</w:t>
      </w:r>
      <w:r>
        <w:rPr>
          <w:i/>
          <w:iCs/>
          <w:szCs w:val="21"/>
        </w:rPr>
        <w:t>ESMP</w:t>
      </w:r>
      <w:r>
        <w:rPr>
          <w:rFonts w:hint="eastAsia"/>
          <w:i/>
          <w:iCs/>
          <w:szCs w:val="21"/>
        </w:rPr>
        <w:t>）；</w:t>
      </w:r>
    </w:p>
    <w:p>
      <w:pPr>
        <w:pStyle w:val="102"/>
        <w:numPr>
          <w:ilvl w:val="0"/>
          <w:numId w:val="22"/>
        </w:numPr>
        <w:spacing w:before="120" w:after="120" w:line="240" w:lineRule="atLeast"/>
        <w:ind w:firstLineChars="0"/>
        <w:rPr>
          <w:i/>
          <w:iCs/>
          <w:szCs w:val="21"/>
        </w:rPr>
      </w:pPr>
      <w:r>
        <w:rPr>
          <w:rFonts w:hint="eastAsia"/>
          <w:i/>
          <w:iCs/>
          <w:szCs w:val="21"/>
        </w:rPr>
        <w:t>移民行动计划 （</w:t>
      </w:r>
      <w:r>
        <w:rPr>
          <w:i/>
          <w:iCs/>
          <w:szCs w:val="21"/>
        </w:rPr>
        <w:t>RAP</w:t>
      </w:r>
      <w:r>
        <w:rPr>
          <w:rFonts w:hint="eastAsia"/>
          <w:i/>
          <w:iCs/>
          <w:szCs w:val="21"/>
        </w:rPr>
        <w:t>）；</w:t>
      </w:r>
    </w:p>
    <w:p>
      <w:pPr>
        <w:pStyle w:val="102"/>
        <w:numPr>
          <w:ilvl w:val="0"/>
          <w:numId w:val="22"/>
        </w:numPr>
        <w:spacing w:before="120" w:after="120" w:line="240" w:lineRule="atLeast"/>
        <w:ind w:firstLineChars="0"/>
        <w:rPr>
          <w:i/>
          <w:iCs/>
          <w:szCs w:val="21"/>
        </w:rPr>
      </w:pPr>
      <w:r>
        <w:rPr>
          <w:rFonts w:hint="eastAsia"/>
          <w:i/>
          <w:iCs/>
          <w:szCs w:val="21"/>
        </w:rPr>
        <w:t>政府有关部门的项目批复书、相关许可证等。]</w:t>
      </w:r>
    </w:p>
    <w:p>
      <w:pPr>
        <w:spacing w:before="120" w:after="120" w:line="240" w:lineRule="atLeast"/>
        <w:ind w:firstLine="420" w:firstLineChars="200"/>
        <w:textAlignment w:val="auto"/>
        <w:rPr>
          <w:szCs w:val="21"/>
        </w:rPr>
      </w:pPr>
    </w:p>
    <w:p>
      <w:pPr>
        <w:spacing w:before="120" w:after="120" w:line="240" w:lineRule="atLeast"/>
        <w:ind w:firstLine="420" w:firstLineChars="200"/>
        <w:textAlignment w:val="auto"/>
        <w:rPr>
          <w:szCs w:val="21"/>
        </w:rPr>
      </w:pPr>
      <w:bookmarkStart w:id="1313" w:name="_Toc32766886"/>
      <w:r>
        <w:rPr>
          <w:rFonts w:hint="eastAsia"/>
          <w:szCs w:val="21"/>
        </w:rPr>
        <w:t>另外，投标人应提交一个概要，描述如何贯彻实施本行为准则，包括如何在与员工的雇佣合同中体现、投标人计划给员工提供什么相关培训、如何监测落实情况，以及在员工未能遵守行为准则时承包商如何处理。</w:t>
      </w:r>
      <w:bookmarkEnd w:id="1313"/>
    </w:p>
    <w:p>
      <w:pPr>
        <w:spacing w:before="120" w:after="120" w:line="240" w:lineRule="atLeast"/>
        <w:ind w:firstLine="420" w:firstLineChars="200"/>
        <w:textAlignment w:val="auto"/>
        <w:rPr>
          <w:szCs w:val="21"/>
        </w:rPr>
      </w:pPr>
      <w:r>
        <w:rPr>
          <w:szCs w:val="21"/>
        </w:rPr>
        <w:br w:type="page"/>
      </w:r>
    </w:p>
    <w:p>
      <w:pPr>
        <w:pStyle w:val="4"/>
      </w:pPr>
      <w:bookmarkStart w:id="1314" w:name="_Toc171063130"/>
      <w:bookmarkStart w:id="1315" w:name="_Toc170312592"/>
      <w:bookmarkStart w:id="1316" w:name="_Toc169103266"/>
      <w:r>
        <w:rPr>
          <w:rFonts w:hint="eastAsia"/>
        </w:rPr>
        <w:t>环境-社会-健康-安全管理策略和实施方案</w:t>
      </w:r>
      <w:bookmarkEnd w:id="1314"/>
      <w:bookmarkEnd w:id="1315"/>
      <w:bookmarkEnd w:id="1316"/>
    </w:p>
    <w:p>
      <w:pPr>
        <w:spacing w:before="120" w:after="120" w:line="240" w:lineRule="atLeast"/>
        <w:ind w:firstLine="420" w:firstLineChars="200"/>
        <w:textAlignment w:val="auto"/>
        <w:rPr>
          <w:szCs w:val="21"/>
        </w:rPr>
      </w:pPr>
    </w:p>
    <w:p>
      <w:pPr>
        <w:spacing w:before="120" w:after="120" w:line="240" w:lineRule="atLeast"/>
        <w:ind w:firstLine="420" w:firstLineChars="200"/>
        <w:textAlignment w:val="auto"/>
        <w:rPr>
          <w:szCs w:val="21"/>
        </w:rPr>
      </w:pPr>
      <w:r>
        <w:rPr>
          <w:rFonts w:hint="eastAsia"/>
          <w:szCs w:val="21"/>
        </w:rPr>
        <w:t>投标人应提交全面准确的环境-社会-健康-安全管理策略和实施方案，详细描述承包商与其分包商计划采取的措施、投入的材料、投入的设备、实施的管理体系。</w:t>
      </w:r>
    </w:p>
    <w:p>
      <w:pPr>
        <w:spacing w:before="120" w:after="120" w:line="240" w:lineRule="atLeast"/>
        <w:ind w:firstLine="420" w:firstLineChars="200"/>
        <w:textAlignment w:val="auto"/>
        <w:rPr>
          <w:i/>
          <w:iCs/>
          <w:szCs w:val="21"/>
        </w:rPr>
      </w:pPr>
      <w:r>
        <w:rPr>
          <w:rFonts w:hint="eastAsia"/>
          <w:i/>
          <w:iCs/>
          <w:szCs w:val="21"/>
        </w:rPr>
        <w:t>[业主应根据实际情况填写具体的风险和计划名称，例如：</w:t>
      </w:r>
    </w:p>
    <w:p>
      <w:pPr>
        <w:pStyle w:val="102"/>
        <w:numPr>
          <w:ilvl w:val="0"/>
          <w:numId w:val="23"/>
        </w:numPr>
        <w:spacing w:before="120" w:after="120" w:line="240" w:lineRule="atLeast"/>
        <w:ind w:firstLineChars="0"/>
        <w:rPr>
          <w:i/>
          <w:iCs/>
          <w:szCs w:val="21"/>
        </w:rPr>
      </w:pPr>
      <w:r>
        <w:rPr>
          <w:rFonts w:hint="eastAsia"/>
          <w:i/>
          <w:iCs/>
          <w:szCs w:val="21"/>
        </w:rPr>
        <w:t>交通管理计划，以确保现场施工车辆作业期间当地人群的安全；</w:t>
      </w:r>
    </w:p>
    <w:p>
      <w:pPr>
        <w:pStyle w:val="102"/>
        <w:numPr>
          <w:ilvl w:val="0"/>
          <w:numId w:val="23"/>
        </w:numPr>
        <w:spacing w:before="120" w:after="120" w:line="240" w:lineRule="atLeast"/>
        <w:ind w:firstLineChars="0"/>
        <w:rPr>
          <w:i/>
          <w:iCs/>
          <w:szCs w:val="21"/>
        </w:rPr>
      </w:pPr>
      <w:r>
        <w:rPr>
          <w:rFonts w:hint="eastAsia"/>
          <w:i/>
          <w:iCs/>
          <w:szCs w:val="21"/>
        </w:rPr>
        <w:t>水资源保护计划，以防止饮用水污染；</w:t>
      </w:r>
    </w:p>
    <w:p>
      <w:pPr>
        <w:pStyle w:val="102"/>
        <w:numPr>
          <w:ilvl w:val="0"/>
          <w:numId w:val="23"/>
        </w:numPr>
        <w:spacing w:before="120" w:after="120" w:line="240" w:lineRule="atLeast"/>
        <w:ind w:firstLineChars="0"/>
        <w:rPr>
          <w:i/>
          <w:iCs/>
          <w:szCs w:val="21"/>
        </w:rPr>
      </w:pPr>
      <w:r>
        <w:rPr>
          <w:rFonts w:hint="eastAsia"/>
          <w:i/>
          <w:iCs/>
          <w:szCs w:val="21"/>
        </w:rPr>
        <w:t>进场和现场施工作业区域标识和保护计划，以防止给区域外带来负面影响；</w:t>
      </w:r>
    </w:p>
    <w:p>
      <w:pPr>
        <w:pStyle w:val="102"/>
        <w:numPr>
          <w:ilvl w:val="0"/>
          <w:numId w:val="23"/>
        </w:numPr>
        <w:spacing w:before="120" w:after="120" w:line="240" w:lineRule="atLeast"/>
        <w:ind w:firstLineChars="0"/>
        <w:rPr>
          <w:i/>
          <w:iCs/>
          <w:szCs w:val="21"/>
        </w:rPr>
      </w:pPr>
      <w:r>
        <w:rPr>
          <w:rFonts w:hint="eastAsia"/>
          <w:i/>
          <w:iCs/>
          <w:szCs w:val="21"/>
        </w:rPr>
        <w:t>工程开工前（如采石场或取土场）取得相关许可证的计划。]</w:t>
      </w:r>
    </w:p>
    <w:p>
      <w:pPr>
        <w:spacing w:before="120" w:after="120" w:line="240" w:lineRule="atLeast"/>
        <w:ind w:firstLine="420" w:firstLineChars="200"/>
        <w:textAlignment w:val="auto"/>
        <w:rPr>
          <w:szCs w:val="21"/>
        </w:rPr>
      </w:pPr>
    </w:p>
    <w:p>
      <w:pPr>
        <w:spacing w:before="120" w:after="120" w:line="240" w:lineRule="atLeast"/>
        <w:ind w:firstLine="420" w:firstLineChars="200"/>
        <w:textAlignment w:val="auto"/>
        <w:rPr>
          <w:szCs w:val="21"/>
        </w:rPr>
      </w:pPr>
    </w:p>
    <w:p>
      <w:pPr>
        <w:spacing w:before="120" w:after="120" w:line="240" w:lineRule="atLeast"/>
        <w:ind w:firstLine="420" w:firstLineChars="200"/>
        <w:textAlignment w:val="auto"/>
        <w:rPr>
          <w:szCs w:val="21"/>
        </w:rPr>
      </w:pPr>
      <w:bookmarkStart w:id="1317" w:name="_Toc32766873"/>
      <w:r>
        <w:rPr>
          <w:rFonts w:hint="eastAsia"/>
          <w:szCs w:val="21"/>
        </w:rPr>
        <w:t>投标人在制定环境-社会-健康-安全管理策略和实施方案时应考虑到合同中关于环境-社会-健康-安全的要求，以及以下文件关于环境-社会-健康-安全的要求：</w:t>
      </w:r>
      <w:bookmarkEnd w:id="1317"/>
    </w:p>
    <w:p>
      <w:pPr>
        <w:spacing w:before="120" w:after="120" w:line="240" w:lineRule="atLeast"/>
        <w:ind w:firstLine="420" w:firstLineChars="200"/>
        <w:textAlignment w:val="auto"/>
        <w:rPr>
          <w:i/>
          <w:iCs/>
          <w:szCs w:val="21"/>
        </w:rPr>
      </w:pPr>
      <w:r>
        <w:rPr>
          <w:i/>
          <w:iCs/>
          <w:szCs w:val="21"/>
        </w:rPr>
        <w:t>[</w:t>
      </w:r>
      <w:r>
        <w:rPr>
          <w:rFonts w:hint="eastAsia"/>
          <w:i/>
          <w:iCs/>
          <w:szCs w:val="21"/>
        </w:rPr>
        <w:t>业主应根据实际情况填写文件名称，例如：</w:t>
      </w:r>
    </w:p>
    <w:p>
      <w:pPr>
        <w:pStyle w:val="102"/>
        <w:numPr>
          <w:ilvl w:val="0"/>
          <w:numId w:val="23"/>
        </w:numPr>
        <w:spacing w:before="120" w:after="120" w:line="240" w:lineRule="atLeast"/>
        <w:ind w:firstLineChars="0"/>
        <w:rPr>
          <w:i/>
          <w:iCs/>
          <w:szCs w:val="21"/>
        </w:rPr>
      </w:pPr>
      <w:bookmarkStart w:id="1318" w:name="_Toc32766874"/>
      <w:r>
        <w:rPr>
          <w:rFonts w:hint="eastAsia"/>
          <w:i/>
          <w:iCs/>
          <w:szCs w:val="21"/>
        </w:rPr>
        <w:t>招标文件第六章业主要求</w:t>
      </w:r>
      <w:bookmarkEnd w:id="1318"/>
      <w:r>
        <w:rPr>
          <w:rFonts w:hint="eastAsia"/>
          <w:i/>
          <w:iCs/>
          <w:szCs w:val="21"/>
        </w:rPr>
        <w:t>；</w:t>
      </w:r>
    </w:p>
    <w:p>
      <w:pPr>
        <w:pStyle w:val="102"/>
        <w:numPr>
          <w:ilvl w:val="0"/>
          <w:numId w:val="23"/>
        </w:numPr>
        <w:spacing w:before="120" w:after="120" w:line="240" w:lineRule="atLeast"/>
        <w:ind w:firstLineChars="0"/>
        <w:rPr>
          <w:i/>
          <w:iCs/>
          <w:szCs w:val="21"/>
        </w:rPr>
      </w:pPr>
      <w:bookmarkStart w:id="1319" w:name="_Toc32766875"/>
      <w:r>
        <w:rPr>
          <w:rFonts w:hint="eastAsia"/>
          <w:i/>
          <w:iCs/>
          <w:szCs w:val="21"/>
        </w:rPr>
        <w:t>环境社会影响评估 （</w:t>
      </w:r>
      <w:r>
        <w:rPr>
          <w:i/>
          <w:iCs/>
          <w:szCs w:val="21"/>
        </w:rPr>
        <w:t>ESIA</w:t>
      </w:r>
      <w:r>
        <w:rPr>
          <w:rFonts w:hint="eastAsia"/>
          <w:i/>
          <w:iCs/>
          <w:szCs w:val="21"/>
        </w:rPr>
        <w:t>）</w:t>
      </w:r>
      <w:bookmarkEnd w:id="1319"/>
      <w:r>
        <w:rPr>
          <w:rFonts w:hint="eastAsia"/>
          <w:i/>
          <w:iCs/>
          <w:szCs w:val="21"/>
        </w:rPr>
        <w:t>；</w:t>
      </w:r>
    </w:p>
    <w:p>
      <w:pPr>
        <w:pStyle w:val="102"/>
        <w:numPr>
          <w:ilvl w:val="0"/>
          <w:numId w:val="23"/>
        </w:numPr>
        <w:spacing w:before="120" w:after="120" w:line="240" w:lineRule="atLeast"/>
        <w:ind w:firstLineChars="0"/>
        <w:rPr>
          <w:i/>
          <w:iCs/>
          <w:szCs w:val="21"/>
        </w:rPr>
      </w:pPr>
      <w:bookmarkStart w:id="1320" w:name="_Toc32766876"/>
      <w:r>
        <w:rPr>
          <w:rFonts w:hint="eastAsia"/>
          <w:i/>
          <w:iCs/>
          <w:szCs w:val="21"/>
        </w:rPr>
        <w:t>环境社会管理计划 （</w:t>
      </w:r>
      <w:r>
        <w:rPr>
          <w:i/>
          <w:iCs/>
          <w:szCs w:val="21"/>
        </w:rPr>
        <w:t>ESMP</w:t>
      </w:r>
      <w:bookmarkEnd w:id="1320"/>
      <w:r>
        <w:rPr>
          <w:rFonts w:hint="eastAsia"/>
          <w:i/>
          <w:iCs/>
          <w:szCs w:val="21"/>
        </w:rPr>
        <w:t>）；</w:t>
      </w:r>
    </w:p>
    <w:p>
      <w:pPr>
        <w:pStyle w:val="102"/>
        <w:numPr>
          <w:ilvl w:val="0"/>
          <w:numId w:val="23"/>
        </w:numPr>
        <w:spacing w:before="120" w:after="120" w:line="240" w:lineRule="atLeast"/>
        <w:ind w:firstLineChars="0"/>
        <w:rPr>
          <w:i/>
          <w:iCs/>
          <w:szCs w:val="21"/>
        </w:rPr>
      </w:pPr>
      <w:bookmarkStart w:id="1321" w:name="_Toc32766877"/>
      <w:r>
        <w:rPr>
          <w:rFonts w:hint="eastAsia"/>
          <w:i/>
          <w:iCs/>
          <w:szCs w:val="21"/>
        </w:rPr>
        <w:t>移民行动计划 （</w:t>
      </w:r>
      <w:r>
        <w:rPr>
          <w:i/>
          <w:iCs/>
          <w:szCs w:val="21"/>
        </w:rPr>
        <w:t>RAP</w:t>
      </w:r>
      <w:bookmarkEnd w:id="1321"/>
      <w:r>
        <w:rPr>
          <w:rFonts w:hint="eastAsia"/>
          <w:i/>
          <w:iCs/>
          <w:szCs w:val="21"/>
        </w:rPr>
        <w:t>）；</w:t>
      </w:r>
    </w:p>
    <w:p>
      <w:pPr>
        <w:pStyle w:val="102"/>
        <w:numPr>
          <w:ilvl w:val="0"/>
          <w:numId w:val="23"/>
        </w:numPr>
        <w:spacing w:before="120" w:after="120" w:line="240" w:lineRule="atLeast"/>
        <w:ind w:firstLineChars="0"/>
        <w:rPr>
          <w:i/>
          <w:iCs/>
          <w:szCs w:val="21"/>
        </w:rPr>
      </w:pPr>
      <w:bookmarkStart w:id="1322" w:name="_Toc32766878"/>
      <w:r>
        <w:rPr>
          <w:rFonts w:hint="eastAsia"/>
          <w:i/>
          <w:iCs/>
          <w:szCs w:val="21"/>
        </w:rPr>
        <w:t>政府有关部门的项目批复书、相关许可证等</w:t>
      </w:r>
      <w:bookmarkEnd w:id="1322"/>
      <w:r>
        <w:rPr>
          <w:rFonts w:hint="eastAsia"/>
          <w:i/>
          <w:iCs/>
          <w:szCs w:val="21"/>
        </w:rPr>
        <w:t>。]</w:t>
      </w:r>
    </w:p>
    <w:p>
      <w:pPr>
        <w:widowControl/>
        <w:adjustRightInd/>
        <w:spacing w:after="120" w:line="240" w:lineRule="auto"/>
        <w:jc w:val="left"/>
        <w:textAlignment w:val="auto"/>
        <w:rPr>
          <w:i/>
          <w:iCs/>
          <w:color w:val="000000"/>
          <w:sz w:val="20"/>
        </w:rPr>
      </w:pPr>
    </w:p>
    <w:p>
      <w:pPr>
        <w:spacing w:before="120" w:after="120" w:line="240" w:lineRule="atLeast"/>
        <w:textAlignment w:val="auto"/>
        <w:rPr>
          <w:i/>
          <w:iCs/>
          <w:szCs w:val="21"/>
        </w:rPr>
      </w:pPr>
      <w:r>
        <w:rPr>
          <w:rFonts w:hint="eastAsia"/>
          <w:i/>
          <w:iCs/>
          <w:szCs w:val="21"/>
        </w:rPr>
        <w:t>[</w:t>
      </w:r>
      <w:r>
        <w:rPr>
          <w:i/>
          <w:iCs/>
          <w:szCs w:val="21"/>
        </w:rPr>
        <w:t xml:space="preserve"> </w:t>
      </w:r>
      <w:r>
        <w:rPr>
          <w:rFonts w:hint="eastAsia"/>
          <w:i/>
          <w:iCs/>
          <w:szCs w:val="21"/>
        </w:rPr>
        <w:t>环境-社会-健康-安全管理策略和实施计划应反映第六章“业主要求”提出的要求和风险（经咨询环境专家和社会专家）。投标人要应对的风险应是环境专家和社会专家鉴别的风险，例如从环境社会影响评价报告、环境社会管理计划、移民行动计划和/或政府相关部门在对项目的批复和/或颁发其它许可证时提出的要求中鉴别的风险。风险可能出现在进场或施工过程中，可能包括施工交通车辆对当地居民的影响，对饮用水的污染、在私人土地上堆放材料设备、对稀有物种的影响等。为应对这些风险，环境-社会-健康-安全管理策略和实施计划可能包括进场计划和安排、从政府相关部门获得批复或许可证的计划和安排、交通管理、水资源保护计划、生物多样性保护计划、和现场边界标识计划等。</w:t>
      </w:r>
      <w:r>
        <w:rPr>
          <w:i/>
          <w:iCs/>
          <w:szCs w:val="21"/>
        </w:rPr>
        <w:t>]</w:t>
      </w:r>
    </w:p>
    <w:p>
      <w:pPr>
        <w:spacing w:before="120" w:after="120" w:line="240" w:lineRule="atLeast"/>
        <w:ind w:firstLine="420" w:firstLineChars="200"/>
        <w:textAlignment w:val="auto"/>
        <w:rPr>
          <w:szCs w:val="21"/>
        </w:rPr>
      </w:pPr>
      <w:r>
        <w:rPr>
          <w:szCs w:val="21"/>
        </w:rPr>
        <w:br w:type="page"/>
      </w:r>
    </w:p>
    <w:bookmarkEnd w:id="1285"/>
    <w:bookmarkEnd w:id="1286"/>
    <w:bookmarkEnd w:id="1287"/>
    <w:bookmarkEnd w:id="1288"/>
    <w:p>
      <w:pPr>
        <w:pStyle w:val="4"/>
      </w:pPr>
      <w:bookmarkStart w:id="1323" w:name="_Toc110264957"/>
      <w:bookmarkStart w:id="1324" w:name="_Toc110264740"/>
      <w:bookmarkStart w:id="1325" w:name="_Toc110272064"/>
      <w:bookmarkStart w:id="1326" w:name="_Toc391287346"/>
      <w:bookmarkStart w:id="1327" w:name="_Toc324771998"/>
      <w:bookmarkStart w:id="1328" w:name="_Toc169103267"/>
      <w:bookmarkStart w:id="1329" w:name="_Toc110262759"/>
      <w:bookmarkStart w:id="1330" w:name="_Toc110264414"/>
      <w:bookmarkStart w:id="1331" w:name="_Toc170312593"/>
      <w:bookmarkStart w:id="1332" w:name="_Toc110268531"/>
      <w:bookmarkStart w:id="1333" w:name="_Toc324772214"/>
      <w:bookmarkStart w:id="1334" w:name="_Toc110263953"/>
      <w:bookmarkStart w:id="1335" w:name="_Toc110264793"/>
      <w:bookmarkStart w:id="1336" w:name="_Toc171063131"/>
      <w:bookmarkStart w:id="1337" w:name="_Toc110265193"/>
      <w:bookmarkStart w:id="1338" w:name="_Toc110267687"/>
      <w:r>
        <w:rPr>
          <w:rFonts w:hint="eastAsia"/>
        </w:rPr>
        <w:t>投标人资格</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pPr>
        <w:spacing w:before="120" w:after="120" w:line="240" w:lineRule="atLeast"/>
        <w:ind w:firstLine="420" w:firstLineChars="200"/>
        <w:jc w:val="left"/>
        <w:textAlignment w:val="auto"/>
        <w:rPr>
          <w:color w:val="000000"/>
          <w:szCs w:val="21"/>
        </w:rPr>
      </w:pPr>
      <w:r>
        <w:rPr>
          <w:rFonts w:hint="eastAsia"/>
          <w:color w:val="000000"/>
          <w:szCs w:val="21"/>
        </w:rPr>
        <w:t>为证实投标人履行合同的资格，根据第三章的要求，投标人应提供下述相应信息表中的信息。</w:t>
      </w:r>
    </w:p>
    <w:p>
      <w:pPr>
        <w:pStyle w:val="4"/>
      </w:pPr>
      <w:bookmarkStart w:id="1339" w:name="_Toc110264415"/>
      <w:bookmarkStart w:id="1340" w:name="_Toc110263954"/>
      <w:bookmarkStart w:id="1341" w:name="_Toc110267688"/>
      <w:bookmarkStart w:id="1342" w:name="_Toc110262760"/>
      <w:bookmarkStart w:id="1343" w:name="_Toc168753478"/>
      <w:bookmarkStart w:id="1344" w:name="_Toc128391561"/>
      <w:bookmarkStart w:id="1345" w:name="_Toc128397558"/>
      <w:bookmarkStart w:id="1346" w:name="_Toc128391205"/>
      <w:bookmarkStart w:id="1347" w:name="_Toc170312594"/>
      <w:bookmarkStart w:id="1348" w:name="_Toc169103268"/>
      <w:bookmarkStart w:id="1349" w:name="_Toc171063132"/>
      <w:r>
        <w:rPr>
          <w:rFonts w:hint="eastAsia"/>
        </w:rPr>
        <w:t xml:space="preserve">表ELI </w:t>
      </w:r>
      <w:r>
        <w:t>2.1(1)</w:t>
      </w:r>
      <w:bookmarkEnd w:id="1339"/>
      <w:bookmarkEnd w:id="1340"/>
      <w:bookmarkEnd w:id="1341"/>
      <w:bookmarkEnd w:id="1342"/>
      <w:bookmarkStart w:id="1350" w:name="_Toc110267689"/>
      <w:bookmarkStart w:id="1351" w:name="_Toc110264416"/>
      <w:bookmarkStart w:id="1352" w:name="_Toc110263955"/>
      <w:bookmarkStart w:id="1353" w:name="_Toc110262761"/>
      <w:r>
        <w:t xml:space="preserve"> </w:t>
      </w:r>
      <w:r>
        <w:rPr>
          <w:rFonts w:hint="eastAsia"/>
        </w:rPr>
        <w:t>投标人信息表</w:t>
      </w:r>
      <w:bookmarkEnd w:id="1343"/>
      <w:bookmarkEnd w:id="1344"/>
      <w:bookmarkEnd w:id="1345"/>
      <w:bookmarkEnd w:id="1346"/>
      <w:bookmarkEnd w:id="1347"/>
      <w:bookmarkEnd w:id="1348"/>
      <w:bookmarkEnd w:id="1349"/>
      <w:bookmarkEnd w:id="1350"/>
      <w:bookmarkEnd w:id="1351"/>
      <w:bookmarkEnd w:id="1352"/>
      <w:bookmarkEnd w:id="1353"/>
    </w:p>
    <w:p>
      <w:pPr>
        <w:spacing w:before="120" w:after="120" w:line="240" w:lineRule="atLeast"/>
        <w:ind w:left="360"/>
        <w:jc w:val="left"/>
        <w:textAlignment w:val="auto"/>
        <w:rPr>
          <w:szCs w:val="21"/>
          <w:lang w:val="es-ES"/>
        </w:rPr>
      </w:pPr>
    </w:p>
    <w:p>
      <w:pPr>
        <w:spacing w:before="120" w:after="120" w:line="240" w:lineRule="atLeast"/>
        <w:ind w:left="357"/>
        <w:jc w:val="right"/>
        <w:textAlignment w:val="auto"/>
        <w:rPr>
          <w:i/>
          <w:iCs/>
          <w:szCs w:val="21"/>
          <w:lang w:val="es-ES"/>
        </w:rPr>
      </w:pPr>
      <w:r>
        <w:rPr>
          <w:rFonts w:hint="eastAsia"/>
          <w:szCs w:val="21"/>
          <w:lang w:val="es-ES"/>
        </w:rPr>
        <w:t>制表日期：</w:t>
      </w:r>
      <w:r>
        <w:rPr>
          <w:i/>
          <w:iCs/>
          <w:szCs w:val="21"/>
          <w:lang w:val="es-ES"/>
        </w:rPr>
        <w:t>_______________________</w:t>
      </w:r>
      <w:r>
        <w:rPr>
          <w:iCs/>
          <w:szCs w:val="21"/>
          <w:lang w:val="es-ES"/>
        </w:rPr>
        <w:t>_</w:t>
      </w:r>
    </w:p>
    <w:p>
      <w:pPr>
        <w:spacing w:before="120" w:after="120" w:line="240" w:lineRule="atLeast"/>
        <w:ind w:left="357"/>
        <w:jc w:val="right"/>
        <w:textAlignment w:val="auto"/>
        <w:rPr>
          <w:szCs w:val="21"/>
          <w:lang w:val="es-ES"/>
        </w:rPr>
      </w:pPr>
      <w:r>
        <w:rPr>
          <w:szCs w:val="21"/>
          <w:lang w:val="es-ES"/>
        </w:rPr>
        <w:t>本次招标</w:t>
      </w:r>
      <w:r>
        <w:rPr>
          <w:rFonts w:hint="eastAsia"/>
          <w:szCs w:val="21"/>
          <w:lang w:val="es-ES"/>
        </w:rPr>
        <w:t>编号</w:t>
      </w:r>
      <w:r>
        <w:rPr>
          <w:szCs w:val="21"/>
          <w:lang w:val="es-ES"/>
        </w:rPr>
        <w:t>：________________________</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1.</w:t>
            </w:r>
            <w:r>
              <w:rPr>
                <w:rFonts w:hint="eastAsia"/>
                <w:sz w:val="21"/>
                <w:szCs w:val="21"/>
                <w:lang w:val="es-ES" w:eastAsia="zh-CN"/>
              </w:rPr>
              <w:t>投标人法定名称：________________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spacing w:before="120" w:after="120" w:line="240" w:lineRule="atLeast"/>
              <w:textAlignment w:val="auto"/>
              <w:rPr>
                <w:szCs w:val="21"/>
                <w:lang w:val="es-ES"/>
              </w:rPr>
            </w:pPr>
            <w:r>
              <w:rPr>
                <w:szCs w:val="21"/>
                <w:lang w:val="es-ES"/>
              </w:rPr>
              <w:t>2.</w:t>
            </w:r>
            <w:r>
              <w:rPr>
                <w:rFonts w:hint="eastAsia"/>
                <w:szCs w:val="21"/>
                <w:lang w:val="es-ES"/>
              </w:rPr>
              <w:t>如果为联合体，联合体各成员的法定名称：________________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3.</w:t>
            </w:r>
            <w:r>
              <w:rPr>
                <w:rFonts w:hint="eastAsia"/>
                <w:sz w:val="21"/>
                <w:szCs w:val="21"/>
                <w:lang w:val="es-ES" w:eastAsia="zh-CN"/>
              </w:rPr>
              <w:t>投标人注册的国家：________________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4.</w:t>
            </w:r>
            <w:r>
              <w:rPr>
                <w:rFonts w:hint="eastAsia"/>
                <w:sz w:val="21"/>
                <w:szCs w:val="21"/>
                <w:lang w:val="es-ES" w:eastAsia="zh-CN"/>
              </w:rPr>
              <w:t>投标人的注册年份：________________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5.</w:t>
            </w:r>
            <w:r>
              <w:rPr>
                <w:rFonts w:hint="eastAsia"/>
                <w:sz w:val="21"/>
                <w:szCs w:val="21"/>
                <w:lang w:val="es-ES" w:eastAsia="zh-CN"/>
              </w:rPr>
              <w:t>投标人在注册国家的法定地址：________________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6.</w:t>
            </w:r>
            <w:r>
              <w:rPr>
                <w:rFonts w:hint="eastAsia"/>
                <w:sz w:val="21"/>
                <w:szCs w:val="21"/>
                <w:lang w:val="es-ES" w:eastAsia="zh-CN"/>
              </w:rPr>
              <w:t>投标人授权代表的信息：</w:t>
            </w:r>
          </w:p>
          <w:p>
            <w:pPr>
              <w:pStyle w:val="49"/>
              <w:widowControl w:val="0"/>
              <w:spacing w:before="120" w:after="120" w:line="240" w:lineRule="atLeast"/>
              <w:rPr>
                <w:i/>
                <w:iCs/>
                <w:sz w:val="21"/>
                <w:szCs w:val="21"/>
                <w:lang w:val="es-ES" w:eastAsia="zh-CN"/>
              </w:rPr>
            </w:pPr>
            <w:r>
              <w:rPr>
                <w:rFonts w:hint="eastAsia"/>
                <w:sz w:val="21"/>
                <w:szCs w:val="21"/>
                <w:lang w:val="es-ES" w:eastAsia="zh-CN"/>
              </w:rPr>
              <w:t>姓名：________________</w:t>
            </w:r>
          </w:p>
          <w:p>
            <w:pPr>
              <w:pStyle w:val="49"/>
              <w:widowControl w:val="0"/>
              <w:spacing w:before="120" w:after="120" w:line="240" w:lineRule="atLeast"/>
              <w:rPr>
                <w:sz w:val="21"/>
                <w:szCs w:val="21"/>
                <w:lang w:val="es-ES" w:eastAsia="zh-CN"/>
              </w:rPr>
            </w:pPr>
            <w:r>
              <w:rPr>
                <w:rFonts w:hint="eastAsia"/>
                <w:sz w:val="21"/>
                <w:szCs w:val="21"/>
                <w:lang w:val="es-ES" w:eastAsia="zh-CN"/>
              </w:rPr>
              <w:t>地址：________________</w:t>
            </w:r>
          </w:p>
          <w:p>
            <w:pPr>
              <w:pStyle w:val="49"/>
              <w:widowControl w:val="0"/>
              <w:spacing w:before="120" w:after="120" w:line="240" w:lineRule="atLeast"/>
              <w:rPr>
                <w:sz w:val="21"/>
                <w:szCs w:val="21"/>
                <w:lang w:val="es-ES" w:eastAsia="zh-CN"/>
              </w:rPr>
            </w:pPr>
            <w:r>
              <w:rPr>
                <w:rFonts w:hint="eastAsia"/>
                <w:sz w:val="21"/>
                <w:szCs w:val="21"/>
                <w:lang w:val="es-ES" w:eastAsia="zh-CN"/>
              </w:rPr>
              <w:t>电话/传真：_______________</w:t>
            </w:r>
          </w:p>
          <w:p>
            <w:pPr>
              <w:pStyle w:val="49"/>
              <w:widowControl w:val="0"/>
              <w:spacing w:before="120" w:after="120" w:line="240" w:lineRule="atLeast"/>
              <w:rPr>
                <w:sz w:val="21"/>
                <w:szCs w:val="21"/>
                <w:lang w:val="es-ES" w:eastAsia="zh-CN"/>
              </w:rPr>
            </w:pPr>
            <w:r>
              <w:rPr>
                <w:rFonts w:hint="eastAsia"/>
                <w:sz w:val="21"/>
                <w:szCs w:val="21"/>
                <w:lang w:val="es-ES" w:eastAsia="zh-CN"/>
              </w:rPr>
              <w:t>电子邮件地址：________________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303" w:type="dxa"/>
          </w:tcPr>
          <w:p>
            <w:pPr>
              <w:pStyle w:val="49"/>
              <w:widowControl w:val="0"/>
              <w:spacing w:before="120" w:after="120" w:line="240" w:lineRule="atLeast"/>
              <w:rPr>
                <w:sz w:val="21"/>
                <w:szCs w:val="21"/>
                <w:lang w:val="es-ES" w:eastAsia="zh-CN"/>
              </w:rPr>
            </w:pPr>
            <w:r>
              <w:rPr>
                <w:sz w:val="21"/>
                <w:szCs w:val="21"/>
                <w:lang w:val="es-ES" w:eastAsia="zh-CN"/>
              </w:rPr>
              <w:t>7.</w:t>
            </w:r>
            <w:r>
              <w:rPr>
                <w:rFonts w:hint="eastAsia"/>
                <w:sz w:val="21"/>
                <w:szCs w:val="21"/>
                <w:lang w:val="es-ES" w:eastAsia="zh-CN"/>
              </w:rPr>
              <w:t>随附下列原件的复印件：</w:t>
            </w:r>
          </w:p>
          <w:p>
            <w:pPr>
              <w:spacing w:before="120" w:after="120" w:line="240" w:lineRule="atLeast"/>
              <w:ind w:left="697" w:hanging="540"/>
              <w:jc w:val="left"/>
              <w:textAlignment w:val="auto"/>
              <w:rPr>
                <w:szCs w:val="21"/>
              </w:rPr>
            </w:pPr>
            <w:r>
              <w:rPr>
                <w:rFonts w:hint="eastAsia"/>
                <w:szCs w:val="21"/>
              </w:rPr>
              <w:t>（1）根据“投标人须</w:t>
            </w:r>
            <w:r>
              <w:rPr>
                <w:szCs w:val="21"/>
              </w:rPr>
              <w:t>知</w:t>
            </w:r>
            <w:r>
              <w:rPr>
                <w:rFonts w:hint="eastAsia"/>
                <w:szCs w:val="21"/>
              </w:rPr>
              <w:t>”第4.1款和</w:t>
            </w:r>
            <w:r>
              <w:rPr>
                <w:szCs w:val="21"/>
              </w:rPr>
              <w:t>第4.</w:t>
            </w:r>
            <w:r>
              <w:rPr>
                <w:rFonts w:hint="eastAsia"/>
                <w:szCs w:val="21"/>
              </w:rPr>
              <w:t>2款，上述第</w:t>
            </w:r>
            <w:r>
              <w:rPr>
                <w:szCs w:val="21"/>
              </w:rPr>
              <w:t>1</w:t>
            </w:r>
            <w:r>
              <w:rPr>
                <w:rFonts w:hint="eastAsia"/>
                <w:szCs w:val="21"/>
              </w:rPr>
              <w:t>项中公司的章程或注册文件</w:t>
            </w:r>
          </w:p>
          <w:p>
            <w:pPr>
              <w:spacing w:before="120" w:after="120" w:line="240" w:lineRule="atLeast"/>
              <w:ind w:left="697" w:hanging="540"/>
              <w:jc w:val="left"/>
              <w:textAlignment w:val="auto"/>
              <w:rPr>
                <w:szCs w:val="21"/>
              </w:rPr>
            </w:pPr>
            <w:r>
              <w:rPr>
                <w:rFonts w:hint="eastAsia"/>
                <w:szCs w:val="21"/>
              </w:rPr>
              <w:t>（2）</w:t>
            </w:r>
            <w:r>
              <w:rPr>
                <w:rFonts w:hint="eastAsia" w:ascii="宋体" w:hAnsi="宋体"/>
                <w:szCs w:val="21"/>
                <w:lang w:val="es-ES"/>
              </w:rPr>
              <w:t>根据“投标人须知”第</w:t>
            </w:r>
            <w:r>
              <w:rPr>
                <w:rFonts w:hint="eastAsia"/>
                <w:szCs w:val="21"/>
                <w:lang w:val="es-ES"/>
              </w:rPr>
              <w:t>2</w:t>
            </w:r>
            <w:r>
              <w:rPr>
                <w:szCs w:val="21"/>
                <w:lang w:val="es-ES"/>
              </w:rPr>
              <w:t>0</w:t>
            </w:r>
            <w:r>
              <w:rPr>
                <w:rFonts w:hint="eastAsia"/>
                <w:szCs w:val="21"/>
                <w:lang w:val="es-ES"/>
              </w:rPr>
              <w:t>.2</w:t>
            </w:r>
            <w:r>
              <w:rPr>
                <w:rFonts w:hint="eastAsia" w:ascii="宋体" w:hAnsi="宋体"/>
                <w:szCs w:val="21"/>
                <w:lang w:val="es-ES"/>
              </w:rPr>
              <w:t>款，代表上述公司或联合体的授权文件</w:t>
            </w:r>
          </w:p>
          <w:p>
            <w:pPr>
              <w:spacing w:before="120" w:after="120" w:line="240" w:lineRule="atLeast"/>
              <w:ind w:left="697" w:hanging="540"/>
              <w:jc w:val="left"/>
              <w:textAlignment w:val="auto"/>
              <w:rPr>
                <w:szCs w:val="21"/>
              </w:rPr>
            </w:pPr>
            <w:r>
              <w:rPr>
                <w:rFonts w:hint="eastAsia"/>
                <w:szCs w:val="21"/>
              </w:rPr>
              <w:t>（3）如果是联合体，根据“投标人须知”第</w:t>
            </w:r>
            <w:r>
              <w:rPr>
                <w:szCs w:val="21"/>
              </w:rPr>
              <w:t>4.</w:t>
            </w:r>
            <w:r>
              <w:rPr>
                <w:rFonts w:hint="eastAsia"/>
                <w:szCs w:val="21"/>
              </w:rPr>
              <w:t>1款，组成联合体的联合意向书或联合协议书</w:t>
            </w:r>
          </w:p>
          <w:p>
            <w:pPr>
              <w:spacing w:before="120" w:after="120" w:line="240" w:lineRule="atLeast"/>
              <w:ind w:left="697" w:hanging="540"/>
              <w:jc w:val="left"/>
              <w:textAlignment w:val="auto"/>
              <w:rPr>
                <w:szCs w:val="21"/>
                <w:lang w:val="es-ES"/>
              </w:rPr>
            </w:pPr>
            <w:r>
              <w:rPr>
                <w:rFonts w:hint="eastAsia"/>
                <w:szCs w:val="21"/>
              </w:rPr>
              <w:t>（</w:t>
            </w:r>
            <w:r>
              <w:rPr>
                <w:szCs w:val="21"/>
              </w:rPr>
              <w:t>4</w:t>
            </w:r>
            <w:r>
              <w:rPr>
                <w:rFonts w:hint="eastAsia"/>
                <w:szCs w:val="21"/>
              </w:rPr>
              <w:t>）根据“投标人须</w:t>
            </w:r>
            <w:r>
              <w:rPr>
                <w:szCs w:val="21"/>
              </w:rPr>
              <w:t>知</w:t>
            </w:r>
            <w:r>
              <w:rPr>
                <w:rFonts w:hint="eastAsia"/>
                <w:szCs w:val="21"/>
              </w:rPr>
              <w:t>”第4.5款，如果是国有企业，证实其在法律上和财务上独立并按商业规则运作的文件</w:t>
            </w:r>
          </w:p>
        </w:tc>
      </w:tr>
    </w:tbl>
    <w:p>
      <w:pPr>
        <w:spacing w:before="120" w:after="120" w:line="240" w:lineRule="atLeast"/>
        <w:ind w:left="360"/>
        <w:jc w:val="center"/>
        <w:textAlignment w:val="auto"/>
        <w:rPr>
          <w:szCs w:val="21"/>
        </w:rPr>
        <w:sectPr>
          <w:footerReference r:id="rId17" w:type="default"/>
          <w:footnotePr>
            <w:numRestart w:val="eachPage"/>
          </w:footnotePr>
          <w:endnotePr>
            <w:numFmt w:val="decimal"/>
          </w:endnotePr>
          <w:pgSz w:w="11907" w:h="16840"/>
          <w:pgMar w:top="1440" w:right="1797" w:bottom="1440" w:left="1797" w:header="851" w:footer="992" w:gutter="0"/>
          <w:cols w:space="425" w:num="1"/>
          <w:docGrid w:linePitch="286" w:charSpace="0"/>
        </w:sectPr>
      </w:pPr>
    </w:p>
    <w:p>
      <w:pPr>
        <w:pStyle w:val="6"/>
        <w:spacing w:before="120" w:after="120" w:line="240" w:lineRule="atLeast"/>
        <w:ind w:firstLine="422"/>
        <w:jc w:val="center"/>
        <w:textAlignment w:val="auto"/>
        <w:rPr>
          <w:kern w:val="2"/>
          <w:sz w:val="21"/>
          <w:szCs w:val="21"/>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bookmarkStart w:id="1354" w:name="_Toc128397559"/>
      <w:bookmarkStart w:id="1355" w:name="_Toc128391562"/>
      <w:bookmarkStart w:id="1356" w:name="_Toc128391206"/>
      <w:bookmarkStart w:id="1357" w:name="_Toc168753479"/>
    </w:p>
    <w:p>
      <w:pPr>
        <w:pStyle w:val="4"/>
      </w:pPr>
      <w:bookmarkStart w:id="1358" w:name="_Toc110262762"/>
      <w:bookmarkStart w:id="1359" w:name="_Toc110263956"/>
      <w:bookmarkStart w:id="1360" w:name="_Toc110264417"/>
      <w:bookmarkStart w:id="1361" w:name="_Toc110267690"/>
      <w:bookmarkStart w:id="1362" w:name="_Toc169103269"/>
      <w:bookmarkStart w:id="1363" w:name="_Toc171063133"/>
      <w:bookmarkStart w:id="1364" w:name="_Toc170312595"/>
      <w:r>
        <w:rPr>
          <w:rFonts w:hint="eastAsia"/>
        </w:rPr>
        <w:t xml:space="preserve">表ELI </w:t>
      </w:r>
      <w:r>
        <w:t>2.1(2)</w:t>
      </w:r>
      <w:bookmarkEnd w:id="1358"/>
      <w:bookmarkEnd w:id="1359"/>
      <w:bookmarkEnd w:id="1360"/>
      <w:bookmarkEnd w:id="1361"/>
      <w:bookmarkStart w:id="1365" w:name="_Toc110262763"/>
      <w:bookmarkStart w:id="1366" w:name="_Toc110264418"/>
      <w:bookmarkStart w:id="1367" w:name="_Toc110267691"/>
      <w:bookmarkStart w:id="1368" w:name="_Toc110263957"/>
      <w:r>
        <w:t xml:space="preserve">  </w:t>
      </w:r>
      <w:r>
        <w:rPr>
          <w:rFonts w:hint="eastAsia"/>
        </w:rPr>
        <w:t>联合体成员信息表</w:t>
      </w:r>
      <w:bookmarkEnd w:id="1354"/>
      <w:bookmarkEnd w:id="1355"/>
      <w:bookmarkEnd w:id="1356"/>
      <w:bookmarkEnd w:id="1357"/>
      <w:bookmarkEnd w:id="1362"/>
      <w:bookmarkEnd w:id="1363"/>
      <w:bookmarkEnd w:id="1364"/>
      <w:bookmarkEnd w:id="1365"/>
      <w:bookmarkEnd w:id="1366"/>
      <w:bookmarkEnd w:id="1367"/>
      <w:bookmarkEnd w:id="1368"/>
    </w:p>
    <w:p>
      <w:pPr>
        <w:spacing w:before="120" w:after="120" w:line="240" w:lineRule="atLeast"/>
        <w:ind w:left="360"/>
        <w:jc w:val="right"/>
        <w:textAlignment w:val="auto"/>
        <w:rPr>
          <w:szCs w:val="21"/>
        </w:rPr>
      </w:pPr>
    </w:p>
    <w:p>
      <w:pPr>
        <w:spacing w:before="120" w:after="120" w:line="240" w:lineRule="atLeast"/>
        <w:ind w:left="357"/>
        <w:jc w:val="right"/>
        <w:textAlignment w:val="auto"/>
        <w:rPr>
          <w:i/>
          <w:iCs/>
          <w:szCs w:val="21"/>
          <w:lang w:val="es-ES"/>
        </w:rPr>
      </w:pPr>
      <w:r>
        <w:rPr>
          <w:rFonts w:hint="eastAsia"/>
          <w:szCs w:val="21"/>
          <w:lang w:val="es-ES"/>
        </w:rPr>
        <w:t>日期：</w:t>
      </w:r>
      <w:r>
        <w:rPr>
          <w:rFonts w:hint="eastAsia"/>
          <w:i/>
          <w:iCs/>
          <w:szCs w:val="21"/>
          <w:lang w:val="es-ES"/>
        </w:rPr>
        <w:t>________________________</w:t>
      </w:r>
    </w:p>
    <w:p>
      <w:pPr>
        <w:spacing w:before="120" w:after="120" w:line="240" w:lineRule="atLeast"/>
        <w:ind w:left="357"/>
        <w:jc w:val="right"/>
        <w:textAlignment w:val="auto"/>
        <w:rPr>
          <w:i/>
          <w:iCs/>
          <w:szCs w:val="21"/>
          <w:lang w:val="es-ES"/>
        </w:rPr>
      </w:pPr>
      <w:r>
        <w:rPr>
          <w:szCs w:val="21"/>
          <w:lang w:val="es-ES"/>
        </w:rPr>
        <w:t>本次招标</w:t>
      </w:r>
      <w:r>
        <w:rPr>
          <w:rFonts w:hint="eastAsia"/>
          <w:szCs w:val="21"/>
          <w:lang w:val="es-ES"/>
        </w:rPr>
        <w:t>编号：________________________</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1.投标人法定名称：</w:t>
            </w:r>
            <w:r>
              <w:rPr>
                <w:rFonts w:hint="eastAsia"/>
                <w:sz w:val="21"/>
                <w:szCs w:val="21"/>
                <w:lang w:val="es-ES" w:eastAsia="zh-CN"/>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rFonts w:hint="eastAsia"/>
                <w:sz w:val="21"/>
                <w:szCs w:val="21"/>
                <w:lang w:val="es-ES" w:eastAsia="zh-CN"/>
              </w:rPr>
              <w:t>2.根据“投标人须知”第20.2款，代表投标人的授权：</w:t>
            </w:r>
            <w:r>
              <w:rPr>
                <w:sz w:val="21"/>
                <w:szCs w:val="21"/>
                <w:lang w:val="es-ES" w:eastAsia="zh-CN"/>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3.联合体</w:t>
            </w:r>
            <w:r>
              <w:rPr>
                <w:rFonts w:hint="eastAsia"/>
                <w:sz w:val="21"/>
                <w:szCs w:val="21"/>
                <w:lang w:val="es-ES" w:eastAsia="zh-CN"/>
              </w:rPr>
              <w:t>成员</w:t>
            </w:r>
            <w:r>
              <w:rPr>
                <w:sz w:val="21"/>
                <w:szCs w:val="21"/>
                <w:lang w:val="es-ES" w:eastAsia="zh-CN"/>
              </w:rPr>
              <w:t>的法定名称：________________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4.联合体</w:t>
            </w:r>
            <w:r>
              <w:rPr>
                <w:rFonts w:hint="eastAsia"/>
                <w:sz w:val="21"/>
                <w:szCs w:val="21"/>
                <w:lang w:val="es-ES" w:eastAsia="zh-CN"/>
              </w:rPr>
              <w:t>成员</w:t>
            </w:r>
            <w:r>
              <w:rPr>
                <w:sz w:val="21"/>
                <w:szCs w:val="21"/>
                <w:lang w:val="es-ES" w:eastAsia="zh-CN"/>
              </w:rPr>
              <w:t>的注册国家：________________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5.联合体</w:t>
            </w:r>
            <w:r>
              <w:rPr>
                <w:rFonts w:hint="eastAsia"/>
                <w:sz w:val="21"/>
                <w:szCs w:val="21"/>
                <w:lang w:val="es-ES" w:eastAsia="zh-CN"/>
              </w:rPr>
              <w:t>成员</w:t>
            </w:r>
            <w:r>
              <w:rPr>
                <w:sz w:val="21"/>
                <w:szCs w:val="21"/>
                <w:lang w:val="es-ES" w:eastAsia="zh-CN"/>
              </w:rPr>
              <w:t>的注册年份：________________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6.联合体</w:t>
            </w:r>
            <w:r>
              <w:rPr>
                <w:rFonts w:hint="eastAsia"/>
                <w:sz w:val="21"/>
                <w:szCs w:val="21"/>
                <w:lang w:val="es-ES" w:eastAsia="zh-CN"/>
              </w:rPr>
              <w:t>成员</w:t>
            </w:r>
            <w:r>
              <w:rPr>
                <w:sz w:val="21"/>
                <w:szCs w:val="21"/>
                <w:lang w:val="es-ES" w:eastAsia="zh-CN"/>
              </w:rPr>
              <w:t>在注册国家的法定地址：________________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tcPr>
          <w:p>
            <w:pPr>
              <w:pStyle w:val="49"/>
              <w:widowControl w:val="0"/>
              <w:spacing w:before="120" w:after="120" w:line="240" w:lineRule="atLeast"/>
              <w:rPr>
                <w:sz w:val="21"/>
                <w:szCs w:val="21"/>
                <w:lang w:val="es-ES" w:eastAsia="zh-CN"/>
              </w:rPr>
            </w:pPr>
            <w:r>
              <w:rPr>
                <w:sz w:val="21"/>
                <w:szCs w:val="21"/>
                <w:lang w:val="es-ES" w:eastAsia="zh-CN"/>
              </w:rPr>
              <w:t>7.联合体牵头方信息：</w:t>
            </w:r>
          </w:p>
          <w:p>
            <w:pPr>
              <w:pStyle w:val="49"/>
              <w:widowControl w:val="0"/>
              <w:spacing w:before="120" w:after="120" w:line="240" w:lineRule="atLeast"/>
              <w:rPr>
                <w:i/>
                <w:iCs/>
                <w:sz w:val="21"/>
                <w:szCs w:val="21"/>
                <w:lang w:val="es-ES" w:eastAsia="zh-CN"/>
              </w:rPr>
            </w:pPr>
            <w:r>
              <w:rPr>
                <w:sz w:val="21"/>
                <w:szCs w:val="21"/>
                <w:lang w:val="es-ES" w:eastAsia="zh-CN"/>
              </w:rPr>
              <w:t>名称：________________</w:t>
            </w:r>
          </w:p>
          <w:p>
            <w:pPr>
              <w:pStyle w:val="49"/>
              <w:widowControl w:val="0"/>
              <w:spacing w:before="120" w:after="120" w:line="240" w:lineRule="atLeast"/>
              <w:rPr>
                <w:sz w:val="21"/>
                <w:szCs w:val="21"/>
                <w:lang w:val="es-ES" w:eastAsia="zh-CN"/>
              </w:rPr>
            </w:pPr>
            <w:r>
              <w:rPr>
                <w:sz w:val="21"/>
                <w:szCs w:val="21"/>
                <w:lang w:val="es-ES" w:eastAsia="zh-CN"/>
              </w:rPr>
              <w:t>地址：________________</w:t>
            </w:r>
          </w:p>
          <w:p>
            <w:pPr>
              <w:pStyle w:val="49"/>
              <w:widowControl w:val="0"/>
              <w:spacing w:before="120" w:after="120" w:line="240" w:lineRule="atLeast"/>
              <w:rPr>
                <w:sz w:val="21"/>
                <w:szCs w:val="21"/>
                <w:lang w:val="es-ES" w:eastAsia="zh-CN"/>
              </w:rPr>
            </w:pPr>
            <w:r>
              <w:rPr>
                <w:sz w:val="21"/>
                <w:szCs w:val="21"/>
                <w:lang w:val="es-ES" w:eastAsia="zh-CN"/>
              </w:rPr>
              <w:t>电话/传真：________________</w:t>
            </w:r>
          </w:p>
          <w:p>
            <w:pPr>
              <w:pStyle w:val="49"/>
              <w:widowControl w:val="0"/>
              <w:spacing w:before="120" w:after="120" w:line="240" w:lineRule="atLeast"/>
              <w:rPr>
                <w:sz w:val="21"/>
                <w:szCs w:val="21"/>
                <w:lang w:val="es-ES" w:eastAsia="zh-CN"/>
              </w:rPr>
            </w:pPr>
            <w:r>
              <w:rPr>
                <w:sz w:val="21"/>
                <w:szCs w:val="21"/>
                <w:lang w:val="es-ES" w:eastAsia="zh-CN"/>
              </w:rPr>
              <w:t>电子邮件地址：________________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303" w:type="dxa"/>
          </w:tcPr>
          <w:p>
            <w:pPr>
              <w:pStyle w:val="49"/>
              <w:widowControl w:val="0"/>
              <w:spacing w:before="120" w:after="120" w:line="240" w:lineRule="atLeast"/>
              <w:rPr>
                <w:sz w:val="21"/>
                <w:szCs w:val="21"/>
                <w:lang w:val="es-ES" w:eastAsia="zh-CN"/>
              </w:rPr>
            </w:pPr>
            <w:r>
              <w:rPr>
                <w:sz w:val="21"/>
                <w:szCs w:val="21"/>
                <w:lang w:val="es-ES" w:eastAsia="zh-CN"/>
              </w:rPr>
              <w:t>8.随附下列原件的复印件：</w:t>
            </w:r>
          </w:p>
          <w:p>
            <w:pPr>
              <w:spacing w:before="120" w:after="120" w:line="240" w:lineRule="atLeast"/>
              <w:ind w:left="697" w:hanging="540"/>
              <w:jc w:val="left"/>
              <w:textAlignment w:val="auto"/>
              <w:rPr>
                <w:szCs w:val="21"/>
              </w:rPr>
            </w:pPr>
            <w:r>
              <w:rPr>
                <w:rFonts w:hint="eastAsia"/>
                <w:szCs w:val="21"/>
              </w:rPr>
              <w:t>（1）</w:t>
            </w:r>
            <w:r>
              <w:rPr>
                <w:szCs w:val="21"/>
              </w:rPr>
              <w:t>根据</w:t>
            </w:r>
            <w:r>
              <w:rPr>
                <w:rFonts w:hint="eastAsia"/>
                <w:szCs w:val="21"/>
              </w:rPr>
              <w:t>“</w:t>
            </w:r>
            <w:r>
              <w:rPr>
                <w:szCs w:val="21"/>
              </w:rPr>
              <w:t>投标人须知</w:t>
            </w:r>
            <w:r>
              <w:rPr>
                <w:rFonts w:hint="eastAsia"/>
                <w:szCs w:val="21"/>
              </w:rPr>
              <w:t>”</w:t>
            </w:r>
            <w:r>
              <w:rPr>
                <w:szCs w:val="21"/>
              </w:rPr>
              <w:t>第4.1款和第4.2款，上述第1项中公司的章程或注册文件</w:t>
            </w:r>
          </w:p>
          <w:p>
            <w:pPr>
              <w:spacing w:before="120" w:after="120" w:line="240" w:lineRule="atLeast"/>
              <w:ind w:left="697" w:hanging="540"/>
              <w:jc w:val="left"/>
              <w:textAlignment w:val="auto"/>
              <w:rPr>
                <w:szCs w:val="21"/>
              </w:rPr>
            </w:pPr>
            <w:r>
              <w:rPr>
                <w:rFonts w:hint="eastAsia" w:ascii="宋体" w:hAnsi="宋体"/>
                <w:szCs w:val="21"/>
                <w:lang w:val="es-ES"/>
              </w:rPr>
              <w:t>（2）根据“投标人须知”第</w:t>
            </w:r>
            <w:r>
              <w:rPr>
                <w:szCs w:val="21"/>
                <w:lang w:val="es-ES"/>
              </w:rPr>
              <w:t>20.2</w:t>
            </w:r>
            <w:r>
              <w:rPr>
                <w:rFonts w:hint="eastAsia" w:ascii="宋体" w:hAnsi="宋体"/>
                <w:szCs w:val="21"/>
                <w:lang w:val="es-ES"/>
              </w:rPr>
              <w:t>款，代表投标人的授权文件</w:t>
            </w:r>
          </w:p>
          <w:p>
            <w:pPr>
              <w:spacing w:before="120" w:after="120" w:line="240" w:lineRule="atLeast"/>
              <w:ind w:left="697" w:hanging="540"/>
              <w:jc w:val="left"/>
              <w:textAlignment w:val="auto"/>
              <w:rPr>
                <w:szCs w:val="21"/>
                <w:lang w:val="es-ES"/>
              </w:rPr>
            </w:pPr>
            <w:r>
              <w:rPr>
                <w:rFonts w:hint="eastAsia"/>
                <w:szCs w:val="21"/>
              </w:rPr>
              <w:t>（</w:t>
            </w:r>
            <w:r>
              <w:rPr>
                <w:szCs w:val="21"/>
              </w:rPr>
              <w:t>3</w:t>
            </w:r>
            <w:r>
              <w:rPr>
                <w:rFonts w:hint="eastAsia"/>
                <w:szCs w:val="21"/>
              </w:rPr>
              <w:t>）</w:t>
            </w:r>
            <w:r>
              <w:rPr>
                <w:szCs w:val="21"/>
              </w:rPr>
              <w:t>根据</w:t>
            </w:r>
            <w:r>
              <w:rPr>
                <w:rFonts w:hint="eastAsia"/>
                <w:szCs w:val="21"/>
              </w:rPr>
              <w:t>“</w:t>
            </w:r>
            <w:r>
              <w:rPr>
                <w:szCs w:val="21"/>
              </w:rPr>
              <w:t>投标人须知</w:t>
            </w:r>
            <w:r>
              <w:rPr>
                <w:rFonts w:hint="eastAsia"/>
                <w:szCs w:val="21"/>
              </w:rPr>
              <w:t>”</w:t>
            </w:r>
            <w:r>
              <w:rPr>
                <w:szCs w:val="21"/>
              </w:rPr>
              <w:t>第4.5款，如果是国有企业，证实其在法律上和财务上独立并按商业规则运作的文件</w:t>
            </w:r>
          </w:p>
        </w:tc>
      </w:tr>
    </w:tbl>
    <w:p>
      <w:pPr>
        <w:spacing w:before="120" w:after="120" w:line="240" w:lineRule="atLeast"/>
        <w:ind w:left="360"/>
        <w:jc w:val="right"/>
        <w:textAlignment w:val="auto"/>
        <w:rPr>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spacing w:before="120" w:after="120" w:line="240" w:lineRule="atLeast"/>
        <w:ind w:firstLine="422"/>
        <w:jc w:val="center"/>
        <w:textAlignment w:val="auto"/>
        <w:rPr>
          <w:b/>
          <w:szCs w:val="21"/>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pStyle w:val="4"/>
      </w:pPr>
      <w:bookmarkStart w:id="1369" w:name="_Toc171063134"/>
      <w:bookmarkStart w:id="1370" w:name="_Toc170312596"/>
      <w:bookmarkStart w:id="1371" w:name="_Toc169103270"/>
      <w:r>
        <w:t xml:space="preserve">表CON-2.2.1 </w:t>
      </w:r>
      <w:r>
        <w:rPr>
          <w:rFonts w:hint="eastAsia"/>
        </w:rPr>
        <w:t>未履行合同记录</w:t>
      </w:r>
      <w:bookmarkEnd w:id="1369"/>
      <w:bookmarkEnd w:id="1370"/>
      <w:bookmarkEnd w:id="1371"/>
    </w:p>
    <w:p>
      <w:pPr>
        <w:spacing w:before="120" w:after="120" w:line="240" w:lineRule="atLeast"/>
        <w:textAlignment w:val="auto"/>
        <w:rPr>
          <w:color w:val="000000"/>
          <w:szCs w:val="21"/>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　　　　         </w:t>
      </w:r>
      <w:r>
        <w:rPr>
          <w:color w:val="000000"/>
          <w:szCs w:val="21"/>
          <w:lang w:val="es-ES"/>
        </w:rPr>
        <w:t xml:space="preserve"> </w:t>
      </w:r>
      <w:r>
        <w:rPr>
          <w:rFonts w:hint="eastAsia"/>
          <w:color w:val="000000"/>
          <w:szCs w:val="21"/>
          <w:lang w:val="es-ES"/>
        </w:rPr>
        <w:t>日期：_________________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w:t>
      </w:r>
      <w:r>
        <w:rPr>
          <w:color w:val="000000"/>
          <w:szCs w:val="21"/>
          <w:lang w:val="es-ES"/>
        </w:rPr>
        <w:t xml:space="preserve">    </w:t>
      </w:r>
      <w:r>
        <w:rPr>
          <w:rFonts w:hint="eastAsia"/>
          <w:color w:val="000000"/>
          <w:szCs w:val="21"/>
          <w:lang w:val="es-ES"/>
        </w:rPr>
        <w:t>　</w:t>
      </w:r>
      <w:r>
        <w:rPr>
          <w:szCs w:val="21"/>
          <w:lang w:val="es-ES"/>
        </w:rPr>
        <w:t>本次招标</w:t>
      </w:r>
      <w:r>
        <w:rPr>
          <w:rFonts w:hint="eastAsia"/>
          <w:szCs w:val="21"/>
          <w:lang w:val="es-ES"/>
        </w:rPr>
        <w:t>编号</w:t>
      </w:r>
      <w:r>
        <w:rPr>
          <w:rFonts w:hint="eastAsia"/>
          <w:color w:val="000000"/>
          <w:szCs w:val="21"/>
          <w:lang w:val="es-ES"/>
        </w:rPr>
        <w:t>：_________________</w:t>
      </w:r>
    </w:p>
    <w:p>
      <w:pPr>
        <w:spacing w:before="120" w:after="120" w:line="240" w:lineRule="atLeast"/>
        <w:ind w:right="34"/>
        <w:jc w:val="left"/>
        <w:rPr>
          <w:color w:val="000000"/>
          <w:szCs w:val="21"/>
        </w:rPr>
      </w:pPr>
      <w:r>
        <w:rPr>
          <w:rFonts w:hint="eastAsia"/>
        </w:rPr>
        <w:t>联合体投标时，每个联合体成员必须单独填写下表。</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49"/>
        <w:gridCol w:w="3683"/>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4"/>
          </w:tcPr>
          <w:p>
            <w:pPr>
              <w:spacing w:before="120" w:after="120" w:line="240" w:lineRule="atLeast"/>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　根据第三章中的子因素</w:t>
            </w:r>
            <w:r>
              <w:rPr>
                <w:color w:val="000000"/>
                <w:sz w:val="20"/>
                <w:szCs w:val="21"/>
                <w:lang w:val="es-ES"/>
              </w:rPr>
              <w:t>2.2.</w:t>
            </w:r>
            <w:r>
              <w:rPr>
                <w:rFonts w:hint="eastAsia"/>
                <w:color w:val="000000"/>
                <w:sz w:val="20"/>
                <w:szCs w:val="21"/>
                <w:lang w:val="es-ES"/>
              </w:rPr>
              <w:t>1，在规定的时间内没有发生未履行的合同。</w:t>
            </w:r>
          </w:p>
          <w:p>
            <w:pPr>
              <w:spacing w:before="120" w:after="120" w:line="240" w:lineRule="atLeast"/>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　根据第三章中的子因素</w:t>
            </w:r>
            <w:r>
              <w:rPr>
                <w:color w:val="000000"/>
                <w:sz w:val="20"/>
                <w:szCs w:val="21"/>
                <w:lang w:val="es-ES"/>
              </w:rPr>
              <w:t>2.2.</w:t>
            </w:r>
            <w:r>
              <w:rPr>
                <w:rFonts w:hint="eastAsia"/>
                <w:color w:val="000000"/>
                <w:sz w:val="20"/>
                <w:szCs w:val="21"/>
                <w:lang w:val="es-ES"/>
              </w:rPr>
              <w:t>1，在规定的时间内发生了未履行的合同。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spacing w:before="120" w:after="120" w:line="240" w:lineRule="atLeast"/>
              <w:textAlignment w:val="auto"/>
              <w:rPr>
                <w:color w:val="000000"/>
                <w:sz w:val="20"/>
                <w:szCs w:val="21"/>
                <w:lang w:val="es-ES"/>
              </w:rPr>
            </w:pPr>
            <w:r>
              <w:rPr>
                <w:rFonts w:hint="eastAsia"/>
                <w:color w:val="000000"/>
                <w:sz w:val="20"/>
                <w:szCs w:val="21"/>
                <w:lang w:val="es-ES"/>
              </w:rPr>
              <w:t>年份</w:t>
            </w:r>
          </w:p>
        </w:tc>
        <w:tc>
          <w:tcPr>
            <w:tcW w:w="2049" w:type="dxa"/>
          </w:tcPr>
          <w:p>
            <w:pPr>
              <w:tabs>
                <w:tab w:val="center" w:pos="1657"/>
                <w:tab w:val="right" w:pos="3315"/>
              </w:tabs>
              <w:spacing w:before="120" w:after="120" w:line="240" w:lineRule="atLeast"/>
              <w:textAlignment w:val="auto"/>
              <w:rPr>
                <w:color w:val="000000"/>
                <w:sz w:val="20"/>
                <w:szCs w:val="21"/>
                <w:lang w:val="es-ES"/>
              </w:rPr>
            </w:pPr>
            <w:r>
              <w:rPr>
                <w:rFonts w:hint="eastAsia"/>
                <w:color w:val="000000"/>
                <w:sz w:val="20"/>
                <w:szCs w:val="21"/>
                <w:lang w:val="es-ES"/>
              </w:rPr>
              <w:t>未履行的合同金额占</w:t>
            </w:r>
          </w:p>
          <w:p>
            <w:pPr>
              <w:spacing w:before="120" w:after="120" w:line="240" w:lineRule="atLeast"/>
              <w:jc w:val="center"/>
              <w:textAlignment w:val="auto"/>
              <w:rPr>
                <w:color w:val="000000"/>
                <w:sz w:val="20"/>
                <w:szCs w:val="21"/>
                <w:lang w:val="es-ES"/>
              </w:rPr>
            </w:pPr>
            <w:r>
              <w:rPr>
                <w:rFonts w:hint="eastAsia"/>
                <w:color w:val="000000"/>
                <w:sz w:val="20"/>
                <w:szCs w:val="21"/>
                <w:lang w:val="es-ES"/>
              </w:rPr>
              <w:t>总资产的百分比</w:t>
            </w:r>
          </w:p>
        </w:tc>
        <w:tc>
          <w:tcPr>
            <w:tcW w:w="3683" w:type="dxa"/>
            <w:vAlign w:val="center"/>
          </w:tcPr>
          <w:p>
            <w:pPr>
              <w:spacing w:before="120" w:after="120" w:line="240" w:lineRule="atLeast"/>
              <w:jc w:val="center"/>
              <w:textAlignment w:val="auto"/>
              <w:rPr>
                <w:color w:val="000000"/>
                <w:sz w:val="20"/>
                <w:szCs w:val="21"/>
                <w:lang w:val="es-ES"/>
              </w:rPr>
            </w:pPr>
            <w:r>
              <w:rPr>
                <w:rFonts w:hint="eastAsia"/>
                <w:color w:val="000000"/>
                <w:sz w:val="20"/>
                <w:szCs w:val="21"/>
                <w:lang w:val="es-ES"/>
              </w:rPr>
              <w:t>合同标识</w:t>
            </w:r>
          </w:p>
        </w:tc>
        <w:tc>
          <w:tcPr>
            <w:tcW w:w="1828" w:type="dxa"/>
            <w:vAlign w:val="center"/>
          </w:tcPr>
          <w:p>
            <w:pPr>
              <w:spacing w:before="120" w:after="120" w:line="240" w:lineRule="atLeast"/>
              <w:jc w:val="center"/>
              <w:textAlignment w:val="auto"/>
              <w:rPr>
                <w:color w:val="000000"/>
                <w:sz w:val="20"/>
                <w:szCs w:val="21"/>
                <w:lang w:val="es-ES"/>
              </w:rPr>
            </w:pPr>
            <w:r>
              <w:rPr>
                <w:rFonts w:hint="eastAsia"/>
                <w:color w:val="000000"/>
                <w:sz w:val="20"/>
                <w:szCs w:val="21"/>
                <w:lang w:val="es-ES"/>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spacing w:before="120" w:after="120" w:line="240" w:lineRule="atLeast"/>
              <w:textAlignment w:val="auto"/>
              <w:rPr>
                <w:color w:val="000000"/>
                <w:sz w:val="20"/>
                <w:szCs w:val="21"/>
                <w:lang w:val="es-ES"/>
              </w:rPr>
            </w:pPr>
          </w:p>
        </w:tc>
        <w:tc>
          <w:tcPr>
            <w:tcW w:w="2049" w:type="dxa"/>
          </w:tcPr>
          <w:p>
            <w:pPr>
              <w:spacing w:before="120" w:after="120" w:line="240" w:lineRule="atLeast"/>
              <w:textAlignment w:val="auto"/>
              <w:rPr>
                <w:color w:val="000000"/>
                <w:sz w:val="20"/>
                <w:szCs w:val="21"/>
                <w:lang w:val="es-ES"/>
              </w:rPr>
            </w:pPr>
          </w:p>
        </w:tc>
        <w:tc>
          <w:tcPr>
            <w:tcW w:w="3683"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828"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spacing w:before="120" w:after="120" w:line="240" w:lineRule="atLeast"/>
              <w:textAlignment w:val="auto"/>
              <w:rPr>
                <w:color w:val="000000"/>
                <w:sz w:val="20"/>
                <w:szCs w:val="21"/>
                <w:lang w:val="es-ES"/>
              </w:rPr>
            </w:pPr>
          </w:p>
        </w:tc>
        <w:tc>
          <w:tcPr>
            <w:tcW w:w="2049" w:type="dxa"/>
          </w:tcPr>
          <w:p>
            <w:pPr>
              <w:spacing w:before="120" w:after="120" w:line="240" w:lineRule="atLeast"/>
              <w:textAlignment w:val="auto"/>
              <w:rPr>
                <w:color w:val="000000"/>
                <w:sz w:val="20"/>
                <w:szCs w:val="21"/>
                <w:lang w:val="es-ES"/>
              </w:rPr>
            </w:pPr>
          </w:p>
        </w:tc>
        <w:tc>
          <w:tcPr>
            <w:tcW w:w="3683"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828"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tcPr>
          <w:p>
            <w:pPr>
              <w:spacing w:before="120" w:after="120" w:line="240" w:lineRule="atLeast"/>
              <w:textAlignment w:val="auto"/>
              <w:rPr>
                <w:color w:val="000000"/>
                <w:sz w:val="20"/>
                <w:szCs w:val="21"/>
                <w:lang w:val="es-ES"/>
              </w:rPr>
            </w:pPr>
          </w:p>
        </w:tc>
        <w:tc>
          <w:tcPr>
            <w:tcW w:w="2049" w:type="dxa"/>
          </w:tcPr>
          <w:p>
            <w:pPr>
              <w:spacing w:before="120" w:after="120" w:line="240" w:lineRule="atLeast"/>
              <w:textAlignment w:val="auto"/>
              <w:rPr>
                <w:color w:val="000000"/>
                <w:sz w:val="20"/>
                <w:szCs w:val="21"/>
                <w:lang w:val="es-ES"/>
              </w:rPr>
            </w:pPr>
          </w:p>
        </w:tc>
        <w:tc>
          <w:tcPr>
            <w:tcW w:w="3683"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828"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4"/>
          </w:tcPr>
          <w:p>
            <w:pPr>
              <w:spacing w:before="120" w:after="120" w:line="240" w:lineRule="atLeast"/>
              <w:ind w:firstLine="400"/>
              <w:jc w:val="center"/>
              <w:textAlignment w:val="auto"/>
              <w:rPr>
                <w:color w:val="000000"/>
                <w:sz w:val="20"/>
                <w:szCs w:val="21"/>
                <w:lang w:val="es-ES"/>
              </w:rPr>
            </w:pPr>
            <w:r>
              <w:rPr>
                <w:rFonts w:hint="eastAsia"/>
                <w:color w:val="000000"/>
                <w:sz w:val="20"/>
                <w:szCs w:val="21"/>
                <w:lang w:val="es-ES"/>
              </w:rPr>
              <w:t>如果需要，请自行增加</w:t>
            </w:r>
          </w:p>
        </w:tc>
      </w:tr>
    </w:tbl>
    <w:p>
      <w:pPr>
        <w:spacing w:before="120" w:after="120" w:line="240" w:lineRule="atLeast"/>
        <w:textAlignment w:val="auto"/>
        <w:rPr>
          <w:color w:val="000000"/>
          <w:szCs w:val="21"/>
          <w:lang w:val="es-ES"/>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spacing w:before="120" w:after="120" w:line="240" w:lineRule="atLeast"/>
        <w:ind w:firstLine="422"/>
        <w:jc w:val="center"/>
        <w:textAlignment w:val="auto"/>
        <w:rPr>
          <w:b/>
          <w:szCs w:val="21"/>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pStyle w:val="4"/>
      </w:pPr>
      <w:bookmarkStart w:id="1372" w:name="_Toc169103271"/>
      <w:bookmarkStart w:id="1373" w:name="_Toc171063135"/>
      <w:bookmarkStart w:id="1374" w:name="_Toc170312597"/>
      <w:r>
        <w:t xml:space="preserve">表CON-2.2.2 </w:t>
      </w:r>
      <w:r>
        <w:rPr>
          <w:rFonts w:hint="eastAsia"/>
        </w:rPr>
        <w:t>未决诉讼记录</w:t>
      </w:r>
      <w:bookmarkEnd w:id="1372"/>
      <w:bookmarkEnd w:id="1373"/>
      <w:bookmarkEnd w:id="1374"/>
    </w:p>
    <w:p>
      <w:pPr>
        <w:spacing w:before="120" w:after="120" w:line="240" w:lineRule="atLeast"/>
        <w:textAlignment w:val="auto"/>
        <w:rPr>
          <w:color w:val="000000"/>
          <w:szCs w:val="21"/>
          <w:lang w:val="es-ES"/>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　　　 </w:t>
      </w:r>
      <w:r>
        <w:rPr>
          <w:color w:val="000000"/>
          <w:szCs w:val="21"/>
          <w:lang w:val="es-ES"/>
        </w:rPr>
        <w:t xml:space="preserve">            </w:t>
      </w:r>
      <w:r>
        <w:rPr>
          <w:rFonts w:hint="eastAsia"/>
          <w:color w:val="000000"/>
          <w:szCs w:val="21"/>
          <w:lang w:val="es-ES"/>
        </w:rPr>
        <w:t xml:space="preserve">      　日期：_________________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联合体成员法定名称：__________________</w:t>
      </w:r>
      <w:r>
        <w:rPr>
          <w:color w:val="000000"/>
          <w:szCs w:val="21"/>
          <w:lang w:val="es-ES"/>
        </w:rPr>
        <w:t xml:space="preserve">  </w:t>
      </w:r>
      <w:r>
        <w:rPr>
          <w:rFonts w:hint="eastAsia"/>
          <w:color w:val="000000"/>
          <w:szCs w:val="21"/>
          <w:lang w:val="es-ES"/>
        </w:rPr>
        <w:t xml:space="preserve">　　 </w:t>
      </w:r>
      <w:r>
        <w:rPr>
          <w:color w:val="000000"/>
          <w:szCs w:val="21"/>
          <w:lang w:val="es-ES"/>
        </w:rPr>
        <w:t xml:space="preserve">        </w:t>
      </w:r>
      <w:r>
        <w:rPr>
          <w:szCs w:val="21"/>
          <w:lang w:val="es-ES"/>
        </w:rPr>
        <w:t>本次招标</w:t>
      </w:r>
      <w:r>
        <w:rPr>
          <w:rFonts w:hint="eastAsia"/>
          <w:szCs w:val="21"/>
          <w:lang w:val="es-ES"/>
        </w:rPr>
        <w:t>编号</w:t>
      </w:r>
      <w:r>
        <w:rPr>
          <w:rFonts w:hint="eastAsia"/>
          <w:color w:val="000000"/>
          <w:szCs w:val="21"/>
          <w:lang w:val="es-ES"/>
        </w:rPr>
        <w:t>：_________________</w:t>
      </w:r>
    </w:p>
    <w:p>
      <w:pPr>
        <w:spacing w:before="120" w:after="120" w:line="240" w:lineRule="atLeast"/>
        <w:ind w:right="34"/>
        <w:jc w:val="left"/>
        <w:rPr>
          <w:color w:val="000000"/>
          <w:szCs w:val="21"/>
        </w:rPr>
      </w:pPr>
      <w:r>
        <w:rPr>
          <w:rFonts w:hint="eastAsia"/>
        </w:rPr>
        <w:t>联合体投标时，每个联合体成员必须单独填写下表。</w:t>
      </w:r>
    </w:p>
    <w:tbl>
      <w:tblPr>
        <w:tblStyle w:val="62"/>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71"/>
        <w:gridCol w:w="1516"/>
        <w:gridCol w:w="377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ind w:firstLine="400"/>
              <w:textAlignment w:val="auto"/>
              <w:rPr>
                <w:color w:val="000000"/>
                <w:sz w:val="20"/>
                <w:szCs w:val="21"/>
                <w:lang w:val="es-ES"/>
              </w:rPr>
            </w:pPr>
          </w:p>
        </w:tc>
        <w:tc>
          <w:tcPr>
            <w:tcW w:w="7737" w:type="dxa"/>
            <w:gridSpan w:val="4"/>
          </w:tcPr>
          <w:p>
            <w:pPr>
              <w:spacing w:before="120" w:after="120" w:line="240" w:lineRule="atLeast"/>
              <w:ind w:firstLine="400"/>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　根据第三章中的子因素</w:t>
            </w:r>
            <w:r>
              <w:rPr>
                <w:color w:val="000000"/>
                <w:sz w:val="20"/>
                <w:szCs w:val="21"/>
                <w:lang w:val="es-ES"/>
              </w:rPr>
              <w:t>2.2.</w:t>
            </w:r>
            <w:r>
              <w:rPr>
                <w:rFonts w:hint="eastAsia"/>
                <w:color w:val="000000"/>
                <w:sz w:val="20"/>
                <w:szCs w:val="21"/>
                <w:lang w:val="es-ES"/>
              </w:rPr>
              <w:t>2，在规定的时间内没有发生未决诉讼。</w:t>
            </w:r>
          </w:p>
          <w:p>
            <w:pPr>
              <w:spacing w:before="120" w:after="120" w:line="240" w:lineRule="atLeast"/>
              <w:ind w:firstLine="400"/>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　根据第三章中的子因素</w:t>
            </w:r>
            <w:r>
              <w:rPr>
                <w:color w:val="000000"/>
                <w:sz w:val="20"/>
                <w:szCs w:val="21"/>
                <w:lang w:val="es-ES"/>
              </w:rPr>
              <w:t>2.2.</w:t>
            </w:r>
            <w:r>
              <w:rPr>
                <w:rFonts w:hint="eastAsia"/>
                <w:color w:val="000000"/>
                <w:sz w:val="20"/>
                <w:szCs w:val="21"/>
                <w:lang w:val="es-ES"/>
              </w:rPr>
              <w:t>2，在规定的时间内发生了未决诉讼。具体如下：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年份</w:t>
            </w:r>
          </w:p>
        </w:tc>
        <w:tc>
          <w:tcPr>
            <w:tcW w:w="1271" w:type="dxa"/>
          </w:tcPr>
          <w:p>
            <w:pPr>
              <w:tabs>
                <w:tab w:val="center" w:pos="1657"/>
                <w:tab w:val="right" w:pos="3315"/>
              </w:tabs>
              <w:spacing w:before="120" w:after="120" w:line="240" w:lineRule="atLeast"/>
              <w:jc w:val="center"/>
              <w:textAlignment w:val="auto"/>
              <w:rPr>
                <w:color w:val="000000"/>
                <w:sz w:val="20"/>
                <w:szCs w:val="21"/>
                <w:lang w:val="es-ES"/>
              </w:rPr>
            </w:pPr>
            <w:r>
              <w:rPr>
                <w:rFonts w:hint="eastAsia"/>
                <w:color w:val="000000"/>
                <w:sz w:val="20"/>
                <w:szCs w:val="21"/>
                <w:lang w:val="es-ES"/>
              </w:rPr>
              <w:t>争议金额</w:t>
            </w:r>
          </w:p>
        </w:tc>
        <w:tc>
          <w:tcPr>
            <w:tcW w:w="1516" w:type="dxa"/>
          </w:tcPr>
          <w:p>
            <w:pPr>
              <w:tabs>
                <w:tab w:val="center" w:pos="1657"/>
                <w:tab w:val="right" w:pos="3315"/>
              </w:tabs>
              <w:spacing w:before="120" w:after="120" w:line="240" w:lineRule="atLeast"/>
              <w:jc w:val="center"/>
              <w:textAlignment w:val="auto"/>
              <w:rPr>
                <w:color w:val="000000"/>
                <w:sz w:val="20"/>
                <w:szCs w:val="21"/>
                <w:lang w:val="es-ES"/>
              </w:rPr>
            </w:pPr>
            <w:r>
              <w:rPr>
                <w:rFonts w:hint="eastAsia"/>
                <w:color w:val="000000"/>
                <w:sz w:val="20"/>
                <w:szCs w:val="21"/>
                <w:lang w:val="es-ES"/>
              </w:rPr>
              <w:t>争议金额占</w:t>
            </w:r>
          </w:p>
          <w:p>
            <w:pPr>
              <w:spacing w:before="120" w:after="120" w:line="240" w:lineRule="atLeast"/>
              <w:jc w:val="center"/>
              <w:textAlignment w:val="auto"/>
              <w:rPr>
                <w:color w:val="000000"/>
                <w:sz w:val="20"/>
                <w:szCs w:val="21"/>
                <w:lang w:val="es-ES"/>
              </w:rPr>
            </w:pPr>
            <w:r>
              <w:rPr>
                <w:rFonts w:hint="eastAsia"/>
                <w:color w:val="000000"/>
                <w:sz w:val="20"/>
                <w:szCs w:val="21"/>
                <w:lang w:val="es-ES"/>
              </w:rPr>
              <w:t>净资产的百分比</w:t>
            </w:r>
          </w:p>
        </w:tc>
        <w:tc>
          <w:tcPr>
            <w:tcW w:w="3779"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合同标识</w:t>
            </w:r>
          </w:p>
        </w:tc>
        <w:tc>
          <w:tcPr>
            <w:tcW w:w="1171"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textAlignment w:val="auto"/>
              <w:rPr>
                <w:color w:val="000000"/>
                <w:sz w:val="20"/>
                <w:szCs w:val="21"/>
                <w:lang w:val="es-ES"/>
              </w:rPr>
            </w:pPr>
          </w:p>
        </w:tc>
        <w:tc>
          <w:tcPr>
            <w:tcW w:w="1271" w:type="dxa"/>
          </w:tcPr>
          <w:p>
            <w:pPr>
              <w:spacing w:before="120" w:after="120" w:line="240" w:lineRule="atLeast"/>
              <w:textAlignment w:val="auto"/>
              <w:rPr>
                <w:color w:val="000000"/>
                <w:sz w:val="20"/>
                <w:szCs w:val="21"/>
                <w:lang w:val="es-ES"/>
              </w:rPr>
            </w:pPr>
          </w:p>
        </w:tc>
        <w:tc>
          <w:tcPr>
            <w:tcW w:w="1516" w:type="dxa"/>
          </w:tcPr>
          <w:p>
            <w:pPr>
              <w:spacing w:before="120" w:after="120" w:line="240" w:lineRule="atLeast"/>
              <w:textAlignment w:val="auto"/>
              <w:rPr>
                <w:color w:val="000000"/>
                <w:sz w:val="20"/>
                <w:szCs w:val="21"/>
                <w:lang w:val="es-ES"/>
              </w:rPr>
            </w:pPr>
          </w:p>
        </w:tc>
        <w:tc>
          <w:tcPr>
            <w:tcW w:w="3779"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171"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textAlignment w:val="auto"/>
              <w:rPr>
                <w:color w:val="000000"/>
                <w:sz w:val="20"/>
                <w:szCs w:val="21"/>
                <w:lang w:val="es-ES"/>
              </w:rPr>
            </w:pPr>
          </w:p>
        </w:tc>
        <w:tc>
          <w:tcPr>
            <w:tcW w:w="1271" w:type="dxa"/>
          </w:tcPr>
          <w:p>
            <w:pPr>
              <w:spacing w:before="120" w:after="120" w:line="240" w:lineRule="atLeast"/>
              <w:textAlignment w:val="auto"/>
              <w:rPr>
                <w:color w:val="000000"/>
                <w:sz w:val="20"/>
                <w:szCs w:val="21"/>
                <w:lang w:val="es-ES"/>
              </w:rPr>
            </w:pPr>
          </w:p>
        </w:tc>
        <w:tc>
          <w:tcPr>
            <w:tcW w:w="1516" w:type="dxa"/>
          </w:tcPr>
          <w:p>
            <w:pPr>
              <w:spacing w:before="120" w:after="120" w:line="240" w:lineRule="atLeast"/>
              <w:textAlignment w:val="auto"/>
              <w:rPr>
                <w:color w:val="000000"/>
                <w:sz w:val="20"/>
                <w:szCs w:val="21"/>
                <w:lang w:val="es-ES"/>
              </w:rPr>
            </w:pPr>
          </w:p>
        </w:tc>
        <w:tc>
          <w:tcPr>
            <w:tcW w:w="3779"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171"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textAlignment w:val="auto"/>
              <w:rPr>
                <w:color w:val="000000"/>
                <w:sz w:val="20"/>
                <w:szCs w:val="21"/>
                <w:lang w:val="es-ES"/>
              </w:rPr>
            </w:pPr>
          </w:p>
        </w:tc>
        <w:tc>
          <w:tcPr>
            <w:tcW w:w="1271" w:type="dxa"/>
          </w:tcPr>
          <w:p>
            <w:pPr>
              <w:spacing w:before="120" w:after="120" w:line="240" w:lineRule="atLeast"/>
              <w:textAlignment w:val="auto"/>
              <w:rPr>
                <w:color w:val="000000"/>
                <w:sz w:val="20"/>
                <w:szCs w:val="21"/>
                <w:lang w:val="es-ES"/>
              </w:rPr>
            </w:pPr>
          </w:p>
        </w:tc>
        <w:tc>
          <w:tcPr>
            <w:tcW w:w="1516" w:type="dxa"/>
          </w:tcPr>
          <w:p>
            <w:pPr>
              <w:spacing w:before="120" w:after="120" w:line="240" w:lineRule="atLeast"/>
              <w:textAlignment w:val="auto"/>
              <w:rPr>
                <w:color w:val="000000"/>
                <w:sz w:val="20"/>
                <w:szCs w:val="21"/>
                <w:lang w:val="es-ES"/>
              </w:rPr>
            </w:pPr>
          </w:p>
        </w:tc>
        <w:tc>
          <w:tcPr>
            <w:tcW w:w="3779" w:type="dxa"/>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业主地址：</w:t>
            </w:r>
            <w:r>
              <w:rPr>
                <w:i/>
                <w:iCs/>
                <w:szCs w:val="21"/>
                <w:lang w:val="es-ES"/>
              </w:rPr>
              <w:t>_______________________</w:t>
            </w:r>
            <w:r>
              <w:rPr>
                <w:iCs/>
                <w:szCs w:val="21"/>
                <w:lang w:val="es-ES"/>
              </w:rPr>
              <w:t>_</w:t>
            </w:r>
          </w:p>
          <w:p>
            <w:pPr>
              <w:spacing w:before="120" w:after="120" w:line="240" w:lineRule="atLeast"/>
              <w:textAlignment w:val="auto"/>
              <w:rPr>
                <w:color w:val="000000"/>
                <w:sz w:val="20"/>
                <w:szCs w:val="21"/>
                <w:lang w:val="es-ES"/>
              </w:rPr>
            </w:pPr>
            <w:r>
              <w:rPr>
                <w:rFonts w:hint="eastAsia"/>
                <w:color w:val="000000"/>
                <w:sz w:val="20"/>
                <w:szCs w:val="21"/>
                <w:lang w:val="es-ES"/>
              </w:rPr>
              <w:t>争端事由：</w:t>
            </w:r>
            <w:r>
              <w:rPr>
                <w:i/>
                <w:iCs/>
                <w:szCs w:val="21"/>
                <w:lang w:val="es-ES"/>
              </w:rPr>
              <w:t>_______________________</w:t>
            </w:r>
            <w:r>
              <w:rPr>
                <w:iCs/>
                <w:szCs w:val="21"/>
                <w:lang w:val="es-ES"/>
              </w:rPr>
              <w:t>_</w:t>
            </w:r>
          </w:p>
        </w:tc>
        <w:tc>
          <w:tcPr>
            <w:tcW w:w="1171"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7" w:type="dxa"/>
          </w:tcPr>
          <w:p>
            <w:pPr>
              <w:spacing w:before="120" w:after="120" w:line="240" w:lineRule="atLeast"/>
              <w:jc w:val="center"/>
              <w:textAlignment w:val="auto"/>
              <w:rPr>
                <w:color w:val="000000"/>
                <w:sz w:val="20"/>
                <w:szCs w:val="21"/>
                <w:lang w:val="es-ES"/>
              </w:rPr>
            </w:pPr>
          </w:p>
        </w:tc>
        <w:tc>
          <w:tcPr>
            <w:tcW w:w="7737" w:type="dxa"/>
            <w:gridSpan w:val="4"/>
          </w:tcPr>
          <w:p>
            <w:pPr>
              <w:spacing w:before="120" w:after="120" w:line="240" w:lineRule="atLeast"/>
              <w:jc w:val="center"/>
              <w:textAlignment w:val="auto"/>
              <w:rPr>
                <w:color w:val="000000"/>
                <w:sz w:val="20"/>
                <w:szCs w:val="21"/>
                <w:lang w:val="es-ES"/>
              </w:rPr>
            </w:pPr>
            <w:r>
              <w:rPr>
                <w:rFonts w:hint="eastAsia"/>
                <w:color w:val="000000"/>
                <w:sz w:val="20"/>
                <w:szCs w:val="21"/>
                <w:lang w:val="es-ES"/>
              </w:rPr>
              <w:t>如有需要，请自行增加</w:t>
            </w:r>
          </w:p>
        </w:tc>
      </w:tr>
    </w:tbl>
    <w:p>
      <w:pPr>
        <w:spacing w:before="120" w:after="120" w:line="240" w:lineRule="atLeast"/>
        <w:textAlignment w:val="auto"/>
        <w:rPr>
          <w:color w:val="000000"/>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rPr>
          <w:rFonts w:ascii="Times New Roman" w:hAnsi="Times New Roman"/>
          <w:color w:val="000000"/>
          <w:sz w:val="21"/>
          <w:szCs w:val="21"/>
          <w:lang w:val="en-US" w:eastAsia="zh-CN"/>
        </w:rPr>
      </w:pPr>
      <w:r>
        <w:rPr>
          <w:rFonts w:ascii="Times New Roman" w:hAnsi="Times New Roman"/>
          <w:color w:val="000000"/>
          <w:sz w:val="21"/>
          <w:szCs w:val="21"/>
          <w:lang w:val="en-US" w:eastAsia="zh-CN"/>
        </w:rPr>
        <w:br w:type="page"/>
      </w:r>
    </w:p>
    <w:p>
      <w:pPr>
        <w:bidi w:val="0"/>
        <w:rPr>
          <w:rFonts w:ascii="Times New Roman" w:hAnsi="Times New Roman"/>
          <w:color w:val="000000"/>
          <w:szCs w:val="21"/>
          <w:lang w:eastAsia="zh-CN"/>
        </w:rPr>
      </w:pPr>
      <w:r>
        <w:rPr>
          <w:rFonts w:hint="eastAsia"/>
          <w:b/>
          <w:bCs/>
          <w:lang w:eastAsia="zh-CN"/>
        </w:rPr>
        <w:t>2.2.</w:t>
      </w:r>
      <w:r>
        <w:rPr>
          <w:rFonts w:hint="eastAsia"/>
          <w:b/>
          <w:bCs/>
          <w:lang w:val="en-US" w:eastAsia="zh-CN"/>
        </w:rPr>
        <w:t>4</w:t>
      </w:r>
      <w:r>
        <w:rPr>
          <w:rFonts w:hint="eastAsia"/>
          <w:b/>
          <w:bCs/>
          <w:lang w:eastAsia="zh-CN"/>
        </w:rPr>
        <w:t xml:space="preserve"> 信誉查询网站截图</w:t>
      </w:r>
    </w:p>
    <w:p>
      <w:pPr>
        <w:bidi w:val="0"/>
        <w:rPr>
          <w:lang w:eastAsia="zh-CN"/>
        </w:rPr>
      </w:pPr>
    </w:p>
    <w:p>
      <w:pPr>
        <w:bidi w:val="0"/>
        <w:rPr>
          <w:rFonts w:ascii="Times New Roman" w:hAnsi="Times New Roman"/>
          <w:color w:val="000000"/>
          <w:szCs w:val="21"/>
          <w:highlight w:val="none"/>
          <w:lang w:val="en-US" w:eastAsia="zh-CN"/>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r>
        <w:rPr>
          <w:rFonts w:hint="eastAsia"/>
          <w:szCs w:val="21"/>
          <w:highlight w:val="none"/>
        </w:rPr>
        <w:t>执行《关于在招标投标活动中对失信被执行人实施联合惩戒的通知》法（2016）285 号文件：通过“信用中国”网站（www.creditchina.gov.cn）及中国政府采购网（www.ccgp. gov.cn）查询潜在投标人的信用记录，凡是列入失信被执行人、重大税收违法失信主体、政府采购严重违法失信行为记录名单的，依法拒绝其参与本次投标。查询渠道失信被执行人：“信用中国” 网站（www.creditchina.gov.cn）；重大税收违法：“信用中国”网站（www.creditchina.gov.cn）；政府采购严重违法失信行为：中国政府采购网（www.ccgp.gov.cn）。（投标单位需提供网站查询截图，加盖企业公章，查询日期为招标公告发布之日起至投标文件递交截止日前)</w:t>
      </w:r>
    </w:p>
    <w:p>
      <w:pPr>
        <w:pStyle w:val="232"/>
        <w:rPr>
          <w:i/>
          <w:iCs/>
          <w:spacing w:val="-6"/>
          <w:sz w:val="20"/>
          <w:highlight w:val="none"/>
        </w:rPr>
      </w:pPr>
      <w:r>
        <w:rPr>
          <w:rFonts w:hint="eastAsia" w:eastAsia="宋体"/>
          <w:sz w:val="21"/>
          <w:szCs w:val="21"/>
          <w:highlight w:val="none"/>
          <w:lang w:eastAsia="zh-CN"/>
        </w:rPr>
        <w:t>表</w:t>
      </w:r>
      <w:r>
        <w:rPr>
          <w:rFonts w:eastAsia="宋体"/>
          <w:sz w:val="21"/>
          <w:szCs w:val="21"/>
          <w:highlight w:val="none"/>
          <w:lang w:eastAsia="zh-CN"/>
        </w:rPr>
        <w:t xml:space="preserve">CON – 2.2.3: </w:t>
      </w:r>
      <w:r>
        <w:rPr>
          <w:rFonts w:hint="eastAsia" w:eastAsia="宋体"/>
          <w:sz w:val="21"/>
          <w:szCs w:val="21"/>
          <w:highlight w:val="none"/>
          <w:lang w:eastAsia="zh-CN"/>
        </w:rPr>
        <w:t>环境-社会-健康-安全履约历史申报</w:t>
      </w:r>
    </w:p>
    <w:p>
      <w:pPr>
        <w:spacing w:before="216" w:line="264" w:lineRule="exact"/>
        <w:ind w:left="72"/>
        <w:jc w:val="center"/>
        <w:rPr>
          <w:i/>
          <w:iCs/>
          <w:spacing w:val="-6"/>
          <w:sz w:val="20"/>
          <w:highlight w:val="none"/>
        </w:rPr>
      </w:pPr>
    </w:p>
    <w:p>
      <w:pPr>
        <w:spacing w:before="120" w:after="120" w:line="240" w:lineRule="atLeast"/>
        <w:textAlignment w:val="auto"/>
        <w:rPr>
          <w:color w:val="000000"/>
          <w:szCs w:val="21"/>
          <w:highlight w:val="none"/>
          <w:lang w:val="es-ES"/>
        </w:rPr>
      </w:pPr>
      <w:r>
        <w:rPr>
          <w:rFonts w:hint="eastAsia"/>
          <w:color w:val="000000"/>
          <w:szCs w:val="21"/>
          <w:highlight w:val="none"/>
          <w:lang w:val="es-ES"/>
        </w:rPr>
        <w:t xml:space="preserve">投标人法定名称：______________________　　　 </w:t>
      </w:r>
      <w:r>
        <w:rPr>
          <w:color w:val="000000"/>
          <w:szCs w:val="21"/>
          <w:highlight w:val="none"/>
          <w:lang w:val="es-ES"/>
        </w:rPr>
        <w:t xml:space="preserve">            </w:t>
      </w:r>
      <w:r>
        <w:rPr>
          <w:rFonts w:hint="eastAsia"/>
          <w:color w:val="000000"/>
          <w:szCs w:val="21"/>
          <w:highlight w:val="none"/>
          <w:lang w:val="es-ES"/>
        </w:rPr>
        <w:t xml:space="preserve">      　日期：_________________</w:t>
      </w:r>
    </w:p>
    <w:p>
      <w:pPr>
        <w:spacing w:before="120" w:after="120" w:line="240" w:lineRule="atLeast"/>
        <w:textAlignment w:val="auto"/>
        <w:rPr>
          <w:color w:val="000000"/>
          <w:szCs w:val="21"/>
          <w:highlight w:val="none"/>
          <w:lang w:val="es-ES"/>
        </w:rPr>
      </w:pPr>
      <w:r>
        <w:rPr>
          <w:rFonts w:hint="eastAsia"/>
          <w:color w:val="000000"/>
          <w:szCs w:val="21"/>
          <w:highlight w:val="none"/>
          <w:lang w:val="es-ES"/>
        </w:rPr>
        <w:t>联合体成员法定名称：__________________</w:t>
      </w:r>
      <w:r>
        <w:rPr>
          <w:color w:val="000000"/>
          <w:szCs w:val="21"/>
          <w:highlight w:val="none"/>
          <w:lang w:val="es-ES"/>
        </w:rPr>
        <w:t xml:space="preserve">  </w:t>
      </w:r>
      <w:r>
        <w:rPr>
          <w:rFonts w:hint="eastAsia"/>
          <w:color w:val="000000"/>
          <w:szCs w:val="21"/>
          <w:highlight w:val="none"/>
          <w:lang w:val="es-ES"/>
        </w:rPr>
        <w:t xml:space="preserve">　　 </w:t>
      </w:r>
      <w:r>
        <w:rPr>
          <w:color w:val="000000"/>
          <w:szCs w:val="21"/>
          <w:highlight w:val="none"/>
          <w:lang w:val="es-ES"/>
        </w:rPr>
        <w:t xml:space="preserve">        </w:t>
      </w:r>
      <w:r>
        <w:rPr>
          <w:szCs w:val="21"/>
          <w:highlight w:val="none"/>
          <w:lang w:val="es-ES"/>
        </w:rPr>
        <w:t>本次招标</w:t>
      </w:r>
      <w:r>
        <w:rPr>
          <w:rFonts w:hint="eastAsia"/>
          <w:szCs w:val="21"/>
          <w:highlight w:val="none"/>
          <w:lang w:val="es-ES"/>
        </w:rPr>
        <w:t>编号</w:t>
      </w:r>
      <w:r>
        <w:rPr>
          <w:rFonts w:hint="eastAsia"/>
          <w:color w:val="000000"/>
          <w:szCs w:val="21"/>
          <w:highlight w:val="none"/>
          <w:lang w:val="es-ES"/>
        </w:rPr>
        <w:t>：_________________</w:t>
      </w:r>
    </w:p>
    <w:p>
      <w:pPr>
        <w:spacing w:before="120" w:after="120" w:line="240" w:lineRule="atLeast"/>
        <w:textAlignment w:val="auto"/>
        <w:rPr>
          <w:color w:val="000000"/>
          <w:szCs w:val="21"/>
          <w:lang w:val="es-ES"/>
        </w:rPr>
      </w:pPr>
      <w:r>
        <w:rPr>
          <w:rFonts w:hint="eastAsia"/>
          <w:color w:val="000000"/>
          <w:szCs w:val="21"/>
          <w:lang w:val="es-ES"/>
        </w:rPr>
        <w:t>专业分包商法定名称：__________________</w:t>
      </w:r>
      <w:r>
        <w:rPr>
          <w:color w:val="000000"/>
          <w:szCs w:val="21"/>
          <w:lang w:val="es-ES"/>
        </w:rPr>
        <w:t xml:space="preserve">  </w:t>
      </w:r>
      <w:r>
        <w:rPr>
          <w:rFonts w:hint="eastAsia"/>
          <w:color w:val="000000"/>
          <w:szCs w:val="21"/>
          <w:lang w:val="es-ES"/>
        </w:rPr>
        <w:t xml:space="preserve">　　 </w:t>
      </w:r>
      <w:r>
        <w:rPr>
          <w:color w:val="000000"/>
          <w:szCs w:val="21"/>
          <w:lang w:val="es-ES"/>
        </w:rPr>
        <w:t xml:space="preserve">        </w:t>
      </w:r>
    </w:p>
    <w:p>
      <w:pPr>
        <w:rPr>
          <w:b/>
          <w:sz w:val="20"/>
        </w:rPr>
      </w:pPr>
      <w:r>
        <w:rPr>
          <w:rFonts w:hint="eastAsia"/>
        </w:rPr>
        <w:t>联合体投标时，每个联合体成员必须单独填写下表。</w:t>
      </w:r>
    </w:p>
    <w:tbl>
      <w:tblPr>
        <w:tblStyle w:val="62"/>
        <w:tblW w:w="8634" w:type="dxa"/>
        <w:tblInd w:w="3" w:type="dxa"/>
        <w:tblLayout w:type="fixed"/>
        <w:tblCellMar>
          <w:top w:w="0" w:type="dxa"/>
          <w:left w:w="0" w:type="dxa"/>
          <w:bottom w:w="0" w:type="dxa"/>
          <w:right w:w="0" w:type="dxa"/>
        </w:tblCellMar>
      </w:tblPr>
      <w:tblGrid>
        <w:gridCol w:w="968"/>
        <w:gridCol w:w="1530"/>
        <w:gridCol w:w="4876"/>
        <w:gridCol w:w="1260"/>
      </w:tblGrid>
      <w:tr>
        <w:tblPrEx>
          <w:tblLayout w:type="fixed"/>
          <w:tblCellMar>
            <w:top w:w="0" w:type="dxa"/>
            <w:left w:w="0" w:type="dxa"/>
            <w:bottom w:w="0" w:type="dxa"/>
            <w:right w:w="0" w:type="dxa"/>
          </w:tblCellMar>
        </w:tblPrEx>
        <w:tc>
          <w:tcPr>
            <w:tcW w:w="8634" w:type="dxa"/>
            <w:gridSpan w:val="4"/>
            <w:tcBorders>
              <w:top w:val="single" w:color="auto" w:sz="2" w:space="0"/>
              <w:left w:val="single" w:color="auto" w:sz="2" w:space="0"/>
              <w:bottom w:val="single" w:color="auto" w:sz="2" w:space="0"/>
              <w:right w:val="single" w:color="auto" w:sz="2" w:space="0"/>
            </w:tcBorders>
          </w:tcPr>
          <w:p>
            <w:pPr>
              <w:spacing w:after="80"/>
              <w:jc w:val="center"/>
              <w:rPr>
                <w:rFonts w:ascii="宋体" w:hAnsi="宋体"/>
                <w:spacing w:val="-4"/>
                <w:sz w:val="20"/>
              </w:rPr>
            </w:pPr>
            <w:r>
              <w:rPr>
                <w:rFonts w:hint="eastAsia" w:ascii="宋体" w:hAnsi="宋体"/>
                <w:sz w:val="20"/>
              </w:rPr>
              <w:t>环境-社会-健康-安全履约历史申报(根据第三章“评标和资格标准”的要求)</w:t>
            </w:r>
          </w:p>
        </w:tc>
      </w:tr>
      <w:tr>
        <w:tblPrEx>
          <w:tblLayout w:type="fixed"/>
          <w:tblCellMar>
            <w:top w:w="0" w:type="dxa"/>
            <w:left w:w="0" w:type="dxa"/>
            <w:bottom w:w="0" w:type="dxa"/>
            <w:right w:w="0" w:type="dxa"/>
          </w:tblCellMar>
        </w:tblPrEx>
        <w:tc>
          <w:tcPr>
            <w:tcW w:w="8634" w:type="dxa"/>
            <w:gridSpan w:val="4"/>
            <w:tcBorders>
              <w:top w:val="single" w:color="auto" w:sz="2" w:space="0"/>
              <w:left w:val="single" w:color="auto" w:sz="2" w:space="0"/>
              <w:bottom w:val="single" w:color="auto" w:sz="2" w:space="0"/>
              <w:right w:val="single" w:color="auto" w:sz="2" w:space="0"/>
            </w:tcBorders>
          </w:tcPr>
          <w:p>
            <w:pPr>
              <w:spacing w:before="40" w:after="120"/>
              <w:ind w:left="585" w:right="144" w:hanging="441"/>
              <w:rPr>
                <w:rFonts w:ascii="宋体" w:hAnsi="宋体"/>
                <w:spacing w:val="-4"/>
                <w:sz w:val="20"/>
              </w:rPr>
            </w:pPr>
            <w:r>
              <w:rPr>
                <w:rFonts w:ascii="宋体" w:hAnsi="宋体"/>
                <w:spacing w:val="-2"/>
                <w:sz w:val="20"/>
              </w:rPr>
              <w:sym w:font="Wingdings" w:char="F0A8"/>
            </w:r>
            <w:r>
              <w:rPr>
                <w:rFonts w:ascii="宋体" w:hAnsi="宋体"/>
                <w:spacing w:val="-2"/>
                <w:sz w:val="20"/>
              </w:rPr>
              <w:tab/>
            </w:r>
            <w:r>
              <w:rPr>
                <w:rFonts w:hint="eastAsia" w:ascii="宋体" w:hAnsi="宋体"/>
                <w:spacing w:val="-2"/>
                <w:sz w:val="20"/>
              </w:rPr>
              <w:t>无停工或合同</w:t>
            </w:r>
            <w:r>
              <w:rPr>
                <w:rFonts w:hint="eastAsia" w:ascii="宋体" w:hAnsi="宋体" w:cs="微软雅黑"/>
                <w:spacing w:val="-2"/>
                <w:sz w:val="20"/>
              </w:rPr>
              <w:t>终止记录</w:t>
            </w:r>
            <w:r>
              <w:rPr>
                <w:rFonts w:ascii="宋体" w:hAnsi="宋体"/>
                <w:spacing w:val="-6"/>
                <w:sz w:val="20"/>
              </w:rPr>
              <w:t xml:space="preserve">: </w:t>
            </w:r>
            <w:r>
              <w:rPr>
                <w:rFonts w:hint="eastAsia" w:ascii="宋体" w:hAnsi="宋体"/>
                <w:spacing w:val="-6"/>
                <w:sz w:val="20"/>
              </w:rPr>
              <w:t>在</w:t>
            </w:r>
            <w:r>
              <w:rPr>
                <w:rFonts w:hint="eastAsia" w:ascii="宋体" w:hAnsi="宋体"/>
                <w:sz w:val="20"/>
              </w:rPr>
              <w:t>第三章“评标和资格标准”2.2.3条要求的时间段内，我公司没有由于未遵守环境-社会-健康-安全方面的规定而被业主要求停工或终止合同或履约保证金被业主没收的土建合同。</w:t>
            </w:r>
          </w:p>
          <w:p>
            <w:pPr>
              <w:spacing w:before="40" w:after="120"/>
              <w:ind w:left="585" w:right="144" w:hanging="441"/>
              <w:rPr>
                <w:rFonts w:ascii="宋体" w:hAnsi="宋体"/>
                <w:spacing w:val="-4"/>
                <w:sz w:val="20"/>
              </w:rPr>
            </w:pPr>
            <w:r>
              <w:rPr>
                <w:rFonts w:ascii="宋体" w:hAnsi="宋体" w:cs="MS Mincho"/>
                <w:spacing w:val="-2"/>
                <w:sz w:val="20"/>
              </w:rPr>
              <w:sym w:font="Wingdings" w:char="F0A8"/>
            </w:r>
            <w:r>
              <w:rPr>
                <w:rFonts w:ascii="宋体" w:hAnsi="宋体"/>
                <w:spacing w:val="-4"/>
                <w:sz w:val="20"/>
              </w:rPr>
              <w:tab/>
            </w:r>
            <w:r>
              <w:rPr>
                <w:rFonts w:hint="eastAsia" w:ascii="宋体" w:hAnsi="宋体"/>
                <w:spacing w:val="-4"/>
                <w:sz w:val="20"/>
              </w:rPr>
              <w:t>有</w:t>
            </w:r>
            <w:r>
              <w:rPr>
                <w:rFonts w:hint="eastAsia" w:ascii="宋体" w:hAnsi="宋体"/>
                <w:spacing w:val="-2"/>
                <w:sz w:val="20"/>
              </w:rPr>
              <w:t>停工或合同</w:t>
            </w:r>
            <w:r>
              <w:rPr>
                <w:rFonts w:hint="eastAsia" w:ascii="宋体" w:hAnsi="宋体" w:cs="微软雅黑"/>
                <w:spacing w:val="-2"/>
                <w:sz w:val="20"/>
              </w:rPr>
              <w:t>终止记录</w:t>
            </w:r>
            <w:r>
              <w:rPr>
                <w:rFonts w:ascii="宋体" w:hAnsi="宋体"/>
                <w:spacing w:val="-6"/>
                <w:sz w:val="20"/>
              </w:rPr>
              <w:t xml:space="preserve">: </w:t>
            </w:r>
            <w:r>
              <w:rPr>
                <w:rFonts w:hint="eastAsia" w:ascii="宋体" w:hAnsi="宋体"/>
                <w:spacing w:val="-6"/>
                <w:sz w:val="20"/>
              </w:rPr>
              <w:t>在</w:t>
            </w:r>
            <w:r>
              <w:rPr>
                <w:rFonts w:hint="eastAsia" w:ascii="宋体" w:hAnsi="宋体"/>
                <w:sz w:val="20"/>
              </w:rPr>
              <w:t>第三章“评标和资格标准”2.2.3条要求的时间段内，我公司有以下由于未遵守环境-社会-健康-安全方面的规定而被业主要求停工或终止合同或履约保证金被业主没收的土建合同。</w:t>
            </w: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jc w:val="center"/>
              <w:rPr>
                <w:rFonts w:ascii="宋体" w:hAnsi="宋体"/>
                <w:b/>
                <w:bCs/>
                <w:spacing w:val="-4"/>
                <w:sz w:val="20"/>
              </w:rPr>
            </w:pPr>
            <w:r>
              <w:rPr>
                <w:rFonts w:hint="eastAsia" w:ascii="宋体" w:hAnsi="宋体"/>
                <w:b/>
                <w:bCs/>
                <w:spacing w:val="-4"/>
                <w:sz w:val="20"/>
              </w:rPr>
              <w:t>年份</w:t>
            </w:r>
          </w:p>
        </w:tc>
        <w:tc>
          <w:tcPr>
            <w:tcW w:w="1530" w:type="dxa"/>
            <w:tcBorders>
              <w:top w:val="single" w:color="auto" w:sz="2" w:space="0"/>
              <w:left w:val="single" w:color="auto" w:sz="2" w:space="0"/>
              <w:bottom w:val="single" w:color="auto" w:sz="2" w:space="0"/>
              <w:right w:val="single" w:color="auto" w:sz="2" w:space="0"/>
            </w:tcBorders>
          </w:tcPr>
          <w:p>
            <w:pPr>
              <w:spacing w:before="40" w:after="120"/>
              <w:ind w:left="112"/>
              <w:jc w:val="center"/>
              <w:rPr>
                <w:rFonts w:ascii="宋体" w:hAnsi="宋体"/>
                <w:b/>
                <w:bCs/>
                <w:spacing w:val="-4"/>
                <w:sz w:val="20"/>
              </w:rPr>
            </w:pPr>
            <w:r>
              <w:rPr>
                <w:rFonts w:hint="eastAsia" w:ascii="宋体" w:hAnsi="宋体"/>
                <w:b/>
                <w:bCs/>
                <w:spacing w:val="-4"/>
                <w:sz w:val="20"/>
              </w:rPr>
              <w:t>停工或合同终止的金额和比例</w:t>
            </w:r>
          </w:p>
        </w:tc>
        <w:tc>
          <w:tcPr>
            <w:tcW w:w="4876" w:type="dxa"/>
            <w:tcBorders>
              <w:top w:val="single" w:color="auto" w:sz="2" w:space="0"/>
              <w:left w:val="single" w:color="auto" w:sz="2" w:space="0"/>
              <w:bottom w:val="single" w:color="auto" w:sz="2" w:space="0"/>
              <w:right w:val="single" w:color="auto" w:sz="2" w:space="0"/>
            </w:tcBorders>
          </w:tcPr>
          <w:p>
            <w:pPr>
              <w:spacing w:before="40" w:after="120"/>
              <w:ind w:left="1323"/>
              <w:rPr>
                <w:rFonts w:ascii="宋体" w:hAnsi="宋体"/>
                <w:b/>
                <w:bCs/>
                <w:spacing w:val="-4"/>
                <w:sz w:val="20"/>
              </w:rPr>
            </w:pPr>
            <w:r>
              <w:rPr>
                <w:rFonts w:hint="eastAsia" w:ascii="宋体" w:hAnsi="宋体"/>
                <w:b/>
                <w:bCs/>
                <w:spacing w:val="-4"/>
                <w:sz w:val="20"/>
              </w:rPr>
              <w:t>合同标识</w:t>
            </w:r>
          </w:p>
          <w:p>
            <w:pPr>
              <w:spacing w:before="40" w:after="120"/>
              <w:ind w:left="60"/>
              <w:rPr>
                <w:rFonts w:ascii="宋体" w:hAnsi="宋体"/>
                <w:i/>
                <w:iCs/>
                <w:spacing w:val="-6"/>
                <w:sz w:val="20"/>
              </w:rPr>
            </w:pPr>
          </w:p>
        </w:tc>
        <w:tc>
          <w:tcPr>
            <w:tcW w:w="1260" w:type="dxa"/>
            <w:tcBorders>
              <w:top w:val="single" w:color="auto" w:sz="2" w:space="0"/>
              <w:left w:val="single" w:color="auto" w:sz="2" w:space="0"/>
              <w:bottom w:val="single" w:color="auto" w:sz="2" w:space="0"/>
              <w:right w:val="single" w:color="auto" w:sz="2" w:space="0"/>
            </w:tcBorders>
          </w:tcPr>
          <w:p>
            <w:pPr>
              <w:spacing w:before="40" w:after="120"/>
              <w:jc w:val="center"/>
              <w:rPr>
                <w:rFonts w:ascii="宋体" w:hAnsi="宋体"/>
                <w:i/>
                <w:iCs/>
                <w:spacing w:val="-6"/>
                <w:sz w:val="20"/>
              </w:rPr>
            </w:pPr>
            <w:r>
              <w:rPr>
                <w:rFonts w:hint="eastAsia" w:ascii="宋体" w:hAnsi="宋体"/>
                <w:b/>
                <w:bCs/>
                <w:spacing w:val="-4"/>
                <w:sz w:val="20"/>
              </w:rPr>
              <w:t>合同金额</w:t>
            </w:r>
            <w:r>
              <w:rPr>
                <w:rFonts w:ascii="宋体" w:hAnsi="宋体"/>
                <w:b/>
                <w:bCs/>
                <w:spacing w:val="-4"/>
                <w:sz w:val="20"/>
              </w:rPr>
              <w:t xml:space="preserve"> </w:t>
            </w: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sz w:val="20"/>
              </w:rPr>
            </w:pPr>
          </w:p>
        </w:tc>
        <w:tc>
          <w:tcPr>
            <w:tcW w:w="153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sz w:val="20"/>
              </w:rPr>
            </w:pPr>
          </w:p>
        </w:tc>
        <w:tc>
          <w:tcPr>
            <w:tcW w:w="4876" w:type="dxa"/>
            <w:tcBorders>
              <w:top w:val="single" w:color="auto" w:sz="2" w:space="0"/>
              <w:left w:val="single" w:color="auto" w:sz="2" w:space="0"/>
              <w:bottom w:val="single" w:color="auto" w:sz="2" w:space="0"/>
              <w:right w:val="single" w:color="auto" w:sz="2" w:space="0"/>
            </w:tcBorders>
          </w:tcPr>
          <w:p>
            <w:pPr>
              <w:spacing w:before="40" w:after="120"/>
              <w:ind w:left="60"/>
              <w:rPr>
                <w:rFonts w:ascii="宋体" w:hAnsi="宋体"/>
                <w:i/>
                <w:iCs/>
                <w:spacing w:val="-6"/>
                <w:sz w:val="20"/>
              </w:rPr>
            </w:pPr>
            <w:r>
              <w:rPr>
                <w:rFonts w:hint="eastAsia" w:ascii="宋体" w:hAnsi="宋体"/>
                <w:spacing w:val="-4"/>
                <w:sz w:val="20"/>
              </w:rPr>
              <w:t>合同名称</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60"/>
              <w:rPr>
                <w:rFonts w:ascii="宋体" w:hAnsi="宋体"/>
                <w:i/>
                <w:iCs/>
                <w:spacing w:val="-6"/>
                <w:sz w:val="20"/>
              </w:rPr>
            </w:pPr>
            <w:r>
              <w:rPr>
                <w:rFonts w:hint="eastAsia" w:ascii="宋体" w:hAnsi="宋体"/>
                <w:spacing w:val="-4"/>
                <w:sz w:val="20"/>
              </w:rPr>
              <w:t>业主名称</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58"/>
              <w:rPr>
                <w:rFonts w:ascii="宋体" w:hAnsi="宋体"/>
                <w:i/>
                <w:iCs/>
                <w:spacing w:val="-6"/>
                <w:sz w:val="20"/>
              </w:rPr>
            </w:pPr>
            <w:r>
              <w:rPr>
                <w:rFonts w:hint="eastAsia" w:ascii="宋体" w:hAnsi="宋体"/>
                <w:spacing w:val="-4"/>
                <w:sz w:val="20"/>
              </w:rPr>
              <w:t>业主地址</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58"/>
              <w:rPr>
                <w:rFonts w:ascii="宋体" w:hAnsi="宋体"/>
                <w:sz w:val="20"/>
              </w:rPr>
            </w:pPr>
            <w:r>
              <w:rPr>
                <w:rFonts w:hint="eastAsia" w:ascii="宋体" w:hAnsi="宋体"/>
                <w:spacing w:val="-4"/>
                <w:sz w:val="20"/>
              </w:rPr>
              <w:t>停工或终止的原因</w:t>
            </w:r>
            <w:r>
              <w:rPr>
                <w:rFonts w:ascii="宋体" w:hAnsi="宋体"/>
                <w:spacing w:val="-4"/>
                <w:sz w:val="20"/>
              </w:rPr>
              <w:t xml:space="preserve">: </w:t>
            </w:r>
            <w:r>
              <w:rPr>
                <w:i/>
                <w:iCs/>
                <w:szCs w:val="21"/>
                <w:lang w:val="es-ES"/>
              </w:rPr>
              <w:t xml:space="preserve">________________ </w:t>
            </w:r>
          </w:p>
        </w:tc>
        <w:tc>
          <w:tcPr>
            <w:tcW w:w="126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sz w:val="20"/>
              </w:rPr>
            </w:pP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153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4876" w:type="dxa"/>
            <w:tcBorders>
              <w:top w:val="single" w:color="auto" w:sz="2" w:space="0"/>
              <w:left w:val="single" w:color="auto" w:sz="2" w:space="0"/>
              <w:bottom w:val="single" w:color="auto" w:sz="2" w:space="0"/>
              <w:right w:val="single" w:color="auto" w:sz="2" w:space="0"/>
            </w:tcBorders>
          </w:tcPr>
          <w:p>
            <w:pPr>
              <w:spacing w:before="40" w:after="120"/>
              <w:ind w:left="60"/>
              <w:rPr>
                <w:rFonts w:ascii="宋体" w:hAnsi="宋体"/>
                <w:spacing w:val="-4"/>
                <w:sz w:val="20"/>
              </w:rPr>
            </w:pPr>
          </w:p>
        </w:tc>
        <w:tc>
          <w:tcPr>
            <w:tcW w:w="126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153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4876" w:type="dxa"/>
            <w:tcBorders>
              <w:top w:val="single" w:color="auto" w:sz="2" w:space="0"/>
              <w:left w:val="single" w:color="auto" w:sz="2" w:space="0"/>
              <w:bottom w:val="single" w:color="auto" w:sz="2" w:space="0"/>
              <w:right w:val="single" w:color="auto" w:sz="2" w:space="0"/>
            </w:tcBorders>
          </w:tcPr>
          <w:p>
            <w:pPr>
              <w:spacing w:before="40" w:after="120"/>
              <w:ind w:left="60"/>
              <w:rPr>
                <w:rFonts w:ascii="宋体" w:hAnsi="宋体"/>
                <w:i/>
                <w:spacing w:val="-4"/>
                <w:sz w:val="20"/>
              </w:rPr>
            </w:pPr>
          </w:p>
        </w:tc>
        <w:tc>
          <w:tcPr>
            <w:tcW w:w="126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r>
      <w:tr>
        <w:tblPrEx>
          <w:tblLayout w:type="fixed"/>
          <w:tblCellMar>
            <w:top w:w="0" w:type="dxa"/>
            <w:left w:w="0" w:type="dxa"/>
            <w:bottom w:w="0" w:type="dxa"/>
            <w:right w:w="0" w:type="dxa"/>
          </w:tblCellMar>
        </w:tblPrEx>
        <w:tc>
          <w:tcPr>
            <w:tcW w:w="8634" w:type="dxa"/>
            <w:gridSpan w:val="4"/>
            <w:tcBorders>
              <w:top w:val="single" w:color="auto" w:sz="2" w:space="0"/>
              <w:left w:val="single" w:color="auto" w:sz="2" w:space="0"/>
              <w:bottom w:val="single" w:color="auto" w:sz="2" w:space="0"/>
              <w:right w:val="single" w:color="auto" w:sz="2" w:space="0"/>
            </w:tcBorders>
          </w:tcPr>
          <w:p>
            <w:pPr>
              <w:spacing w:before="40" w:after="120"/>
              <w:rPr>
                <w:rFonts w:ascii="宋体" w:hAnsi="宋体"/>
                <w:b/>
                <w:bCs/>
                <w:i/>
                <w:iCs/>
                <w:spacing w:val="-6"/>
                <w:sz w:val="20"/>
              </w:rPr>
            </w:pPr>
            <w:r>
              <w:rPr>
                <w:rFonts w:hint="eastAsia" w:ascii="宋体" w:hAnsi="宋体"/>
                <w:b/>
                <w:bCs/>
                <w:sz w:val="20"/>
              </w:rPr>
              <w:t>由于未遵守环境-社会-健康-安全方面的规定而被业主没收履约保证金的土建合同</w:t>
            </w: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jc w:val="center"/>
              <w:rPr>
                <w:rFonts w:ascii="宋体" w:hAnsi="宋体"/>
                <w:b/>
                <w:bCs/>
                <w:spacing w:val="-4"/>
                <w:sz w:val="20"/>
              </w:rPr>
            </w:pPr>
            <w:r>
              <w:rPr>
                <w:rFonts w:hint="eastAsia" w:ascii="宋体" w:hAnsi="宋体"/>
                <w:b/>
                <w:bCs/>
                <w:spacing w:val="-4"/>
                <w:sz w:val="20"/>
              </w:rPr>
              <w:t>年份</w:t>
            </w:r>
          </w:p>
        </w:tc>
        <w:tc>
          <w:tcPr>
            <w:tcW w:w="6406" w:type="dxa"/>
            <w:gridSpan w:val="2"/>
            <w:tcBorders>
              <w:top w:val="single" w:color="auto" w:sz="2" w:space="0"/>
              <w:left w:val="single" w:color="auto" w:sz="2" w:space="0"/>
              <w:bottom w:val="single" w:color="auto" w:sz="2" w:space="0"/>
              <w:right w:val="single" w:color="auto" w:sz="2" w:space="0"/>
            </w:tcBorders>
          </w:tcPr>
          <w:p>
            <w:pPr>
              <w:spacing w:before="40" w:after="120"/>
              <w:jc w:val="center"/>
              <w:rPr>
                <w:rFonts w:ascii="宋体" w:hAnsi="宋体"/>
                <w:b/>
                <w:bCs/>
                <w:spacing w:val="-4"/>
                <w:sz w:val="20"/>
              </w:rPr>
            </w:pPr>
            <w:r>
              <w:rPr>
                <w:rFonts w:hint="eastAsia" w:ascii="宋体" w:hAnsi="宋体"/>
                <w:b/>
                <w:bCs/>
                <w:spacing w:val="-4"/>
                <w:sz w:val="20"/>
              </w:rPr>
              <w:t>合同标识</w:t>
            </w:r>
          </w:p>
          <w:p>
            <w:pPr>
              <w:spacing w:before="40" w:after="120"/>
              <w:ind w:left="60"/>
              <w:jc w:val="center"/>
              <w:rPr>
                <w:rFonts w:ascii="宋体" w:hAnsi="宋体"/>
                <w:b/>
                <w:bCs/>
                <w:spacing w:val="-4"/>
                <w:sz w:val="20"/>
              </w:rPr>
            </w:pPr>
          </w:p>
        </w:tc>
        <w:tc>
          <w:tcPr>
            <w:tcW w:w="1260" w:type="dxa"/>
            <w:tcBorders>
              <w:top w:val="single" w:color="auto" w:sz="2" w:space="0"/>
              <w:left w:val="single" w:color="auto" w:sz="2" w:space="0"/>
              <w:bottom w:val="single" w:color="auto" w:sz="2" w:space="0"/>
              <w:right w:val="single" w:color="auto" w:sz="2" w:space="0"/>
            </w:tcBorders>
          </w:tcPr>
          <w:p>
            <w:pPr>
              <w:spacing w:before="40" w:after="120"/>
              <w:jc w:val="center"/>
              <w:rPr>
                <w:rFonts w:ascii="宋体" w:hAnsi="宋体"/>
                <w:b/>
                <w:bCs/>
                <w:spacing w:val="-4"/>
                <w:sz w:val="20"/>
              </w:rPr>
            </w:pPr>
            <w:r>
              <w:rPr>
                <w:rFonts w:hint="eastAsia" w:ascii="宋体" w:hAnsi="宋体"/>
                <w:b/>
                <w:bCs/>
                <w:spacing w:val="-4"/>
                <w:sz w:val="20"/>
              </w:rPr>
              <w:t>合同金额</w:t>
            </w: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6406" w:type="dxa"/>
            <w:gridSpan w:val="2"/>
            <w:tcBorders>
              <w:top w:val="single" w:color="auto" w:sz="2" w:space="0"/>
              <w:left w:val="single" w:color="auto" w:sz="2" w:space="0"/>
              <w:bottom w:val="single" w:color="auto" w:sz="2" w:space="0"/>
              <w:right w:val="single" w:color="auto" w:sz="2" w:space="0"/>
            </w:tcBorders>
          </w:tcPr>
          <w:p>
            <w:pPr>
              <w:spacing w:before="40" w:after="120"/>
              <w:ind w:left="60"/>
              <w:rPr>
                <w:rFonts w:ascii="宋体" w:hAnsi="宋体"/>
                <w:i/>
                <w:iCs/>
                <w:spacing w:val="-6"/>
                <w:sz w:val="20"/>
              </w:rPr>
            </w:pPr>
            <w:r>
              <w:rPr>
                <w:rFonts w:hint="eastAsia" w:ascii="宋体" w:hAnsi="宋体"/>
                <w:spacing w:val="-4"/>
                <w:sz w:val="20"/>
              </w:rPr>
              <w:t>合同名称</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60"/>
              <w:rPr>
                <w:rFonts w:ascii="宋体" w:hAnsi="宋体"/>
                <w:i/>
                <w:iCs/>
                <w:spacing w:val="-6"/>
                <w:sz w:val="20"/>
              </w:rPr>
            </w:pPr>
            <w:r>
              <w:rPr>
                <w:rFonts w:hint="eastAsia" w:ascii="宋体" w:hAnsi="宋体"/>
                <w:spacing w:val="-4"/>
                <w:sz w:val="20"/>
              </w:rPr>
              <w:t>业主名称</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58"/>
              <w:rPr>
                <w:rFonts w:ascii="宋体" w:hAnsi="宋体"/>
                <w:i/>
                <w:iCs/>
                <w:spacing w:val="-6"/>
                <w:sz w:val="20"/>
              </w:rPr>
            </w:pPr>
            <w:r>
              <w:rPr>
                <w:rFonts w:hint="eastAsia" w:ascii="宋体" w:hAnsi="宋体"/>
                <w:spacing w:val="-4"/>
                <w:sz w:val="20"/>
              </w:rPr>
              <w:t>业主地址</w:t>
            </w:r>
            <w:r>
              <w:rPr>
                <w:rFonts w:ascii="宋体" w:hAnsi="宋体"/>
                <w:spacing w:val="-4"/>
                <w:sz w:val="20"/>
              </w:rPr>
              <w:t xml:space="preserve">: </w:t>
            </w:r>
            <w:r>
              <w:rPr>
                <w:i/>
                <w:iCs/>
                <w:szCs w:val="21"/>
                <w:lang w:val="es-ES"/>
              </w:rPr>
              <w:t>_______________________</w:t>
            </w:r>
            <w:r>
              <w:rPr>
                <w:iCs/>
                <w:szCs w:val="21"/>
                <w:lang w:val="es-ES"/>
              </w:rPr>
              <w:t>_</w:t>
            </w:r>
          </w:p>
          <w:p>
            <w:pPr>
              <w:spacing w:before="40" w:after="120"/>
              <w:ind w:left="60"/>
              <w:rPr>
                <w:rFonts w:ascii="宋体" w:hAnsi="宋体"/>
                <w:i/>
                <w:spacing w:val="-4"/>
                <w:sz w:val="20"/>
              </w:rPr>
            </w:pPr>
            <w:r>
              <w:rPr>
                <w:rFonts w:hint="eastAsia" w:ascii="宋体" w:hAnsi="宋体"/>
                <w:sz w:val="20"/>
              </w:rPr>
              <w:t>业主没收履约保证金的</w:t>
            </w:r>
            <w:r>
              <w:rPr>
                <w:rFonts w:hint="eastAsia" w:ascii="宋体" w:hAnsi="宋体"/>
                <w:spacing w:val="-4"/>
                <w:sz w:val="20"/>
              </w:rPr>
              <w:t>原因</w:t>
            </w:r>
            <w:r>
              <w:rPr>
                <w:rFonts w:ascii="宋体" w:hAnsi="宋体"/>
                <w:spacing w:val="-4"/>
                <w:sz w:val="20"/>
              </w:rPr>
              <w:t>:</w:t>
            </w:r>
            <w:r>
              <w:rPr>
                <w:i/>
                <w:iCs/>
                <w:szCs w:val="21"/>
                <w:lang w:val="es-ES"/>
              </w:rPr>
              <w:t xml:space="preserve"> _______________________</w:t>
            </w:r>
            <w:r>
              <w:rPr>
                <w:iCs/>
                <w:szCs w:val="21"/>
                <w:lang w:val="es-ES"/>
              </w:rPr>
              <w:t>_</w:t>
            </w:r>
          </w:p>
        </w:tc>
        <w:tc>
          <w:tcPr>
            <w:tcW w:w="126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r>
      <w:tr>
        <w:tblPrEx>
          <w:tblLayout w:type="fixed"/>
          <w:tblCellMar>
            <w:top w:w="0" w:type="dxa"/>
            <w:left w:w="0" w:type="dxa"/>
            <w:bottom w:w="0" w:type="dxa"/>
            <w:right w:w="0" w:type="dxa"/>
          </w:tblCellMar>
        </w:tblPrEx>
        <w:tc>
          <w:tcPr>
            <w:tcW w:w="968"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c>
          <w:tcPr>
            <w:tcW w:w="6406" w:type="dxa"/>
            <w:gridSpan w:val="2"/>
            <w:tcBorders>
              <w:top w:val="single" w:color="auto" w:sz="2" w:space="0"/>
              <w:left w:val="single" w:color="auto" w:sz="2" w:space="0"/>
              <w:bottom w:val="single" w:color="auto" w:sz="2" w:space="0"/>
              <w:right w:val="single" w:color="auto" w:sz="2" w:space="0"/>
            </w:tcBorders>
          </w:tcPr>
          <w:p>
            <w:pPr>
              <w:spacing w:before="40" w:after="120"/>
              <w:ind w:left="60"/>
              <w:rPr>
                <w:rFonts w:ascii="宋体" w:hAnsi="宋体"/>
                <w:i/>
                <w:spacing w:val="-4"/>
                <w:sz w:val="20"/>
              </w:rPr>
            </w:pPr>
          </w:p>
        </w:tc>
        <w:tc>
          <w:tcPr>
            <w:tcW w:w="1260" w:type="dxa"/>
            <w:tcBorders>
              <w:top w:val="single" w:color="auto" w:sz="2" w:space="0"/>
              <w:left w:val="single" w:color="auto" w:sz="2" w:space="0"/>
              <w:bottom w:val="single" w:color="auto" w:sz="2" w:space="0"/>
              <w:right w:val="single" w:color="auto" w:sz="2" w:space="0"/>
            </w:tcBorders>
          </w:tcPr>
          <w:p>
            <w:pPr>
              <w:spacing w:before="40" w:after="120"/>
              <w:rPr>
                <w:rFonts w:ascii="宋体" w:hAnsi="宋体"/>
                <w:i/>
                <w:iCs/>
                <w:spacing w:val="-6"/>
                <w:sz w:val="20"/>
              </w:rPr>
            </w:pPr>
          </w:p>
        </w:tc>
      </w:tr>
    </w:tbl>
    <w:p>
      <w:pPr>
        <w:widowControl/>
        <w:adjustRightInd/>
        <w:spacing w:line="240" w:lineRule="auto"/>
        <w:jc w:val="left"/>
        <w:textAlignment w:val="auto"/>
        <w:rPr>
          <w:b/>
          <w:sz w:val="24"/>
          <w:lang w:eastAsia="zh-CN"/>
        </w:rPr>
      </w:pPr>
    </w:p>
    <w:p>
      <w:pPr>
        <w:widowControl/>
        <w:adjustRightInd/>
        <w:spacing w:line="240" w:lineRule="auto"/>
        <w:jc w:val="left"/>
        <w:textAlignment w:val="auto"/>
        <w:rPr>
          <w:b/>
          <w:sz w:val="24"/>
          <w:lang w:val="zh-CN" w:eastAsia="zh-CN"/>
        </w:rPr>
      </w:pPr>
      <w:bookmarkStart w:id="1375" w:name="_Toc169103272"/>
      <w:r>
        <w:br w:type="page"/>
      </w:r>
    </w:p>
    <w:p>
      <w:pPr>
        <w:pStyle w:val="4"/>
      </w:pPr>
      <w:bookmarkStart w:id="1376" w:name="_Toc171063136"/>
      <w:bookmarkStart w:id="1377" w:name="_Toc170312598"/>
      <w:r>
        <w:t>表FIN-2.</w:t>
      </w:r>
      <w:r>
        <w:rPr>
          <w:rFonts w:hint="eastAsia"/>
        </w:rPr>
        <w:t>3.1</w:t>
      </w:r>
      <w:r>
        <w:t xml:space="preserve">  </w:t>
      </w:r>
      <w:r>
        <w:rPr>
          <w:rFonts w:hint="eastAsia"/>
        </w:rPr>
        <w:t>历史财务状况</w:t>
      </w:r>
      <w:bookmarkEnd w:id="1375"/>
      <w:bookmarkEnd w:id="1376"/>
      <w:bookmarkEnd w:id="1377"/>
    </w:p>
    <w:p>
      <w:pPr>
        <w:spacing w:before="120" w:after="120" w:line="240" w:lineRule="atLeast"/>
        <w:textAlignment w:val="auto"/>
        <w:rPr>
          <w:color w:val="000000"/>
          <w:szCs w:val="21"/>
          <w:lang w:val="es-ES"/>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投标人法定名称：________________________　　　           </w:t>
      </w:r>
      <w:r>
        <w:rPr>
          <w:color w:val="000000"/>
          <w:szCs w:val="21"/>
          <w:lang w:val="es-ES"/>
        </w:rPr>
        <w:t xml:space="preserve">               </w:t>
      </w:r>
      <w:r>
        <w:rPr>
          <w:rFonts w:hint="eastAsia"/>
          <w:color w:val="000000"/>
          <w:szCs w:val="21"/>
          <w:lang w:val="es-ES"/>
        </w:rPr>
        <w:t>　日期：____________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联合体成员法定名称：_____________________　　</w:t>
      </w:r>
      <w:r>
        <w:rPr>
          <w:color w:val="000000"/>
          <w:szCs w:val="21"/>
          <w:lang w:val="es-ES"/>
        </w:rPr>
        <w:t xml:space="preserve">                </w:t>
      </w:r>
      <w:r>
        <w:rPr>
          <w:szCs w:val="21"/>
          <w:lang w:val="es-ES"/>
        </w:rPr>
        <w:t>本次招标</w:t>
      </w:r>
      <w:r>
        <w:rPr>
          <w:rFonts w:hint="eastAsia"/>
          <w:szCs w:val="21"/>
          <w:lang w:val="es-ES"/>
        </w:rPr>
        <w:t>编号</w:t>
      </w:r>
      <w:r>
        <w:rPr>
          <w:rFonts w:hint="eastAsia"/>
          <w:color w:val="000000"/>
          <w:szCs w:val="21"/>
          <w:lang w:val="es-ES"/>
        </w:rPr>
        <w:t>：____________</w:t>
      </w:r>
    </w:p>
    <w:p>
      <w:pPr>
        <w:spacing w:before="120" w:after="120"/>
        <w:textAlignment w:val="auto"/>
        <w:rPr>
          <w:color w:val="000000"/>
          <w:szCs w:val="21"/>
          <w:lang w:val="es-ES"/>
        </w:rPr>
      </w:pPr>
      <w:r>
        <w:rPr>
          <w:rFonts w:hint="eastAsia"/>
          <w:color w:val="000000"/>
          <w:szCs w:val="21"/>
          <w:lang w:val="es-ES"/>
        </w:rPr>
        <w:t>联合体投标时，每个联合体成员必须单独填写下表。</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014"/>
        <w:gridCol w:w="1015"/>
        <w:gridCol w:w="1015"/>
        <w:gridCol w:w="953"/>
        <w:gridCol w:w="1015"/>
        <w:gridCol w:w="76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Align w:val="center"/>
          </w:tcPr>
          <w:p>
            <w:pPr>
              <w:spacing w:before="120" w:after="120"/>
              <w:jc w:val="center"/>
              <w:textAlignment w:val="auto"/>
              <w:rPr>
                <w:color w:val="000000"/>
                <w:sz w:val="20"/>
                <w:szCs w:val="21"/>
                <w:lang w:val="es-ES"/>
              </w:rPr>
            </w:pPr>
            <w:r>
              <w:rPr>
                <w:rFonts w:hint="eastAsia"/>
                <w:color w:val="000000"/>
                <w:sz w:val="20"/>
                <w:szCs w:val="21"/>
                <w:lang w:val="es-ES"/>
              </w:rPr>
              <w:t>财务信息</w:t>
            </w:r>
          </w:p>
          <w:p>
            <w:pPr>
              <w:spacing w:before="120" w:after="120"/>
              <w:jc w:val="center"/>
              <w:textAlignment w:val="auto"/>
              <w:rPr>
                <w:color w:val="000000"/>
                <w:sz w:val="20"/>
                <w:szCs w:val="21"/>
                <w:lang w:val="es-ES"/>
              </w:rPr>
            </w:pPr>
          </w:p>
        </w:tc>
        <w:tc>
          <w:tcPr>
            <w:tcW w:w="6793" w:type="dxa"/>
            <w:gridSpan w:val="7"/>
          </w:tcPr>
          <w:p>
            <w:pPr>
              <w:spacing w:before="120" w:after="120"/>
              <w:jc w:val="center"/>
              <w:textAlignment w:val="auto"/>
              <w:rPr>
                <w:color w:val="000000"/>
                <w:sz w:val="20"/>
                <w:szCs w:val="21"/>
                <w:lang w:val="es-ES"/>
              </w:rPr>
            </w:pPr>
            <w:r>
              <w:rPr>
                <w:rFonts w:hint="eastAsia"/>
                <w:color w:val="000000"/>
                <w:sz w:val="20"/>
                <w:szCs w:val="21"/>
                <w:lang w:val="es-ES"/>
              </w:rPr>
              <w:t>前_________年的历史资料</w:t>
            </w:r>
          </w:p>
          <w:p>
            <w:pPr>
              <w:spacing w:before="120" w:after="120"/>
              <w:jc w:val="center"/>
              <w:textAlignment w:val="auto"/>
              <w:rPr>
                <w:color w:val="000000"/>
                <w:sz w:val="20"/>
                <w:szCs w:val="21"/>
                <w:lang w:val="es-ES"/>
              </w:rPr>
            </w:pPr>
            <w:r>
              <w:rPr>
                <w:rFonts w:hint="eastAsia"/>
                <w:color w:val="000000"/>
                <w:sz w:val="20"/>
                <w:szCs w:val="21"/>
                <w:lang w:val="es-ES"/>
              </w:rPr>
              <w:t>（等值人民币）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p>
        </w:tc>
        <w:tc>
          <w:tcPr>
            <w:tcW w:w="1014" w:type="dxa"/>
          </w:tcPr>
          <w:p>
            <w:pPr>
              <w:spacing w:before="120" w:after="120"/>
              <w:jc w:val="center"/>
              <w:textAlignment w:val="auto"/>
              <w:rPr>
                <w:color w:val="000000"/>
                <w:sz w:val="20"/>
                <w:szCs w:val="21"/>
                <w:lang w:val="es-ES"/>
              </w:rPr>
            </w:pPr>
            <w:r>
              <w:rPr>
                <w:rFonts w:hint="eastAsia"/>
                <w:color w:val="000000"/>
                <w:sz w:val="20"/>
                <w:szCs w:val="21"/>
                <w:lang w:val="es-ES"/>
              </w:rPr>
              <w:t>第</w:t>
            </w:r>
            <w:r>
              <w:rPr>
                <w:color w:val="000000"/>
                <w:sz w:val="20"/>
                <w:szCs w:val="21"/>
                <w:lang w:val="es-ES"/>
              </w:rPr>
              <w:t>１</w:t>
            </w:r>
            <w:r>
              <w:rPr>
                <w:rFonts w:hint="eastAsia"/>
                <w:color w:val="000000"/>
                <w:sz w:val="20"/>
                <w:szCs w:val="21"/>
                <w:lang w:val="es-ES"/>
              </w:rPr>
              <w:t>年</w:t>
            </w:r>
          </w:p>
        </w:tc>
        <w:tc>
          <w:tcPr>
            <w:tcW w:w="1015" w:type="dxa"/>
          </w:tcPr>
          <w:p>
            <w:pPr>
              <w:spacing w:before="120" w:after="120"/>
              <w:jc w:val="center"/>
              <w:textAlignment w:val="auto"/>
              <w:rPr>
                <w:color w:val="000000"/>
                <w:sz w:val="20"/>
                <w:szCs w:val="21"/>
                <w:lang w:val="es-ES"/>
              </w:rPr>
            </w:pPr>
            <w:r>
              <w:rPr>
                <w:rFonts w:hint="eastAsia"/>
                <w:color w:val="000000"/>
                <w:sz w:val="20"/>
                <w:szCs w:val="21"/>
                <w:lang w:val="es-ES"/>
              </w:rPr>
              <w:t>第2年</w:t>
            </w:r>
          </w:p>
        </w:tc>
        <w:tc>
          <w:tcPr>
            <w:tcW w:w="1015" w:type="dxa"/>
          </w:tcPr>
          <w:p>
            <w:pPr>
              <w:spacing w:before="120" w:after="120"/>
              <w:jc w:val="center"/>
              <w:textAlignment w:val="auto"/>
              <w:rPr>
                <w:color w:val="000000"/>
                <w:sz w:val="20"/>
                <w:szCs w:val="21"/>
                <w:lang w:val="es-ES"/>
              </w:rPr>
            </w:pPr>
            <w:r>
              <w:rPr>
                <w:rFonts w:hint="eastAsia"/>
                <w:color w:val="000000"/>
                <w:sz w:val="20"/>
                <w:szCs w:val="21"/>
                <w:lang w:val="es-ES"/>
              </w:rPr>
              <w:t>第3年</w:t>
            </w:r>
          </w:p>
        </w:tc>
        <w:tc>
          <w:tcPr>
            <w:tcW w:w="953" w:type="dxa"/>
          </w:tcPr>
          <w:p>
            <w:pPr>
              <w:spacing w:before="120" w:after="120"/>
              <w:jc w:val="center"/>
              <w:textAlignment w:val="auto"/>
              <w:rPr>
                <w:color w:val="000000"/>
                <w:sz w:val="20"/>
                <w:szCs w:val="21"/>
                <w:lang w:val="es-ES"/>
              </w:rPr>
            </w:pPr>
            <w:r>
              <w:rPr>
                <w:rFonts w:hint="eastAsia"/>
                <w:color w:val="000000"/>
                <w:sz w:val="20"/>
                <w:szCs w:val="21"/>
                <w:lang w:val="es-ES"/>
              </w:rPr>
              <w:t>第</w:t>
            </w:r>
            <w:r>
              <w:rPr>
                <w:color w:val="000000"/>
                <w:sz w:val="20"/>
                <w:szCs w:val="21"/>
                <w:lang w:val="es-ES"/>
              </w:rPr>
              <w:t>...</w:t>
            </w:r>
            <w:r>
              <w:rPr>
                <w:rFonts w:hint="eastAsia"/>
                <w:color w:val="000000"/>
                <w:sz w:val="20"/>
                <w:szCs w:val="21"/>
                <w:lang w:val="es-ES"/>
              </w:rPr>
              <w:t>年</w:t>
            </w:r>
          </w:p>
        </w:tc>
        <w:tc>
          <w:tcPr>
            <w:tcW w:w="1015" w:type="dxa"/>
          </w:tcPr>
          <w:p>
            <w:pPr>
              <w:spacing w:before="120" w:after="120"/>
              <w:jc w:val="center"/>
              <w:textAlignment w:val="auto"/>
              <w:rPr>
                <w:color w:val="000000"/>
                <w:sz w:val="20"/>
                <w:szCs w:val="21"/>
                <w:lang w:val="es-ES"/>
              </w:rPr>
            </w:pPr>
            <w:r>
              <w:rPr>
                <w:rFonts w:hint="eastAsia"/>
                <w:color w:val="000000"/>
                <w:sz w:val="20"/>
                <w:szCs w:val="21"/>
                <w:lang w:val="es-ES"/>
              </w:rPr>
              <w:t>第</w:t>
            </w:r>
            <w:r>
              <w:rPr>
                <w:color w:val="000000"/>
                <w:sz w:val="20"/>
                <w:szCs w:val="21"/>
                <w:lang w:val="es-ES"/>
              </w:rPr>
              <w:t>n</w:t>
            </w:r>
            <w:r>
              <w:rPr>
                <w:rFonts w:hint="eastAsia"/>
                <w:color w:val="000000"/>
                <w:sz w:val="20"/>
                <w:szCs w:val="21"/>
                <w:lang w:val="es-ES"/>
              </w:rPr>
              <w:t>年</w:t>
            </w:r>
          </w:p>
        </w:tc>
        <w:tc>
          <w:tcPr>
            <w:tcW w:w="766" w:type="dxa"/>
          </w:tcPr>
          <w:p>
            <w:pPr>
              <w:spacing w:before="120" w:after="120"/>
              <w:jc w:val="center"/>
              <w:textAlignment w:val="auto"/>
              <w:rPr>
                <w:color w:val="000000"/>
                <w:sz w:val="20"/>
                <w:szCs w:val="21"/>
                <w:lang w:val="es-ES"/>
              </w:rPr>
            </w:pPr>
            <w:r>
              <w:rPr>
                <w:rFonts w:hint="eastAsia"/>
                <w:color w:val="000000"/>
                <w:sz w:val="20"/>
                <w:szCs w:val="21"/>
                <w:lang w:val="es-ES"/>
              </w:rPr>
              <w:t>平均值</w:t>
            </w:r>
          </w:p>
        </w:tc>
        <w:tc>
          <w:tcPr>
            <w:tcW w:w="1015" w:type="dxa"/>
          </w:tcPr>
          <w:p>
            <w:pPr>
              <w:spacing w:before="120" w:after="120"/>
              <w:jc w:val="center"/>
              <w:textAlignment w:val="auto"/>
              <w:rPr>
                <w:color w:val="000000"/>
                <w:sz w:val="20"/>
                <w:szCs w:val="21"/>
                <w:lang w:val="es-ES"/>
              </w:rPr>
            </w:pPr>
            <w:r>
              <w:rPr>
                <w:rFonts w:hint="eastAsia"/>
                <w:color w:val="000000"/>
                <w:sz w:val="20"/>
                <w:szCs w:val="21"/>
                <w:lang w:val="es-ES"/>
              </w:rPr>
              <w:t>平均值的比值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8"/>
          </w:tcPr>
          <w:p>
            <w:pPr>
              <w:spacing w:before="120" w:after="120"/>
              <w:textAlignment w:val="auto"/>
              <w:rPr>
                <w:color w:val="000000"/>
                <w:sz w:val="20"/>
                <w:szCs w:val="21"/>
                <w:lang w:val="es-ES"/>
              </w:rPr>
            </w:pPr>
            <w:r>
              <w:rPr>
                <w:rFonts w:hint="eastAsia"/>
                <w:color w:val="000000"/>
                <w:sz w:val="20"/>
                <w:szCs w:val="21"/>
                <w:lang w:val="es-ES"/>
              </w:rPr>
              <w:t>资产负债表信息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总资产</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vMerge w:val="restart"/>
          </w:tcPr>
          <w:p>
            <w:pPr>
              <w:spacing w:before="120" w:after="120"/>
              <w:textAlignment w:val="auto"/>
              <w:rPr>
                <w:i/>
                <w:color w:val="000000"/>
                <w:sz w:val="20"/>
                <w:szCs w:val="21"/>
                <w:lang w:val="es-ES"/>
              </w:rPr>
            </w:pPr>
            <w:r>
              <w:rPr>
                <w:rFonts w:hint="eastAsia"/>
                <w:i/>
                <w:color w:val="000000"/>
                <w:sz w:val="20"/>
                <w:szCs w:val="21"/>
                <w:lang w:val="es-ES"/>
              </w:rPr>
              <w:t>（总负债比总资产）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总负债</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vMerge w:val="continue"/>
          </w:tcPr>
          <w:p>
            <w:pPr>
              <w:spacing w:before="120" w:after="120"/>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净资产</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r>
              <w:rPr>
                <w:rFonts w:hint="eastAsia"/>
                <w:color w:val="000000"/>
                <w:sz w:val="20"/>
                <w:szCs w:val="21"/>
                <w:lang w:val="es-ES"/>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流动资产</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vMerge w:val="restart"/>
          </w:tcPr>
          <w:p>
            <w:pPr>
              <w:spacing w:before="120" w:after="120"/>
              <w:textAlignment w:val="auto"/>
              <w:rPr>
                <w:i/>
                <w:color w:val="000000"/>
                <w:sz w:val="20"/>
                <w:szCs w:val="21"/>
                <w:lang w:val="es-ES"/>
              </w:rPr>
            </w:pPr>
            <w:r>
              <w:rPr>
                <w:rFonts w:hint="eastAsia"/>
                <w:i/>
                <w:color w:val="000000"/>
                <w:sz w:val="20"/>
                <w:szCs w:val="21"/>
                <w:lang w:val="es-ES"/>
              </w:rPr>
              <w:t>（流动资产比流动负债）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流动负债</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vMerge w:val="continue"/>
          </w:tcPr>
          <w:p>
            <w:pPr>
              <w:spacing w:before="120" w:after="120"/>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8"/>
          </w:tcPr>
          <w:p>
            <w:pPr>
              <w:spacing w:before="120" w:after="120"/>
              <w:textAlignment w:val="auto"/>
              <w:rPr>
                <w:color w:val="000000"/>
                <w:sz w:val="20"/>
                <w:szCs w:val="21"/>
                <w:lang w:val="es-ES"/>
              </w:rPr>
            </w:pPr>
            <w:r>
              <w:rPr>
                <w:rFonts w:hint="eastAsia"/>
                <w:color w:val="000000"/>
                <w:sz w:val="20"/>
                <w:szCs w:val="21"/>
                <w:lang w:val="es-ES"/>
              </w:rPr>
              <w:t>损益表信息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收入总额</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r>
              <w:rPr>
                <w:rFonts w:hint="eastAsia"/>
                <w:color w:val="000000"/>
                <w:sz w:val="20"/>
                <w:szCs w:val="21"/>
                <w:lang w:val="es-ES"/>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spacing w:before="120" w:after="120"/>
              <w:textAlignment w:val="auto"/>
              <w:rPr>
                <w:color w:val="000000"/>
                <w:sz w:val="20"/>
                <w:szCs w:val="21"/>
                <w:lang w:val="es-ES"/>
              </w:rPr>
            </w:pPr>
            <w:r>
              <w:rPr>
                <w:rFonts w:hint="eastAsia"/>
                <w:color w:val="000000"/>
                <w:sz w:val="20"/>
                <w:szCs w:val="21"/>
                <w:lang w:val="es-ES"/>
              </w:rPr>
              <w:t>税前利润</w:t>
            </w:r>
          </w:p>
        </w:tc>
        <w:tc>
          <w:tcPr>
            <w:tcW w:w="1014"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953"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p>
        </w:tc>
        <w:tc>
          <w:tcPr>
            <w:tcW w:w="766" w:type="dxa"/>
          </w:tcPr>
          <w:p>
            <w:pPr>
              <w:spacing w:before="120" w:after="120"/>
              <w:textAlignment w:val="auto"/>
              <w:rPr>
                <w:color w:val="000000"/>
                <w:sz w:val="20"/>
                <w:szCs w:val="21"/>
                <w:lang w:val="es-ES"/>
              </w:rPr>
            </w:pPr>
          </w:p>
        </w:tc>
        <w:tc>
          <w:tcPr>
            <w:tcW w:w="1015" w:type="dxa"/>
          </w:tcPr>
          <w:p>
            <w:pPr>
              <w:spacing w:before="120" w:after="120"/>
              <w:textAlignment w:val="auto"/>
              <w:rPr>
                <w:color w:val="000000"/>
                <w:sz w:val="20"/>
                <w:szCs w:val="21"/>
                <w:lang w:val="es-ES"/>
              </w:rPr>
            </w:pPr>
            <w:r>
              <w:rPr>
                <w:rFonts w:hint="eastAsia"/>
                <w:color w:val="000000"/>
                <w:sz w:val="20"/>
                <w:szCs w:val="21"/>
                <w:lang w:val="es-ES"/>
              </w:rPr>
              <w:t>不适用</w:t>
            </w:r>
          </w:p>
        </w:tc>
      </w:tr>
    </w:tbl>
    <w:p>
      <w:pPr>
        <w:spacing w:before="120" w:after="120"/>
        <w:textAlignment w:val="auto"/>
        <w:rPr>
          <w:color w:val="000000"/>
          <w:szCs w:val="21"/>
          <w:lang w:val="es-ES"/>
        </w:rPr>
      </w:pPr>
      <w:r>
        <w:rPr>
          <w:rFonts w:hint="eastAsia"/>
          <w:color w:val="000000"/>
          <w:szCs w:val="21"/>
          <w:lang w:val="es-ES"/>
        </w:rPr>
        <w:t>注：附件是上述年份的财务报表（资产负债表、包括所有的注释和损益表）复印件并符合下列条件：</w:t>
      </w:r>
    </w:p>
    <w:p>
      <w:pPr>
        <w:pStyle w:val="102"/>
        <w:numPr>
          <w:ilvl w:val="0"/>
          <w:numId w:val="24"/>
        </w:numPr>
        <w:spacing w:before="120" w:after="120"/>
        <w:ind w:firstLineChars="0"/>
        <w:rPr>
          <w:rStyle w:val="104"/>
          <w:color w:val="000000"/>
          <w:szCs w:val="21"/>
          <w:lang w:val="es-ES"/>
        </w:rPr>
      </w:pPr>
      <w:r>
        <w:rPr>
          <w:rFonts w:hint="eastAsia"/>
          <w:color w:val="000000"/>
          <w:szCs w:val="21"/>
          <w:lang w:val="es-ES"/>
        </w:rPr>
        <w:t>必须反映投标人或联合体成员的财务状况，不包括</w:t>
      </w:r>
      <w:r>
        <w:rPr>
          <w:rStyle w:val="104"/>
        </w:rPr>
        <w:t>姊妹公司</w:t>
      </w:r>
      <w:r>
        <w:rPr>
          <w:rStyle w:val="104"/>
          <w:rFonts w:hint="eastAsia"/>
        </w:rPr>
        <w:t>和母公司</w:t>
      </w:r>
    </w:p>
    <w:p>
      <w:pPr>
        <w:pStyle w:val="102"/>
        <w:numPr>
          <w:ilvl w:val="0"/>
          <w:numId w:val="24"/>
        </w:numPr>
        <w:spacing w:before="120" w:after="120"/>
        <w:ind w:firstLineChars="0"/>
        <w:rPr>
          <w:color w:val="000000"/>
          <w:szCs w:val="21"/>
          <w:lang w:val="es-ES"/>
        </w:rPr>
      </w:pPr>
      <w:r>
        <w:rPr>
          <w:rFonts w:hint="eastAsia"/>
          <w:color w:val="000000"/>
          <w:szCs w:val="21"/>
          <w:lang w:val="es-ES"/>
        </w:rPr>
        <w:t>财务报表应由注册会计师进行审计</w:t>
      </w:r>
    </w:p>
    <w:p>
      <w:pPr>
        <w:pStyle w:val="102"/>
        <w:numPr>
          <w:ilvl w:val="0"/>
          <w:numId w:val="24"/>
        </w:numPr>
        <w:spacing w:before="120" w:after="120"/>
        <w:ind w:firstLineChars="0"/>
        <w:rPr>
          <w:color w:val="000000"/>
          <w:szCs w:val="21"/>
          <w:lang w:val="es-ES"/>
        </w:rPr>
      </w:pPr>
      <w:r>
        <w:rPr>
          <w:rFonts w:hint="eastAsia"/>
          <w:color w:val="000000"/>
          <w:szCs w:val="21"/>
          <w:lang w:val="es-ES"/>
        </w:rPr>
        <w:t>财务报表应完整，包括所有的财务报表注释</w:t>
      </w:r>
    </w:p>
    <w:p>
      <w:pPr>
        <w:pStyle w:val="102"/>
        <w:numPr>
          <w:ilvl w:val="0"/>
          <w:numId w:val="24"/>
        </w:numPr>
        <w:spacing w:before="120" w:after="120"/>
        <w:ind w:firstLineChars="0"/>
        <w:rPr>
          <w:color w:val="000000"/>
          <w:szCs w:val="21"/>
          <w:lang w:val="es-ES"/>
        </w:rPr>
      </w:pPr>
      <w:r>
        <w:rPr>
          <w:rFonts w:hint="eastAsia"/>
          <w:color w:val="000000"/>
          <w:szCs w:val="21"/>
          <w:lang w:val="es-ES"/>
        </w:rPr>
        <w:t>财务报表应对应已经完成和审计的会计年度（不要求也不接受不完整会计期间的报表）</w:t>
      </w:r>
    </w:p>
    <w:p>
      <w:pPr>
        <w:pStyle w:val="99"/>
        <w:spacing w:before="120" w:after="120" w:line="240" w:lineRule="atLeast"/>
        <w:ind w:firstLine="422"/>
        <w:jc w:val="both"/>
        <w:rPr>
          <w:rFonts w:ascii="Times New Roman" w:hAnsi="Times New Roman"/>
          <w:color w:val="000000"/>
          <w:sz w:val="21"/>
          <w:szCs w:val="21"/>
          <w:lang w:val="es-ES" w:eastAsia="zh-CN"/>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pPr>
      <w:bookmarkStart w:id="1378" w:name="_Toc169103273"/>
      <w:bookmarkStart w:id="1379" w:name="_Toc170312599"/>
      <w:bookmarkStart w:id="1380" w:name="_Toc171063137"/>
      <w:r>
        <w:t>表FIN-2.</w:t>
      </w:r>
      <w:r>
        <w:rPr>
          <w:rFonts w:hint="eastAsia"/>
        </w:rPr>
        <w:t>3.2</w:t>
      </w:r>
      <w:r>
        <w:t xml:space="preserve">  </w:t>
      </w:r>
      <w:r>
        <w:rPr>
          <w:rFonts w:hint="eastAsia"/>
        </w:rPr>
        <w:t>年均施工营业额</w:t>
      </w:r>
      <w:bookmarkEnd w:id="1378"/>
      <w:bookmarkEnd w:id="1379"/>
      <w:bookmarkEnd w:id="1380"/>
    </w:p>
    <w:p>
      <w:pPr>
        <w:pStyle w:val="99"/>
        <w:spacing w:before="120" w:after="120" w:line="240" w:lineRule="atLeast"/>
        <w:ind w:firstLine="418"/>
        <w:rPr>
          <w:rStyle w:val="100"/>
          <w:rFonts w:ascii="Times New Roman" w:hAnsi="Times New Roman"/>
          <w:color w:val="000000"/>
          <w:spacing w:val="-2"/>
          <w:sz w:val="21"/>
          <w:szCs w:val="21"/>
          <w:lang w:val="en-US" w:eastAsia="zh-CN"/>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投标人法定名称：__________________________　　　  　 </w:t>
      </w:r>
      <w:r>
        <w:rPr>
          <w:color w:val="000000"/>
          <w:szCs w:val="21"/>
          <w:lang w:val="es-ES"/>
        </w:rPr>
        <w:t xml:space="preserve">       </w:t>
      </w:r>
      <w:r>
        <w:rPr>
          <w:rFonts w:hint="eastAsia"/>
          <w:color w:val="000000"/>
          <w:szCs w:val="21"/>
          <w:lang w:val="es-ES"/>
        </w:rPr>
        <w:t>日期：__________________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联合体成员法定名称：_______________________　　</w:t>
      </w:r>
      <w:r>
        <w:rPr>
          <w:szCs w:val="21"/>
          <w:lang w:val="es-ES"/>
        </w:rPr>
        <w:t>本次招标</w:t>
      </w:r>
      <w:r>
        <w:rPr>
          <w:rFonts w:hint="eastAsia"/>
          <w:szCs w:val="21"/>
          <w:lang w:val="es-ES"/>
        </w:rPr>
        <w:t>编号</w:t>
      </w:r>
      <w:r>
        <w:rPr>
          <w:rFonts w:hint="eastAsia"/>
          <w:color w:val="000000"/>
          <w:szCs w:val="21"/>
          <w:lang w:val="es-ES"/>
        </w:rPr>
        <w:t>：__________________</w:t>
      </w:r>
    </w:p>
    <w:p>
      <w:pPr>
        <w:spacing w:before="120" w:after="120"/>
        <w:textAlignment w:val="auto"/>
        <w:rPr>
          <w:color w:val="000000"/>
          <w:szCs w:val="21"/>
          <w:lang w:val="es-ES"/>
        </w:rPr>
      </w:pPr>
      <w:r>
        <w:rPr>
          <w:rFonts w:hint="eastAsia"/>
          <w:color w:val="000000"/>
          <w:szCs w:val="21"/>
          <w:lang w:val="es-ES"/>
        </w:rPr>
        <w:t>联合体投标时，每个联合体成员必须单独填写下表。</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2778"/>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年营业额（仅考虑施工额）</w:t>
            </w: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jc w:val="center"/>
              <w:textAlignment w:val="auto"/>
              <w:rPr>
                <w:b/>
                <w:color w:val="000000"/>
                <w:sz w:val="20"/>
                <w:szCs w:val="21"/>
                <w:lang w:val="es-ES"/>
              </w:rPr>
            </w:pPr>
            <w:r>
              <w:rPr>
                <w:rFonts w:hint="eastAsia"/>
                <w:b/>
                <w:color w:val="000000"/>
                <w:sz w:val="20"/>
                <w:szCs w:val="21"/>
                <w:lang w:val="es-ES"/>
              </w:rPr>
              <w:t>年份</w:t>
            </w:r>
          </w:p>
        </w:tc>
        <w:tc>
          <w:tcPr>
            <w:tcW w:w="2778" w:type="dxa"/>
          </w:tcPr>
          <w:p>
            <w:pPr>
              <w:spacing w:before="120" w:after="120" w:line="240" w:lineRule="atLeast"/>
              <w:jc w:val="center"/>
              <w:textAlignment w:val="auto"/>
              <w:rPr>
                <w:b/>
                <w:color w:val="000000"/>
                <w:sz w:val="20"/>
                <w:szCs w:val="21"/>
                <w:lang w:val="es-ES"/>
              </w:rPr>
            </w:pPr>
            <w:r>
              <w:rPr>
                <w:rFonts w:hint="eastAsia"/>
                <w:b/>
                <w:color w:val="000000"/>
                <w:sz w:val="20"/>
                <w:szCs w:val="21"/>
                <w:lang w:val="es-ES"/>
              </w:rPr>
              <w:t>货币与金额</w:t>
            </w:r>
          </w:p>
        </w:tc>
        <w:tc>
          <w:tcPr>
            <w:tcW w:w="2763" w:type="dxa"/>
          </w:tcPr>
          <w:p>
            <w:pPr>
              <w:spacing w:before="120" w:after="120" w:line="240" w:lineRule="atLeast"/>
              <w:jc w:val="center"/>
              <w:textAlignment w:val="auto"/>
              <w:rPr>
                <w:b/>
                <w:color w:val="000000"/>
                <w:sz w:val="20"/>
                <w:szCs w:val="21"/>
                <w:lang w:val="es-ES"/>
              </w:rPr>
            </w:pPr>
            <w:r>
              <w:rPr>
                <w:rFonts w:hint="eastAsia"/>
                <w:b/>
                <w:color w:val="000000"/>
                <w:sz w:val="20"/>
                <w:szCs w:val="21"/>
                <w:lang w:val="es-ES"/>
              </w:rPr>
              <w:t>等值人民币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2" w:type="dxa"/>
          </w:tcPr>
          <w:p>
            <w:pPr>
              <w:spacing w:before="120" w:after="120" w:line="240" w:lineRule="atLeast"/>
              <w:textAlignment w:val="auto"/>
              <w:rPr>
                <w:color w:val="000000"/>
                <w:sz w:val="20"/>
                <w:szCs w:val="21"/>
                <w:lang w:val="es-ES"/>
              </w:rPr>
            </w:pPr>
            <w:r>
              <w:rPr>
                <w:rFonts w:hint="eastAsia"/>
                <w:color w:val="000000"/>
                <w:sz w:val="20"/>
                <w:szCs w:val="21"/>
                <w:lang w:val="es-ES"/>
              </w:rPr>
              <w:t>年均营业额</w:t>
            </w:r>
          </w:p>
        </w:tc>
        <w:tc>
          <w:tcPr>
            <w:tcW w:w="2778" w:type="dxa"/>
          </w:tcPr>
          <w:p>
            <w:pPr>
              <w:spacing w:before="120" w:after="120" w:line="240" w:lineRule="atLeast"/>
              <w:textAlignment w:val="auto"/>
              <w:rPr>
                <w:color w:val="000000"/>
                <w:sz w:val="20"/>
                <w:szCs w:val="21"/>
                <w:lang w:val="es-ES"/>
              </w:rPr>
            </w:pPr>
          </w:p>
        </w:tc>
        <w:tc>
          <w:tcPr>
            <w:tcW w:w="2763" w:type="dxa"/>
          </w:tcPr>
          <w:p>
            <w:pPr>
              <w:spacing w:before="120" w:after="120" w:line="240" w:lineRule="atLeast"/>
              <w:textAlignment w:val="auto"/>
              <w:rPr>
                <w:color w:val="000000"/>
                <w:sz w:val="20"/>
                <w:szCs w:val="21"/>
                <w:lang w:val="es-ES"/>
              </w:rPr>
            </w:pPr>
          </w:p>
        </w:tc>
      </w:tr>
    </w:tbl>
    <w:p>
      <w:pPr>
        <w:spacing w:before="120" w:after="120" w:line="240" w:lineRule="atLeast"/>
        <w:textAlignment w:val="auto"/>
        <w:rPr>
          <w:color w:val="000000"/>
          <w:szCs w:val="21"/>
          <w:lang w:val="es-ES"/>
        </w:rPr>
      </w:pPr>
      <w:r>
        <w:rPr>
          <w:rFonts w:hint="eastAsia"/>
          <w:color w:val="000000"/>
          <w:szCs w:val="21"/>
          <w:lang w:val="es-ES"/>
        </w:rPr>
        <w:t>注：年营业额为在建工程或已完工程收到的付款额。</w:t>
      </w:r>
    </w:p>
    <w:p>
      <w:pPr>
        <w:pStyle w:val="105"/>
        <w:spacing w:after="120"/>
        <w:jc w:val="both"/>
        <w:rPr>
          <w:sz w:val="21"/>
          <w:szCs w:val="21"/>
          <w:lang w:eastAsia="zh-CN"/>
        </w:rPr>
      </w:pPr>
      <w:r>
        <w:rPr>
          <w:sz w:val="21"/>
          <w:szCs w:val="21"/>
          <w:lang w:eastAsia="zh-CN"/>
        </w:rPr>
        <w:br w:type="page"/>
      </w:r>
    </w:p>
    <w:p>
      <w:pPr>
        <w:pStyle w:val="4"/>
      </w:pPr>
      <w:bookmarkStart w:id="1381" w:name="_Toc169103274"/>
      <w:bookmarkStart w:id="1382" w:name="_Toc171063138"/>
      <w:bookmarkStart w:id="1383" w:name="_Toc170312600"/>
      <w:r>
        <w:t>表FIN</w:t>
      </w:r>
      <w:r>
        <w:rPr>
          <w:rFonts w:hint="eastAsia"/>
        </w:rPr>
        <w:t>-</w:t>
      </w:r>
      <w:r>
        <w:t>2.</w:t>
      </w:r>
      <w:r>
        <w:rPr>
          <w:rFonts w:hint="eastAsia"/>
        </w:rPr>
        <w:t>3.3.1</w:t>
      </w:r>
      <w:r>
        <w:t xml:space="preserve">  财务资源</w:t>
      </w:r>
      <w:bookmarkEnd w:id="1381"/>
      <w:bookmarkEnd w:id="1382"/>
      <w:bookmarkEnd w:id="1383"/>
    </w:p>
    <w:p>
      <w:pPr>
        <w:spacing w:before="120" w:after="120"/>
        <w:ind w:firstLine="418"/>
        <w:textAlignment w:val="auto"/>
        <w:rPr>
          <w:color w:val="000000"/>
          <w:szCs w:val="21"/>
        </w:rPr>
      </w:pPr>
    </w:p>
    <w:p>
      <w:pPr>
        <w:spacing w:before="120" w:after="120"/>
        <w:ind w:firstLine="418"/>
        <w:textAlignment w:val="auto"/>
        <w:rPr>
          <w:color w:val="000000"/>
          <w:szCs w:val="21"/>
          <w:lang w:val="es-ES"/>
        </w:rPr>
      </w:pPr>
      <w:r>
        <w:rPr>
          <w:color w:val="000000"/>
          <w:szCs w:val="21"/>
          <w:lang w:val="es-ES"/>
        </w:rPr>
        <w:t>详细说明建议的各种财务资源，如</w:t>
      </w:r>
      <w:r>
        <w:rPr>
          <w:rFonts w:hint="eastAsia"/>
          <w:color w:val="000000"/>
          <w:szCs w:val="21"/>
          <w:lang w:val="es-ES"/>
        </w:rPr>
        <w:t>最近年度的营运资金（流动资产-流动负债）</w:t>
      </w:r>
      <w:r>
        <w:rPr>
          <w:color w:val="000000"/>
          <w:szCs w:val="21"/>
          <w:lang w:val="es-ES"/>
        </w:rPr>
        <w:t>、</w:t>
      </w:r>
      <w:r>
        <w:rPr>
          <w:rFonts w:hint="eastAsia"/>
          <w:color w:val="000000"/>
          <w:szCs w:val="21"/>
          <w:lang w:val="es-ES"/>
        </w:rPr>
        <w:t>授</w:t>
      </w:r>
      <w:r>
        <w:rPr>
          <w:color w:val="000000"/>
          <w:szCs w:val="21"/>
          <w:lang w:val="es-ES"/>
        </w:rPr>
        <w:t>信额度和其它</w:t>
      </w:r>
      <w:r>
        <w:rPr>
          <w:rFonts w:hint="eastAsia"/>
          <w:color w:val="000000"/>
          <w:szCs w:val="21"/>
          <w:lang w:val="es-ES"/>
        </w:rPr>
        <w:t>融资渠道。在扣除投标人目前实施的其它合同所需的现金流的前提下，这些财务资源必须</w:t>
      </w:r>
      <w:r>
        <w:rPr>
          <w:color w:val="000000"/>
          <w:szCs w:val="21"/>
          <w:lang w:val="es-ES"/>
        </w:rPr>
        <w:t>能够满足第三章所提出的</w:t>
      </w:r>
      <w:r>
        <w:rPr>
          <w:rFonts w:hint="eastAsia"/>
          <w:color w:val="000000"/>
          <w:szCs w:val="21"/>
          <w:lang w:val="es-ES"/>
        </w:rPr>
        <w:t>实施单个</w:t>
      </w:r>
      <w:r>
        <w:rPr>
          <w:color w:val="000000"/>
          <w:szCs w:val="21"/>
          <w:lang w:val="es-ES"/>
        </w:rPr>
        <w:t>合同或多个合同所需的现金流。</w:t>
      </w:r>
    </w:p>
    <w:p>
      <w:pPr>
        <w:spacing w:before="120" w:after="120" w:line="240" w:lineRule="atLeast"/>
        <w:ind w:right="34" w:firstLine="420" w:firstLineChars="200"/>
        <w:jc w:val="left"/>
      </w:pPr>
      <w:r>
        <w:rPr>
          <w:rFonts w:hint="eastAsia"/>
        </w:rPr>
        <w:t>联合体投标时，每个联合体成员必须单独填写下表。</w:t>
      </w:r>
    </w:p>
    <w:tbl>
      <w:tblPr>
        <w:tblStyle w:val="62"/>
        <w:tblW w:w="8297" w:type="dxa"/>
        <w:jc w:val="center"/>
        <w:tblInd w:w="0" w:type="dxa"/>
        <w:tblLayout w:type="fixed"/>
        <w:tblCellMar>
          <w:top w:w="0" w:type="dxa"/>
          <w:left w:w="72" w:type="dxa"/>
          <w:bottom w:w="0" w:type="dxa"/>
          <w:right w:w="72" w:type="dxa"/>
        </w:tblCellMar>
      </w:tblPr>
      <w:tblGrid>
        <w:gridCol w:w="5310"/>
        <w:gridCol w:w="2987"/>
      </w:tblGrid>
      <w:tr>
        <w:tblPrEx>
          <w:tblLayout w:type="fixed"/>
          <w:tblCellMar>
            <w:top w:w="0" w:type="dxa"/>
            <w:left w:w="72" w:type="dxa"/>
            <w:bottom w:w="0" w:type="dxa"/>
            <w:right w:w="72" w:type="dxa"/>
          </w:tblCellMar>
        </w:tblPrEx>
        <w:trPr>
          <w:cantSplit/>
          <w:jc w:val="center"/>
        </w:trPr>
        <w:tc>
          <w:tcPr>
            <w:tcW w:w="5310" w:type="dxa"/>
            <w:tcBorders>
              <w:top w:val="single" w:color="auto" w:sz="6" w:space="0"/>
              <w:left w:val="single" w:color="auto" w:sz="6" w:space="0"/>
              <w:bottom w:val="single" w:color="auto" w:sz="6" w:space="0"/>
            </w:tcBorders>
          </w:tcPr>
          <w:p>
            <w:pPr>
              <w:suppressAutoHyphens/>
              <w:spacing w:before="120" w:after="120" w:line="240" w:lineRule="atLeast"/>
              <w:ind w:firstLine="396"/>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融资来源</w:t>
            </w:r>
          </w:p>
        </w:tc>
        <w:tc>
          <w:tcPr>
            <w:tcW w:w="2987" w:type="dxa"/>
            <w:tcBorders>
              <w:top w:val="single" w:color="auto" w:sz="6" w:space="0"/>
              <w:left w:val="single" w:color="auto" w:sz="6" w:space="0"/>
              <w:bottom w:val="single" w:color="auto" w:sz="6" w:space="0"/>
              <w:right w:val="single" w:color="auto" w:sz="6" w:space="0"/>
            </w:tcBorders>
          </w:tcPr>
          <w:p>
            <w:pPr>
              <w:suppressAutoHyphens/>
              <w:spacing w:before="120" w:after="120" w:line="240" w:lineRule="atLeast"/>
              <w:ind w:firstLine="396"/>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金额</w:t>
            </w:r>
          </w:p>
          <w:p>
            <w:pPr>
              <w:suppressAutoHyphens/>
              <w:spacing w:before="120" w:after="120" w:line="240" w:lineRule="atLeast"/>
              <w:ind w:firstLine="396"/>
              <w:jc w:val="center"/>
              <w:textAlignment w:val="auto"/>
              <w:rPr>
                <w:rStyle w:val="100"/>
                <w:rFonts w:ascii="Times New Roman" w:hAnsi="Times New Roman"/>
                <w:bCs/>
                <w:color w:val="000000"/>
                <w:spacing w:val="-2"/>
                <w:szCs w:val="21"/>
              </w:rPr>
            </w:pPr>
            <w:r>
              <w:rPr>
                <w:rStyle w:val="100"/>
                <w:rFonts w:ascii="Times New Roman" w:hAnsi="Times New Roman"/>
                <w:bCs/>
                <w:color w:val="000000"/>
                <w:spacing w:val="-2"/>
                <w:szCs w:val="21"/>
              </w:rPr>
              <w:t>（</w:t>
            </w:r>
            <w:r>
              <w:rPr>
                <w:rStyle w:val="100"/>
                <w:rFonts w:hint="eastAsia" w:ascii="Times New Roman" w:hAnsi="Times New Roman"/>
                <w:bCs/>
                <w:color w:val="000000"/>
                <w:spacing w:val="-2"/>
                <w:szCs w:val="21"/>
              </w:rPr>
              <w:t>等值人民币</w:t>
            </w:r>
            <w:r>
              <w:rPr>
                <w:rStyle w:val="100"/>
                <w:rFonts w:ascii="Times New Roman" w:hAnsi="Times New Roman"/>
                <w:bCs/>
                <w:color w:val="000000"/>
                <w:spacing w:val="-2"/>
                <w:szCs w:val="21"/>
              </w:rPr>
              <w:t>）</w:t>
            </w:r>
          </w:p>
        </w:tc>
      </w:tr>
      <w:tr>
        <w:tblPrEx>
          <w:tblLayout w:type="fixed"/>
          <w:tblCellMar>
            <w:top w:w="0" w:type="dxa"/>
            <w:left w:w="72" w:type="dxa"/>
            <w:bottom w:w="0" w:type="dxa"/>
            <w:right w:w="72" w:type="dxa"/>
          </w:tblCellMar>
        </w:tblPrEx>
        <w:trPr>
          <w:cantSplit/>
          <w:jc w:val="center"/>
        </w:trPr>
        <w:tc>
          <w:tcPr>
            <w:tcW w:w="5310" w:type="dxa"/>
            <w:tcBorders>
              <w:top w:val="single" w:color="auto" w:sz="6" w:space="0"/>
              <w:left w:val="single" w:color="auto" w:sz="6" w:space="0"/>
            </w:tcBorders>
            <w:vAlign w:val="center"/>
          </w:tcPr>
          <w:p>
            <w:pPr>
              <w:suppressAutoHyphens/>
              <w:spacing w:before="120" w:after="120" w:line="240" w:lineRule="atLeast"/>
              <w:textAlignment w:val="auto"/>
              <w:rPr>
                <w:rStyle w:val="100"/>
                <w:rFonts w:ascii="Times New Roman" w:hAnsi="Times New Roman"/>
                <w:color w:val="000000"/>
                <w:spacing w:val="-2"/>
                <w:szCs w:val="21"/>
              </w:rPr>
            </w:pPr>
            <w:r>
              <w:rPr>
                <w:rStyle w:val="100"/>
                <w:color w:val="000000"/>
                <w:spacing w:val="-2"/>
                <w:szCs w:val="21"/>
              </w:rPr>
              <w:t xml:space="preserve">1. </w:t>
            </w:r>
            <w:r>
              <w:rPr>
                <w:rStyle w:val="100"/>
                <w:rFonts w:hint="eastAsia"/>
                <w:color w:val="000000"/>
                <w:spacing w:val="-2"/>
                <w:szCs w:val="21"/>
              </w:rPr>
              <w:t>营运资金</w:t>
            </w:r>
            <w:r>
              <w:rPr>
                <w:rStyle w:val="100"/>
                <w:rFonts w:hint="eastAsia"/>
                <w:spacing w:val="-2"/>
              </w:rPr>
              <w:t>（流动资产-流动负债）</w:t>
            </w:r>
          </w:p>
        </w:tc>
        <w:tc>
          <w:tcPr>
            <w:tcW w:w="2987" w:type="dxa"/>
            <w:tcBorders>
              <w:top w:val="single" w:color="auto" w:sz="6" w:space="0"/>
              <w:left w:val="single" w:color="auto" w:sz="6" w:space="0"/>
              <w:right w:val="single" w:color="auto" w:sz="6" w:space="0"/>
            </w:tcBorders>
          </w:tcPr>
          <w:p>
            <w:pPr>
              <w:suppressAutoHyphens/>
              <w:spacing w:before="120" w:after="120" w:line="240" w:lineRule="atLeast"/>
              <w:ind w:firstLine="396"/>
              <w:textAlignment w:val="auto"/>
              <w:rPr>
                <w:rStyle w:val="100"/>
                <w:rFonts w:ascii="Times New Roman" w:hAnsi="Times New Roman"/>
                <w:color w:val="000000"/>
                <w:spacing w:val="-2"/>
                <w:szCs w:val="21"/>
              </w:rPr>
            </w:pPr>
          </w:p>
        </w:tc>
      </w:tr>
      <w:tr>
        <w:tblPrEx>
          <w:tblLayout w:type="fixed"/>
          <w:tblCellMar>
            <w:top w:w="0" w:type="dxa"/>
            <w:left w:w="72" w:type="dxa"/>
            <w:bottom w:w="0" w:type="dxa"/>
            <w:right w:w="72" w:type="dxa"/>
          </w:tblCellMar>
        </w:tblPrEx>
        <w:trPr>
          <w:cantSplit/>
          <w:jc w:val="center"/>
        </w:trPr>
        <w:tc>
          <w:tcPr>
            <w:tcW w:w="5310" w:type="dxa"/>
            <w:tcBorders>
              <w:top w:val="single" w:color="auto" w:sz="6" w:space="0"/>
              <w:left w:val="single" w:color="auto" w:sz="6" w:space="0"/>
            </w:tcBorders>
            <w:vAlign w:val="center"/>
          </w:tcPr>
          <w:p>
            <w:pPr>
              <w:suppressAutoHyphens/>
              <w:spacing w:before="120" w:after="120" w:line="240" w:lineRule="atLeast"/>
              <w:textAlignment w:val="auto"/>
              <w:rPr>
                <w:rStyle w:val="100"/>
                <w:rFonts w:ascii="Times New Roman" w:hAnsi="Times New Roman"/>
                <w:color w:val="000000"/>
                <w:spacing w:val="-2"/>
                <w:szCs w:val="21"/>
              </w:rPr>
            </w:pPr>
            <w:r>
              <w:rPr>
                <w:rStyle w:val="100"/>
                <w:color w:val="000000"/>
                <w:spacing w:val="-2"/>
                <w:szCs w:val="21"/>
              </w:rPr>
              <w:t xml:space="preserve">2. </w:t>
            </w:r>
            <w:r>
              <w:rPr>
                <w:rStyle w:val="100"/>
                <w:rFonts w:hint="eastAsia"/>
                <w:color w:val="000000"/>
                <w:spacing w:val="-2"/>
                <w:szCs w:val="21"/>
              </w:rPr>
              <w:t>银行授信额度</w:t>
            </w:r>
          </w:p>
        </w:tc>
        <w:tc>
          <w:tcPr>
            <w:tcW w:w="2987" w:type="dxa"/>
            <w:tcBorders>
              <w:top w:val="single" w:color="auto" w:sz="6" w:space="0"/>
              <w:left w:val="single" w:color="auto" w:sz="6" w:space="0"/>
              <w:right w:val="single" w:color="auto" w:sz="6" w:space="0"/>
            </w:tcBorders>
          </w:tcPr>
          <w:p>
            <w:pPr>
              <w:suppressAutoHyphens/>
              <w:spacing w:before="120" w:after="120" w:line="240" w:lineRule="atLeast"/>
              <w:ind w:firstLine="396"/>
              <w:textAlignment w:val="auto"/>
              <w:rPr>
                <w:rStyle w:val="100"/>
                <w:rFonts w:ascii="Times New Roman" w:hAnsi="Times New Roman"/>
                <w:color w:val="000000"/>
                <w:spacing w:val="-2"/>
                <w:szCs w:val="21"/>
              </w:rPr>
            </w:pPr>
          </w:p>
        </w:tc>
      </w:tr>
      <w:tr>
        <w:tblPrEx>
          <w:tblLayout w:type="fixed"/>
          <w:tblCellMar>
            <w:top w:w="0" w:type="dxa"/>
            <w:left w:w="72" w:type="dxa"/>
            <w:bottom w:w="0" w:type="dxa"/>
            <w:right w:w="72" w:type="dxa"/>
          </w:tblCellMar>
        </w:tblPrEx>
        <w:trPr>
          <w:cantSplit/>
          <w:jc w:val="center"/>
        </w:trPr>
        <w:tc>
          <w:tcPr>
            <w:tcW w:w="5310" w:type="dxa"/>
            <w:tcBorders>
              <w:top w:val="single" w:color="auto" w:sz="6" w:space="0"/>
              <w:left w:val="single" w:color="auto" w:sz="6" w:space="0"/>
            </w:tcBorders>
            <w:vAlign w:val="center"/>
          </w:tcPr>
          <w:p>
            <w:pPr>
              <w:suppressAutoHyphens/>
              <w:spacing w:before="120" w:after="120" w:line="240" w:lineRule="atLeast"/>
              <w:textAlignment w:val="auto"/>
              <w:rPr>
                <w:rStyle w:val="100"/>
                <w:rFonts w:ascii="Times New Roman" w:hAnsi="Times New Roman"/>
                <w:color w:val="000000"/>
                <w:spacing w:val="-2"/>
                <w:szCs w:val="21"/>
              </w:rPr>
            </w:pPr>
            <w:r>
              <w:rPr>
                <w:rStyle w:val="100"/>
                <w:color w:val="000000"/>
                <w:spacing w:val="-2"/>
                <w:szCs w:val="21"/>
              </w:rPr>
              <w:t xml:space="preserve">3. </w:t>
            </w:r>
            <w:r>
              <w:rPr>
                <w:rStyle w:val="100"/>
                <w:rFonts w:hint="eastAsia"/>
                <w:color w:val="000000"/>
                <w:spacing w:val="-2"/>
                <w:szCs w:val="21"/>
              </w:rPr>
              <w:t>其它</w:t>
            </w:r>
          </w:p>
        </w:tc>
        <w:tc>
          <w:tcPr>
            <w:tcW w:w="2987" w:type="dxa"/>
            <w:tcBorders>
              <w:top w:val="single" w:color="auto" w:sz="6" w:space="0"/>
              <w:left w:val="single" w:color="auto" w:sz="6" w:space="0"/>
              <w:right w:val="single" w:color="auto" w:sz="6" w:space="0"/>
            </w:tcBorders>
          </w:tcPr>
          <w:p>
            <w:pPr>
              <w:suppressAutoHyphens/>
              <w:spacing w:before="120" w:after="120" w:line="240" w:lineRule="atLeast"/>
              <w:ind w:firstLine="396"/>
              <w:textAlignment w:val="auto"/>
              <w:rPr>
                <w:rStyle w:val="100"/>
                <w:rFonts w:ascii="Times New Roman" w:hAnsi="Times New Roman"/>
                <w:color w:val="000000"/>
                <w:spacing w:val="-2"/>
                <w:szCs w:val="21"/>
              </w:rPr>
            </w:pPr>
          </w:p>
        </w:tc>
      </w:tr>
      <w:tr>
        <w:tblPrEx>
          <w:tblLayout w:type="fixed"/>
          <w:tblCellMar>
            <w:top w:w="0" w:type="dxa"/>
            <w:left w:w="72" w:type="dxa"/>
            <w:bottom w:w="0" w:type="dxa"/>
            <w:right w:w="72" w:type="dxa"/>
          </w:tblCellMar>
        </w:tblPrEx>
        <w:trPr>
          <w:cantSplit/>
          <w:jc w:val="center"/>
        </w:trPr>
        <w:tc>
          <w:tcPr>
            <w:tcW w:w="5310" w:type="dxa"/>
            <w:tcBorders>
              <w:top w:val="single" w:color="auto" w:sz="6" w:space="0"/>
              <w:left w:val="single" w:color="auto" w:sz="6" w:space="0"/>
              <w:bottom w:val="single" w:color="auto" w:sz="6" w:space="0"/>
            </w:tcBorders>
            <w:vAlign w:val="center"/>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w:t>
            </w:r>
            <w:r>
              <w:rPr>
                <w:rStyle w:val="100"/>
                <w:color w:val="000000"/>
                <w:spacing w:val="-2"/>
                <w:szCs w:val="21"/>
              </w:rPr>
              <w:t>.</w:t>
            </w:r>
          </w:p>
        </w:tc>
        <w:tc>
          <w:tcPr>
            <w:tcW w:w="2987" w:type="dxa"/>
            <w:tcBorders>
              <w:top w:val="single" w:color="auto" w:sz="6" w:space="0"/>
              <w:left w:val="single" w:color="auto" w:sz="6" w:space="0"/>
              <w:bottom w:val="single" w:color="auto" w:sz="6" w:space="0"/>
              <w:right w:val="single" w:color="auto" w:sz="6" w:space="0"/>
            </w:tcBorders>
          </w:tcPr>
          <w:p>
            <w:pPr>
              <w:suppressAutoHyphens/>
              <w:spacing w:before="120" w:after="120" w:line="240" w:lineRule="atLeast"/>
              <w:ind w:firstLine="396"/>
              <w:textAlignment w:val="auto"/>
              <w:rPr>
                <w:rStyle w:val="100"/>
                <w:rFonts w:ascii="Times New Roman" w:hAnsi="Times New Roman"/>
                <w:color w:val="000000"/>
                <w:spacing w:val="-2"/>
                <w:szCs w:val="21"/>
              </w:rPr>
            </w:pPr>
          </w:p>
        </w:tc>
      </w:tr>
    </w:tbl>
    <w:p>
      <w:pPr>
        <w:widowControl/>
        <w:adjustRightInd/>
        <w:spacing w:line="240" w:lineRule="auto"/>
        <w:jc w:val="left"/>
        <w:textAlignment w:val="auto"/>
        <w:rPr>
          <w:b/>
          <w:sz w:val="24"/>
          <w:szCs w:val="24"/>
          <w:lang w:val="zh-CN" w:eastAsia="zh-CN"/>
        </w:rPr>
      </w:pPr>
      <w:r>
        <w:br w:type="page"/>
      </w:r>
    </w:p>
    <w:p>
      <w:pPr>
        <w:pStyle w:val="4"/>
      </w:pPr>
      <w:bookmarkStart w:id="1384" w:name="_Toc169103275"/>
      <w:bookmarkStart w:id="1385" w:name="_Toc170312601"/>
      <w:bookmarkStart w:id="1386" w:name="_Toc171063139"/>
      <w:r>
        <w:t>表FIN</w:t>
      </w:r>
      <w:r>
        <w:rPr>
          <w:rFonts w:hint="eastAsia"/>
        </w:rPr>
        <w:t>-</w:t>
      </w:r>
      <w:r>
        <w:t>2.</w:t>
      </w:r>
      <w:r>
        <w:rPr>
          <w:rFonts w:hint="eastAsia"/>
        </w:rPr>
        <w:t>3.3.2</w:t>
      </w:r>
      <w:r>
        <w:t xml:space="preserve">  当前正执行的合同</w:t>
      </w:r>
      <w:r>
        <w:rPr>
          <w:rFonts w:hint="eastAsia"/>
        </w:rPr>
        <w:t>、</w:t>
      </w:r>
      <w:r>
        <w:t>在建工程</w:t>
      </w:r>
      <w:bookmarkEnd w:id="1384"/>
      <w:bookmarkEnd w:id="1385"/>
      <w:bookmarkEnd w:id="1386"/>
    </w:p>
    <w:p>
      <w:pPr>
        <w:spacing w:before="120" w:after="120"/>
        <w:ind w:firstLine="418"/>
        <w:textAlignment w:val="auto"/>
        <w:rPr>
          <w:color w:val="000000"/>
          <w:szCs w:val="21"/>
        </w:rPr>
      </w:pPr>
    </w:p>
    <w:p>
      <w:pPr>
        <w:spacing w:before="120" w:after="120"/>
        <w:ind w:firstLine="418"/>
        <w:textAlignment w:val="auto"/>
        <w:rPr>
          <w:color w:val="000000"/>
          <w:szCs w:val="21"/>
        </w:rPr>
      </w:pPr>
      <w:r>
        <w:rPr>
          <w:color w:val="000000"/>
          <w:szCs w:val="21"/>
          <w:lang w:val="es-ES"/>
        </w:rPr>
        <w:t>投标人和联合体</w:t>
      </w:r>
      <w:r>
        <w:rPr>
          <w:rFonts w:hint="eastAsia"/>
          <w:color w:val="000000"/>
          <w:szCs w:val="21"/>
          <w:lang w:val="es-ES"/>
        </w:rPr>
        <w:t>各方</w:t>
      </w:r>
      <w:r>
        <w:rPr>
          <w:color w:val="000000"/>
          <w:szCs w:val="21"/>
          <w:lang w:val="es-ES"/>
        </w:rPr>
        <w:t>应提供他们目前正执行的</w:t>
      </w:r>
      <w:r>
        <w:rPr>
          <w:rFonts w:hint="eastAsia"/>
          <w:color w:val="000000"/>
          <w:szCs w:val="21"/>
          <w:lang w:val="es-ES"/>
        </w:rPr>
        <w:t>全部</w:t>
      </w:r>
      <w:r>
        <w:rPr>
          <w:color w:val="000000"/>
          <w:szCs w:val="21"/>
          <w:lang w:val="es-ES"/>
        </w:rPr>
        <w:t>合同</w:t>
      </w:r>
      <w:r>
        <w:rPr>
          <w:color w:val="000000"/>
          <w:szCs w:val="21"/>
        </w:rPr>
        <w:t>，包括已中标的合同</w:t>
      </w:r>
      <w:r>
        <w:rPr>
          <w:rFonts w:hint="eastAsia"/>
          <w:color w:val="000000"/>
          <w:szCs w:val="21"/>
        </w:rPr>
        <w:t>、</w:t>
      </w:r>
      <w:r>
        <w:rPr>
          <w:color w:val="000000"/>
          <w:szCs w:val="21"/>
        </w:rPr>
        <w:t>已收到</w:t>
      </w:r>
      <w:r>
        <w:rPr>
          <w:rFonts w:hint="eastAsia"/>
          <w:color w:val="000000"/>
          <w:szCs w:val="21"/>
        </w:rPr>
        <w:t>授标</w:t>
      </w:r>
      <w:r>
        <w:rPr>
          <w:color w:val="000000"/>
          <w:szCs w:val="21"/>
        </w:rPr>
        <w:t>意向书或中标通知书的合同</w:t>
      </w:r>
      <w:r>
        <w:rPr>
          <w:rFonts w:hint="eastAsia"/>
          <w:color w:val="000000"/>
          <w:szCs w:val="21"/>
        </w:rPr>
        <w:t>、</w:t>
      </w:r>
      <w:r>
        <w:rPr>
          <w:color w:val="000000"/>
          <w:szCs w:val="21"/>
        </w:rPr>
        <w:t>已接近完工但等待无保留的最终完工证书的合同。</w:t>
      </w:r>
    </w:p>
    <w:p>
      <w:pPr>
        <w:spacing w:before="120" w:after="120" w:line="240" w:lineRule="atLeast"/>
        <w:ind w:right="34" w:firstLine="420" w:firstLineChars="200"/>
        <w:jc w:val="left"/>
      </w:pPr>
      <w:r>
        <w:rPr>
          <w:rFonts w:hint="eastAsia"/>
        </w:rPr>
        <w:t>联合体投标时，每个联合体成员必须单独填写下表。</w:t>
      </w:r>
    </w:p>
    <w:tbl>
      <w:tblPr>
        <w:tblStyle w:val="62"/>
        <w:tblpPr w:leftFromText="180" w:rightFromText="180" w:vertAnchor="text" w:tblpXSpec="center" w:tblpY="1"/>
        <w:tblOverlap w:val="never"/>
        <w:tblW w:w="8362" w:type="dxa"/>
        <w:tblInd w:w="0" w:type="dxa"/>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
      <w:tblGrid>
        <w:gridCol w:w="1432"/>
        <w:gridCol w:w="1438"/>
        <w:gridCol w:w="1080"/>
        <w:gridCol w:w="1440"/>
        <w:gridCol w:w="1080"/>
        <w:gridCol w:w="1892"/>
      </w:tblGrid>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vAlign w:val="center"/>
          </w:tcPr>
          <w:p>
            <w:pPr>
              <w:spacing w:before="120" w:after="120"/>
              <w:jc w:val="center"/>
              <w:textAlignment w:val="auto"/>
              <w:rPr>
                <w:b/>
                <w:szCs w:val="21"/>
              </w:rPr>
            </w:pPr>
            <w:r>
              <w:rPr>
                <w:b/>
                <w:szCs w:val="21"/>
              </w:rPr>
              <w:t>合同名称</w:t>
            </w:r>
          </w:p>
        </w:tc>
        <w:tc>
          <w:tcPr>
            <w:tcW w:w="1438" w:type="dxa"/>
            <w:vAlign w:val="center"/>
          </w:tcPr>
          <w:p>
            <w:pPr>
              <w:spacing w:before="120" w:after="120"/>
              <w:jc w:val="center"/>
              <w:textAlignment w:val="auto"/>
              <w:rPr>
                <w:b/>
                <w:szCs w:val="21"/>
              </w:rPr>
            </w:pPr>
            <w:r>
              <w:rPr>
                <w:b/>
                <w:szCs w:val="21"/>
              </w:rPr>
              <w:t>业主</w:t>
            </w:r>
            <w:r>
              <w:rPr>
                <w:rFonts w:hint="eastAsia"/>
                <w:b/>
                <w:szCs w:val="21"/>
              </w:rPr>
              <w:t>名称及其</w:t>
            </w:r>
            <w:r>
              <w:rPr>
                <w:b/>
                <w:szCs w:val="21"/>
              </w:rPr>
              <w:t>联系地址 / 电话 / 传真</w:t>
            </w:r>
          </w:p>
        </w:tc>
        <w:tc>
          <w:tcPr>
            <w:tcW w:w="1080" w:type="dxa"/>
            <w:vAlign w:val="center"/>
          </w:tcPr>
          <w:p>
            <w:pPr>
              <w:spacing w:before="120" w:after="120"/>
              <w:jc w:val="center"/>
              <w:textAlignment w:val="auto"/>
              <w:rPr>
                <w:b/>
                <w:szCs w:val="21"/>
              </w:rPr>
            </w:pPr>
            <w:r>
              <w:rPr>
                <w:b/>
                <w:szCs w:val="21"/>
              </w:rPr>
              <w:t>预计完工时间</w:t>
            </w:r>
          </w:p>
        </w:tc>
        <w:tc>
          <w:tcPr>
            <w:tcW w:w="1440" w:type="dxa"/>
          </w:tcPr>
          <w:p>
            <w:pPr>
              <w:spacing w:before="120" w:after="120"/>
              <w:jc w:val="center"/>
              <w:textAlignment w:val="auto"/>
              <w:rPr>
                <w:b/>
                <w:szCs w:val="21"/>
              </w:rPr>
            </w:pPr>
            <w:r>
              <w:rPr>
                <w:b/>
                <w:szCs w:val="21"/>
              </w:rPr>
              <w:t>未完工程</w:t>
            </w:r>
            <w:r>
              <w:rPr>
                <w:rFonts w:hint="eastAsia"/>
                <w:b/>
                <w:szCs w:val="21"/>
              </w:rPr>
              <w:t>金额</w:t>
            </w:r>
          </w:p>
          <w:p>
            <w:pPr>
              <w:spacing w:before="120" w:after="120"/>
              <w:jc w:val="center"/>
              <w:textAlignment w:val="auto"/>
              <w:rPr>
                <w:b/>
                <w:szCs w:val="21"/>
              </w:rPr>
            </w:pPr>
            <w:r>
              <w:rPr>
                <w:rFonts w:hint="eastAsia"/>
                <w:b/>
                <w:szCs w:val="21"/>
              </w:rPr>
              <w:t>（X）</w:t>
            </w:r>
          </w:p>
        </w:tc>
        <w:tc>
          <w:tcPr>
            <w:tcW w:w="1080" w:type="dxa"/>
            <w:vAlign w:val="center"/>
          </w:tcPr>
          <w:p>
            <w:pPr>
              <w:spacing w:before="120" w:after="120"/>
              <w:jc w:val="center"/>
              <w:textAlignment w:val="auto"/>
              <w:rPr>
                <w:b/>
                <w:szCs w:val="21"/>
              </w:rPr>
            </w:pPr>
            <w:r>
              <w:rPr>
                <w:rFonts w:hint="eastAsia"/>
                <w:b/>
                <w:szCs w:val="21"/>
              </w:rPr>
              <w:t>剩余施工期月数</w:t>
            </w:r>
          </w:p>
          <w:p>
            <w:pPr>
              <w:spacing w:before="120" w:after="120"/>
              <w:jc w:val="center"/>
              <w:textAlignment w:val="auto"/>
              <w:rPr>
                <w:b/>
                <w:szCs w:val="21"/>
              </w:rPr>
            </w:pPr>
            <w:r>
              <w:rPr>
                <w:rFonts w:hint="eastAsia"/>
                <w:b/>
                <w:szCs w:val="21"/>
              </w:rPr>
              <w:t>（Y）</w:t>
            </w:r>
          </w:p>
        </w:tc>
        <w:tc>
          <w:tcPr>
            <w:tcW w:w="1892" w:type="dxa"/>
            <w:vAlign w:val="center"/>
          </w:tcPr>
          <w:p>
            <w:pPr>
              <w:spacing w:before="120" w:after="120"/>
              <w:jc w:val="center"/>
              <w:textAlignment w:val="auto"/>
              <w:rPr>
                <w:b/>
                <w:szCs w:val="21"/>
              </w:rPr>
            </w:pPr>
            <w:r>
              <w:rPr>
                <w:rFonts w:hint="eastAsia"/>
                <w:b/>
                <w:szCs w:val="21"/>
              </w:rPr>
              <w:t>月均现金流需求</w:t>
            </w:r>
          </w:p>
          <w:p>
            <w:pPr>
              <w:spacing w:before="120" w:after="120"/>
              <w:jc w:val="center"/>
              <w:textAlignment w:val="auto"/>
              <w:rPr>
                <w:b/>
                <w:szCs w:val="21"/>
              </w:rPr>
            </w:pPr>
            <w:r>
              <w:rPr>
                <w:rFonts w:hint="eastAsia"/>
                <w:b/>
                <w:szCs w:val="21"/>
              </w:rPr>
              <w:t>（X</w:t>
            </w:r>
            <w:r>
              <w:rPr>
                <w:b/>
                <w:szCs w:val="21"/>
              </w:rPr>
              <w:t>/Y）</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1</w:t>
            </w:r>
          </w:p>
        </w:tc>
        <w:tc>
          <w:tcPr>
            <w:tcW w:w="1438"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44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2</w:t>
            </w:r>
          </w:p>
        </w:tc>
        <w:tc>
          <w:tcPr>
            <w:tcW w:w="1438"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44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3</w:t>
            </w:r>
          </w:p>
        </w:tc>
        <w:tc>
          <w:tcPr>
            <w:tcW w:w="1438"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44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4</w:t>
            </w:r>
          </w:p>
        </w:tc>
        <w:tc>
          <w:tcPr>
            <w:tcW w:w="1438"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44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143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ascii="Times New Roman" w:hAnsi="Times New Roman"/>
                <w:color w:val="000000"/>
                <w:spacing w:val="-2"/>
                <w:szCs w:val="21"/>
              </w:rPr>
              <w:t>……</w:t>
            </w:r>
          </w:p>
        </w:tc>
        <w:tc>
          <w:tcPr>
            <w:tcW w:w="1438"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44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080" w:type="dxa"/>
          </w:tcPr>
          <w:p>
            <w:pPr>
              <w:suppressAutoHyphens/>
              <w:spacing w:before="120" w:after="120" w:line="240" w:lineRule="atLeast"/>
              <w:textAlignment w:val="auto"/>
              <w:rPr>
                <w:rStyle w:val="100"/>
                <w:rFonts w:ascii="Times New Roman" w:hAnsi="Times New Roman"/>
                <w:color w:val="000000"/>
                <w:spacing w:val="-2"/>
                <w:szCs w:val="21"/>
              </w:rPr>
            </w:pP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2" w:type="dxa"/>
            <w:bottom w:w="0" w:type="dxa"/>
            <w:right w:w="72" w:type="dxa"/>
          </w:tblCellMar>
        </w:tblPrEx>
        <w:trPr>
          <w:cantSplit/>
        </w:trPr>
        <w:tc>
          <w:tcPr>
            <w:tcW w:w="6470" w:type="dxa"/>
            <w:gridSpan w:val="5"/>
          </w:tcPr>
          <w:p>
            <w:pPr>
              <w:suppressAutoHyphens/>
              <w:spacing w:before="120" w:after="120" w:line="240" w:lineRule="atLeast"/>
              <w:ind w:left="420"/>
              <w:jc w:val="right"/>
              <w:textAlignment w:val="auto"/>
              <w:rPr>
                <w:rStyle w:val="100"/>
                <w:rFonts w:ascii="Times New Roman" w:hAnsi="Times New Roman"/>
                <w:b/>
                <w:color w:val="000000"/>
                <w:spacing w:val="-2"/>
                <w:szCs w:val="21"/>
              </w:rPr>
            </w:pPr>
            <w:r>
              <w:rPr>
                <w:rStyle w:val="100"/>
                <w:rFonts w:hint="eastAsia" w:ascii="Times New Roman" w:hAnsi="Times New Roman"/>
                <w:b/>
                <w:color w:val="000000"/>
                <w:spacing w:val="-2"/>
                <w:szCs w:val="21"/>
              </w:rPr>
              <w:t>在建工程月均现金流需求合计</w:t>
            </w:r>
            <w:r>
              <w:rPr>
                <w:rStyle w:val="100"/>
                <w:rFonts w:ascii="Times New Roman" w:hAnsi="Times New Roman"/>
                <w:b/>
                <w:color w:val="000000"/>
                <w:spacing w:val="-2"/>
                <w:szCs w:val="21"/>
              </w:rPr>
              <w:t>:</w:t>
            </w:r>
          </w:p>
        </w:tc>
        <w:tc>
          <w:tcPr>
            <w:tcW w:w="1892" w:type="dxa"/>
          </w:tcPr>
          <w:p>
            <w:pPr>
              <w:suppressAutoHyphens/>
              <w:spacing w:before="120" w:after="120" w:line="240" w:lineRule="atLeast"/>
              <w:textAlignment w:val="auto"/>
              <w:rPr>
                <w:rStyle w:val="100"/>
                <w:rFonts w:ascii="Times New Roman" w:hAnsi="Times New Roman"/>
                <w:color w:val="000000"/>
                <w:spacing w:val="-2"/>
                <w:szCs w:val="21"/>
              </w:rPr>
            </w:pPr>
            <w:r>
              <w:rPr>
                <w:rStyle w:val="100"/>
                <w:rFonts w:hint="eastAsia" w:ascii="Times New Roman" w:hAnsi="Times New Roman"/>
                <w:color w:val="000000"/>
                <w:spacing w:val="-2"/>
                <w:szCs w:val="21"/>
              </w:rPr>
              <w:t>人民币：</w:t>
            </w:r>
          </w:p>
        </w:tc>
      </w:tr>
    </w:tbl>
    <w:p>
      <w:pPr>
        <w:pStyle w:val="99"/>
        <w:spacing w:before="120" w:after="120" w:line="240" w:lineRule="atLeast"/>
        <w:jc w:val="both"/>
        <w:rPr>
          <w:rFonts w:ascii="Times New Roman" w:hAnsi="Times New Roman"/>
          <w:b w:val="0"/>
          <w:bCs/>
          <w:color w:val="000000"/>
          <w:sz w:val="21"/>
          <w:szCs w:val="21"/>
          <w:lang w:val="en-US" w:eastAsia="zh-CN"/>
        </w:rPr>
      </w:pPr>
      <w:r>
        <w:rPr>
          <w:rFonts w:hint="eastAsia" w:ascii="Times New Roman" w:hAnsi="Times New Roman"/>
          <w:b w:val="0"/>
          <w:bCs/>
          <w:color w:val="000000"/>
          <w:sz w:val="21"/>
          <w:szCs w:val="21"/>
          <w:lang w:val="en-US" w:eastAsia="zh-CN"/>
        </w:rPr>
        <w:t>注：其中，X为投标截止期前28天时计算出来的未完工程金额；Y为投标截止期前28天开始计算的剩余施工期的月数。</w:t>
      </w:r>
    </w:p>
    <w:p>
      <w:pPr>
        <w:widowControl/>
        <w:adjustRightInd/>
        <w:spacing w:line="240" w:lineRule="auto"/>
        <w:jc w:val="left"/>
        <w:textAlignment w:val="auto"/>
        <w:rPr>
          <w:b/>
          <w:sz w:val="24"/>
          <w:lang w:val="zh-CN" w:eastAsia="zh-CN"/>
        </w:rPr>
      </w:pPr>
      <w:bookmarkStart w:id="1387" w:name="_Toc24381"/>
      <w:r>
        <w:br w:type="page"/>
      </w:r>
    </w:p>
    <w:p>
      <w:pPr>
        <w:pStyle w:val="4"/>
        <w:rPr>
          <w:highlight w:val="none"/>
        </w:rPr>
      </w:pPr>
      <w:bookmarkStart w:id="1388" w:name="_Toc171063140"/>
      <w:bookmarkStart w:id="1389" w:name="_Toc170312602"/>
      <w:r>
        <w:rPr>
          <w:highlight w:val="none"/>
        </w:rPr>
        <w:t>表FIN-2.3.3.3：投标人是否符合财务资源要求的自我评估工具</w:t>
      </w:r>
      <w:bookmarkEnd w:id="1387"/>
      <w:bookmarkEnd w:id="1388"/>
      <w:bookmarkEnd w:id="1389"/>
    </w:p>
    <w:p>
      <w:pPr>
        <w:widowControl/>
        <w:tabs>
          <w:tab w:val="center" w:pos="4680"/>
        </w:tabs>
        <w:suppressAutoHyphens/>
        <w:adjustRightInd/>
        <w:spacing w:after="120" w:line="278" w:lineRule="auto"/>
        <w:jc w:val="center"/>
        <w:textAlignment w:val="auto"/>
        <w:rPr>
          <w:i/>
          <w:iCs/>
          <w:color w:val="000000"/>
          <w:szCs w:val="21"/>
          <w:highlight w:val="none"/>
          <w:lang w:val="es-ES"/>
        </w:rPr>
      </w:pPr>
      <w:r>
        <w:rPr>
          <w:sz w:val="24"/>
          <w:highlight w:val="none"/>
        </w:rPr>
        <w:t>（第三章</w:t>
      </w:r>
      <w:r>
        <w:rPr>
          <w:rFonts w:hint="eastAsia"/>
          <w:sz w:val="24"/>
          <w:highlight w:val="none"/>
        </w:rPr>
        <w:t>“</w:t>
      </w:r>
      <w:r>
        <w:rPr>
          <w:sz w:val="24"/>
          <w:highlight w:val="none"/>
        </w:rPr>
        <w:t>评标和资格标准</w:t>
      </w:r>
      <w:r>
        <w:rPr>
          <w:rFonts w:hint="eastAsia"/>
          <w:sz w:val="24"/>
          <w:highlight w:val="none"/>
        </w:rPr>
        <w:t>”</w:t>
      </w:r>
      <w:r>
        <w:rPr>
          <w:sz w:val="24"/>
          <w:highlight w:val="none"/>
        </w:rPr>
        <w:t>第2.3.3款）</w:t>
      </w:r>
    </w:p>
    <w:p>
      <w:pPr>
        <w:spacing w:before="120" w:after="120"/>
        <w:ind w:firstLine="418"/>
        <w:textAlignment w:val="auto"/>
        <w:rPr>
          <w:color w:val="000000"/>
          <w:szCs w:val="21"/>
          <w:lang w:val="es-ES"/>
        </w:rPr>
      </w:pPr>
      <w:r>
        <w:rPr>
          <w:color w:val="000000"/>
          <w:szCs w:val="21"/>
          <w:lang w:val="es-ES"/>
        </w:rPr>
        <w:t>本表</w:t>
      </w:r>
      <w:r>
        <w:rPr>
          <w:rFonts w:hint="eastAsia"/>
          <w:color w:val="000000"/>
          <w:szCs w:val="21"/>
          <w:lang w:val="es-ES"/>
        </w:rPr>
        <w:t>中的信息应</w:t>
      </w:r>
      <w:r>
        <w:rPr>
          <w:color w:val="000000"/>
          <w:szCs w:val="21"/>
          <w:lang w:val="es-ES"/>
        </w:rPr>
        <w:t>与表FIN-2.3.3.1和</w:t>
      </w:r>
      <w:r>
        <w:rPr>
          <w:rFonts w:hint="eastAsia"/>
          <w:color w:val="000000"/>
          <w:szCs w:val="21"/>
          <w:lang w:val="es-ES"/>
        </w:rPr>
        <w:t>表</w:t>
      </w:r>
      <w:r>
        <w:rPr>
          <w:color w:val="000000"/>
          <w:szCs w:val="21"/>
          <w:lang w:val="es-ES"/>
        </w:rPr>
        <w:t>FIN-2.3.3.2中的信息相同。必须满足“可用财务资源</w:t>
      </w:r>
      <w:r>
        <w:rPr>
          <w:rFonts w:hint="eastAsia"/>
          <w:color w:val="000000"/>
          <w:szCs w:val="21"/>
          <w:lang w:val="es-ES"/>
        </w:rPr>
        <w:t>减去在建工程所占用现金流的</w:t>
      </w:r>
      <w:r>
        <w:rPr>
          <w:color w:val="000000"/>
          <w:szCs w:val="21"/>
          <w:lang w:val="es-ES"/>
        </w:rPr>
        <w:t>净值</w:t>
      </w:r>
      <w:r>
        <w:rPr>
          <w:rFonts w:hint="eastAsia"/>
          <w:b/>
          <w:bCs/>
          <w:color w:val="000000"/>
          <w:szCs w:val="21"/>
          <w:lang w:val="es-ES"/>
        </w:rPr>
        <w:t>大于或等于</w:t>
      </w:r>
      <w:r>
        <w:rPr>
          <w:color w:val="000000"/>
          <w:szCs w:val="21"/>
          <w:lang w:val="es-ES"/>
        </w:rPr>
        <w:t>标的合同</w:t>
      </w:r>
      <w:r>
        <w:rPr>
          <w:rFonts w:hint="eastAsia"/>
          <w:color w:val="000000"/>
          <w:szCs w:val="21"/>
          <w:lang w:val="es-ES"/>
        </w:rPr>
        <w:t>财务资源</w:t>
      </w:r>
      <w:r>
        <w:rPr>
          <w:color w:val="000000"/>
          <w:szCs w:val="21"/>
          <w:lang w:val="es-ES"/>
        </w:rPr>
        <w:t>要求”才能</w:t>
      </w:r>
      <w:r>
        <w:rPr>
          <w:rFonts w:hint="eastAsia"/>
          <w:color w:val="000000"/>
          <w:szCs w:val="21"/>
          <w:lang w:val="es-ES"/>
        </w:rPr>
        <w:t>通过</w:t>
      </w:r>
      <w:r>
        <w:rPr>
          <w:color w:val="000000"/>
          <w:szCs w:val="21"/>
          <w:lang w:val="es-ES"/>
        </w:rPr>
        <w:t>资格</w:t>
      </w:r>
      <w:r>
        <w:rPr>
          <w:rFonts w:hint="eastAsia"/>
          <w:color w:val="000000"/>
          <w:szCs w:val="21"/>
          <w:lang w:val="es-ES"/>
        </w:rPr>
        <w:t>审查</w:t>
      </w:r>
      <w:r>
        <w:rPr>
          <w:color w:val="000000"/>
          <w:szCs w:val="21"/>
          <w:lang w:val="es-ES"/>
        </w:rPr>
        <w:t>。</w:t>
      </w:r>
    </w:p>
    <w:p>
      <w:pPr>
        <w:widowControl/>
        <w:tabs>
          <w:tab w:val="center" w:pos="4680"/>
        </w:tabs>
        <w:suppressAutoHyphens/>
        <w:adjustRightInd/>
        <w:spacing w:after="120" w:line="278" w:lineRule="auto"/>
        <w:textAlignment w:val="auto"/>
        <w:rPr>
          <w:b/>
          <w:bCs/>
          <w:sz w:val="20"/>
        </w:rPr>
      </w:pPr>
      <w:r>
        <w:rPr>
          <w:b/>
          <w:bCs/>
          <w:sz w:val="20"/>
        </w:rPr>
        <w:t>表FIN-2.3.3.3A：单一实体</w:t>
      </w:r>
    </w:p>
    <w:tbl>
      <w:tblPr>
        <w:tblStyle w:val="62"/>
        <w:tblW w:w="9085" w:type="dxa"/>
        <w:jc w:val="center"/>
        <w:tblInd w:w="0" w:type="dxa"/>
        <w:tblLayout w:type="fixed"/>
        <w:tblCellMar>
          <w:top w:w="0" w:type="dxa"/>
          <w:left w:w="0" w:type="dxa"/>
          <w:bottom w:w="0" w:type="dxa"/>
          <w:right w:w="0" w:type="dxa"/>
        </w:tblCellMar>
      </w:tblPr>
      <w:tblGrid>
        <w:gridCol w:w="1705"/>
        <w:gridCol w:w="1350"/>
        <w:gridCol w:w="1620"/>
        <w:gridCol w:w="1440"/>
        <w:gridCol w:w="1530"/>
        <w:gridCol w:w="1440"/>
      </w:tblGrid>
      <w:tr>
        <w:tblPrEx>
          <w:tblLayout w:type="fixed"/>
          <w:tblCellMar>
            <w:top w:w="0" w:type="dxa"/>
            <w:left w:w="0" w:type="dxa"/>
            <w:bottom w:w="0" w:type="dxa"/>
            <w:right w:w="0" w:type="dxa"/>
          </w:tblCellMar>
        </w:tblPrEx>
        <w:trPr>
          <w:trHeight w:val="144" w:hRule="atLeast"/>
          <w:jc w:val="center"/>
        </w:trPr>
        <w:tc>
          <w:tcPr>
            <w:tcW w:w="1705"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lang w:eastAsia="en-US"/>
              </w:rPr>
            </w:pPr>
            <w:r>
              <w:rPr>
                <w:sz w:val="20"/>
              </w:rPr>
              <w:t>单一</w:t>
            </w:r>
            <w:r>
              <w:rPr>
                <w:sz w:val="20"/>
                <w:lang w:eastAsia="en-US"/>
              </w:rPr>
              <w:t>实体</w:t>
            </w:r>
          </w:p>
          <w:p>
            <w:pPr>
              <w:widowControl/>
              <w:tabs>
                <w:tab w:val="center" w:pos="4680"/>
              </w:tabs>
              <w:suppressAutoHyphens/>
              <w:adjustRightInd/>
              <w:spacing w:after="120" w:line="278" w:lineRule="auto"/>
              <w:jc w:val="center"/>
              <w:textAlignment w:val="auto"/>
              <w:rPr>
                <w:sz w:val="20"/>
                <w:lang w:eastAsia="en-US"/>
              </w:rPr>
            </w:pPr>
            <w:r>
              <w:rPr>
                <w:sz w:val="20"/>
                <w:lang w:eastAsia="en-US"/>
              </w:rPr>
              <w:t>（</w:t>
            </w:r>
            <w:r>
              <w:rPr>
                <w:sz w:val="20"/>
              </w:rPr>
              <w:t>A</w:t>
            </w:r>
            <w:r>
              <w:rPr>
                <w:sz w:val="20"/>
                <w:lang w:eastAsia="en-US"/>
              </w:rPr>
              <w:t>）</w:t>
            </w:r>
          </w:p>
        </w:tc>
        <w:tc>
          <w:tcPr>
            <w:tcW w:w="1350"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FIN-2.3.3.1中可用财务资源总额（B）</w:t>
            </w:r>
          </w:p>
        </w:tc>
        <w:tc>
          <w:tcPr>
            <w:tcW w:w="1620"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FIN-2.3.3.2中在建工程月均现金流需求总额（C）</w:t>
            </w:r>
          </w:p>
        </w:tc>
        <w:tc>
          <w:tcPr>
            <w:tcW w:w="1440"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扣除在建工程的可用财务资源总额D=（B-C）</w:t>
            </w:r>
          </w:p>
        </w:tc>
        <w:tc>
          <w:tcPr>
            <w:tcW w:w="1530"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本合同现金流要求</w:t>
            </w:r>
          </w:p>
          <w:p>
            <w:pPr>
              <w:widowControl/>
              <w:tabs>
                <w:tab w:val="center" w:pos="4680"/>
              </w:tabs>
              <w:suppressAutoHyphens/>
              <w:adjustRightInd/>
              <w:spacing w:after="120" w:line="278" w:lineRule="auto"/>
              <w:jc w:val="center"/>
              <w:textAlignment w:val="auto"/>
              <w:rPr>
                <w:sz w:val="20"/>
              </w:rPr>
            </w:pPr>
            <w:r>
              <w:rPr>
                <w:sz w:val="20"/>
              </w:rPr>
              <w:t>（E）</w:t>
            </w:r>
          </w:p>
        </w:tc>
        <w:tc>
          <w:tcPr>
            <w:tcW w:w="1440" w:type="dxa"/>
            <w:tcBorders>
              <w:top w:val="single" w:color="000000" w:sz="4" w:space="0"/>
              <w:left w:val="single" w:color="000000" w:sz="4" w:space="0"/>
              <w:bottom w:val="double" w:color="auto" w:sz="4" w:space="0"/>
              <w:right w:val="single" w:color="000000" w:sz="4" w:space="0"/>
            </w:tcBorders>
            <w:vAlign w:val="center"/>
          </w:tcPr>
          <w:p>
            <w:pPr>
              <w:widowControl/>
              <w:tabs>
                <w:tab w:val="center" w:pos="4680"/>
              </w:tabs>
              <w:suppressAutoHyphens/>
              <w:adjustRightInd/>
              <w:spacing w:after="120" w:line="278" w:lineRule="auto"/>
              <w:jc w:val="center"/>
              <w:textAlignment w:val="auto"/>
              <w:rPr>
                <w:sz w:val="20"/>
              </w:rPr>
            </w:pPr>
            <w:r>
              <w:rPr>
                <w:sz w:val="20"/>
              </w:rPr>
              <w:t>结果：</w:t>
            </w:r>
          </w:p>
          <w:p>
            <w:pPr>
              <w:widowControl/>
              <w:tabs>
                <w:tab w:val="center" w:pos="4680"/>
              </w:tabs>
              <w:suppressAutoHyphens/>
              <w:adjustRightInd/>
              <w:spacing w:after="120" w:line="278" w:lineRule="auto"/>
              <w:jc w:val="center"/>
              <w:textAlignment w:val="auto"/>
              <w:rPr>
                <w:sz w:val="20"/>
              </w:rPr>
            </w:pPr>
            <w:r>
              <w:rPr>
                <w:sz w:val="20"/>
              </w:rPr>
              <w:t>符合或不符合</w:t>
            </w:r>
          </w:p>
          <w:p>
            <w:pPr>
              <w:widowControl/>
              <w:tabs>
                <w:tab w:val="center" w:pos="4680"/>
              </w:tabs>
              <w:suppressAutoHyphens/>
              <w:adjustRightInd/>
              <w:spacing w:after="120" w:line="278" w:lineRule="auto"/>
              <w:jc w:val="center"/>
              <w:textAlignment w:val="auto"/>
              <w:rPr>
                <w:sz w:val="20"/>
              </w:rPr>
            </w:pPr>
            <w:r>
              <w:rPr>
                <w:sz w:val="20"/>
              </w:rPr>
              <w:t>[D必须大于或等于E]</w:t>
            </w:r>
          </w:p>
          <w:p>
            <w:pPr>
              <w:widowControl/>
              <w:tabs>
                <w:tab w:val="center" w:pos="4680"/>
              </w:tabs>
              <w:suppressAutoHyphens/>
              <w:adjustRightInd/>
              <w:spacing w:after="120" w:line="278" w:lineRule="auto"/>
              <w:jc w:val="center"/>
              <w:textAlignment w:val="auto"/>
              <w:rPr>
                <w:sz w:val="20"/>
                <w:lang w:eastAsia="en-US"/>
              </w:rPr>
            </w:pPr>
            <w:r>
              <w:rPr>
                <w:sz w:val="20"/>
                <w:lang w:eastAsia="en-US"/>
              </w:rPr>
              <w:t>（</w:t>
            </w:r>
            <w:r>
              <w:rPr>
                <w:sz w:val="20"/>
              </w:rPr>
              <w:t>F</w:t>
            </w:r>
            <w:r>
              <w:rPr>
                <w:sz w:val="20"/>
                <w:lang w:eastAsia="en-US"/>
              </w:rPr>
              <w:t>）</w:t>
            </w:r>
          </w:p>
        </w:tc>
      </w:tr>
      <w:tr>
        <w:tblPrEx>
          <w:tblLayout w:type="fixed"/>
          <w:tblCellMar>
            <w:top w:w="0" w:type="dxa"/>
            <w:left w:w="0" w:type="dxa"/>
            <w:bottom w:w="0" w:type="dxa"/>
            <w:right w:w="0" w:type="dxa"/>
          </w:tblCellMar>
        </w:tblPrEx>
        <w:trPr>
          <w:trHeight w:val="782" w:hRule="atLeast"/>
          <w:jc w:val="center"/>
        </w:trPr>
        <w:tc>
          <w:tcPr>
            <w:tcW w:w="1705" w:type="dxa"/>
            <w:tcBorders>
              <w:top w:val="double" w:color="auto"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_________</w:t>
            </w:r>
          </w:p>
          <w:p>
            <w:pPr>
              <w:widowControl/>
              <w:tabs>
                <w:tab w:val="center" w:pos="4680"/>
              </w:tabs>
              <w:suppressAutoHyphens/>
              <w:adjustRightInd/>
              <w:spacing w:after="120" w:line="278" w:lineRule="auto"/>
              <w:textAlignment w:val="auto"/>
              <w:rPr>
                <w:sz w:val="20"/>
                <w:lang w:val="en-PH" w:eastAsia="en-US"/>
              </w:rPr>
            </w:pPr>
            <w:r>
              <w:rPr>
                <w:sz w:val="20"/>
                <w:lang w:val="en-PH" w:eastAsia="en-US"/>
              </w:rPr>
              <w:t>（投标人名称）</w:t>
            </w:r>
          </w:p>
        </w:tc>
        <w:tc>
          <w:tcPr>
            <w:tcW w:w="1350" w:type="dxa"/>
            <w:tcBorders>
              <w:top w:val="double" w:color="auto"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620" w:type="dxa"/>
            <w:tcBorders>
              <w:top w:val="double" w:color="auto"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440" w:type="dxa"/>
            <w:tcBorders>
              <w:top w:val="double" w:color="auto"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530" w:type="dxa"/>
            <w:tcBorders>
              <w:top w:val="double" w:color="auto"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440" w:type="dxa"/>
            <w:tcBorders>
              <w:top w:val="double" w:color="auto"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bl>
    <w:p>
      <w:pPr>
        <w:widowControl/>
        <w:tabs>
          <w:tab w:val="center" w:pos="4680"/>
        </w:tabs>
        <w:suppressAutoHyphens/>
        <w:adjustRightInd/>
        <w:spacing w:after="120" w:line="278" w:lineRule="auto"/>
        <w:textAlignment w:val="auto"/>
        <w:rPr>
          <w:sz w:val="20"/>
          <w:lang w:eastAsia="en-US"/>
        </w:rPr>
      </w:pPr>
    </w:p>
    <w:p>
      <w:pPr>
        <w:widowControl/>
        <w:tabs>
          <w:tab w:val="center" w:pos="4680"/>
        </w:tabs>
        <w:suppressAutoHyphens/>
        <w:adjustRightInd/>
        <w:spacing w:after="120" w:line="278" w:lineRule="auto"/>
        <w:textAlignment w:val="auto"/>
        <w:rPr>
          <w:b/>
          <w:bCs/>
          <w:sz w:val="20"/>
        </w:rPr>
      </w:pPr>
      <w:r>
        <w:rPr>
          <w:b/>
          <w:bCs/>
          <w:sz w:val="20"/>
          <w:lang w:eastAsia="en-US"/>
        </w:rPr>
        <w:t>表FIN-2.3.3.3B：</w:t>
      </w:r>
      <w:r>
        <w:rPr>
          <w:b/>
          <w:bCs/>
          <w:sz w:val="20"/>
        </w:rPr>
        <w:t>联合体</w:t>
      </w:r>
    </w:p>
    <w:tbl>
      <w:tblPr>
        <w:tblStyle w:val="62"/>
        <w:tblW w:w="9180" w:type="dxa"/>
        <w:jc w:val="center"/>
        <w:tblInd w:w="0" w:type="dxa"/>
        <w:tblLayout w:type="fixed"/>
        <w:tblCellMar>
          <w:top w:w="0" w:type="dxa"/>
          <w:left w:w="0" w:type="dxa"/>
          <w:bottom w:w="0" w:type="dxa"/>
          <w:right w:w="0" w:type="dxa"/>
        </w:tblCellMar>
      </w:tblPr>
      <w:tblGrid>
        <w:gridCol w:w="1710"/>
        <w:gridCol w:w="1260"/>
        <w:gridCol w:w="1734"/>
        <w:gridCol w:w="1421"/>
        <w:gridCol w:w="1530"/>
        <w:gridCol w:w="1525"/>
      </w:tblGrid>
      <w:tr>
        <w:tblPrEx>
          <w:tblLayout w:type="fixed"/>
          <w:tblCellMar>
            <w:top w:w="0" w:type="dxa"/>
            <w:left w:w="0" w:type="dxa"/>
            <w:bottom w:w="0" w:type="dxa"/>
            <w:right w:w="0" w:type="dxa"/>
          </w:tblCellMar>
        </w:tblPrEx>
        <w:trPr>
          <w:trHeight w:val="2067" w:hRule="atLeast"/>
          <w:jc w:val="center"/>
        </w:trPr>
        <w:tc>
          <w:tcPr>
            <w:tcW w:w="1710" w:type="dxa"/>
            <w:tcBorders>
              <w:top w:val="single" w:color="000000" w:sz="4" w:space="0"/>
              <w:left w:val="single" w:color="000000" w:sz="4" w:space="0"/>
              <w:bottom w:val="double" w:color="auto"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bCs/>
                <w:spacing w:val="-2"/>
                <w:sz w:val="20"/>
                <w:lang w:eastAsia="en-US"/>
              </w:rPr>
            </w:pPr>
            <w:r>
              <w:rPr>
                <w:sz w:val="20"/>
              </w:rPr>
              <w:t>联合体</w:t>
            </w:r>
          </w:p>
          <w:p>
            <w:pPr>
              <w:widowControl/>
              <w:tabs>
                <w:tab w:val="center" w:pos="4680"/>
              </w:tabs>
              <w:suppressAutoHyphens/>
              <w:adjustRightInd/>
              <w:spacing w:after="120" w:line="278" w:lineRule="auto"/>
              <w:jc w:val="center"/>
              <w:textAlignment w:val="auto"/>
              <w:rPr>
                <w:sz w:val="20"/>
                <w:lang w:eastAsia="en-US"/>
              </w:rPr>
            </w:pPr>
            <w:r>
              <w:rPr>
                <w:sz w:val="20"/>
                <w:lang w:eastAsia="en-US"/>
              </w:rPr>
              <w:t>（</w:t>
            </w:r>
            <w:r>
              <w:rPr>
                <w:sz w:val="20"/>
              </w:rPr>
              <w:t>A</w:t>
            </w:r>
            <w:r>
              <w:rPr>
                <w:sz w:val="20"/>
                <w:lang w:eastAsia="en-US"/>
              </w:rPr>
              <w:t>）</w:t>
            </w:r>
          </w:p>
        </w:tc>
        <w:tc>
          <w:tcPr>
            <w:tcW w:w="1260" w:type="dxa"/>
            <w:tcBorders>
              <w:top w:val="single" w:color="000000" w:sz="4" w:space="0"/>
              <w:left w:val="single" w:color="000000" w:sz="4" w:space="0"/>
              <w:bottom w:val="single" w:color="000000"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FIN-2.3.3.1中可用财务资源总额（B）</w:t>
            </w:r>
          </w:p>
        </w:tc>
        <w:tc>
          <w:tcPr>
            <w:tcW w:w="1734" w:type="dxa"/>
            <w:tcBorders>
              <w:top w:val="single" w:color="000000" w:sz="4" w:space="0"/>
              <w:left w:val="single" w:color="000000" w:sz="4" w:space="0"/>
              <w:bottom w:val="single" w:color="000000"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FIN-2.3.3.2中在建工程月均现金流需求总额（C）</w:t>
            </w:r>
          </w:p>
        </w:tc>
        <w:tc>
          <w:tcPr>
            <w:tcW w:w="1421" w:type="dxa"/>
            <w:tcBorders>
              <w:top w:val="single" w:color="000000" w:sz="4" w:space="0"/>
              <w:left w:val="single" w:color="000000" w:sz="4" w:space="0"/>
              <w:bottom w:val="single" w:color="000000"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textAlignment w:val="auto"/>
              <w:rPr>
                <w:sz w:val="20"/>
              </w:rPr>
            </w:pPr>
            <w:r>
              <w:rPr>
                <w:sz w:val="20"/>
              </w:rPr>
              <w:t>扣除在建工程的可用财务资源总额D=（B-C）</w:t>
            </w:r>
          </w:p>
        </w:tc>
        <w:tc>
          <w:tcPr>
            <w:tcW w:w="1530" w:type="dxa"/>
            <w:tcBorders>
              <w:top w:val="single" w:color="000000" w:sz="4" w:space="0"/>
              <w:left w:val="single" w:color="000000" w:sz="4" w:space="0"/>
              <w:bottom w:val="single" w:color="000000" w:sz="4" w:space="0"/>
              <w:right w:val="single" w:color="000000" w:sz="4" w:space="0"/>
            </w:tcBorders>
            <w:tcMar>
              <w:top w:w="43" w:type="dxa"/>
              <w:left w:w="86" w:type="dxa"/>
              <w:bottom w:w="43" w:type="dxa"/>
              <w:right w:w="86" w:type="dxa"/>
            </w:tcMar>
            <w:vAlign w:val="center"/>
          </w:tcPr>
          <w:p>
            <w:pPr>
              <w:widowControl/>
              <w:tabs>
                <w:tab w:val="center" w:pos="4680"/>
              </w:tabs>
              <w:suppressAutoHyphens/>
              <w:adjustRightInd/>
              <w:spacing w:after="120" w:line="278" w:lineRule="auto"/>
              <w:jc w:val="center"/>
              <w:textAlignment w:val="auto"/>
              <w:rPr>
                <w:sz w:val="20"/>
              </w:rPr>
            </w:pPr>
            <w:r>
              <w:rPr>
                <w:sz w:val="20"/>
              </w:rPr>
              <w:t>本合同现金流要求</w:t>
            </w:r>
          </w:p>
          <w:p>
            <w:pPr>
              <w:widowControl/>
              <w:tabs>
                <w:tab w:val="center" w:pos="4680"/>
              </w:tabs>
              <w:suppressAutoHyphens/>
              <w:adjustRightInd/>
              <w:spacing w:after="120" w:line="278" w:lineRule="auto"/>
              <w:jc w:val="center"/>
              <w:textAlignment w:val="auto"/>
              <w:rPr>
                <w:sz w:val="20"/>
              </w:rPr>
            </w:pPr>
            <w:r>
              <w:rPr>
                <w:sz w:val="20"/>
              </w:rPr>
              <w:t>（E）</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680"/>
              </w:tabs>
              <w:suppressAutoHyphens/>
              <w:adjustRightInd/>
              <w:spacing w:after="120" w:line="278" w:lineRule="auto"/>
              <w:jc w:val="center"/>
              <w:textAlignment w:val="auto"/>
              <w:rPr>
                <w:sz w:val="20"/>
              </w:rPr>
            </w:pPr>
            <w:r>
              <w:rPr>
                <w:sz w:val="20"/>
              </w:rPr>
              <w:t>结果：</w:t>
            </w:r>
          </w:p>
          <w:p>
            <w:pPr>
              <w:widowControl/>
              <w:tabs>
                <w:tab w:val="center" w:pos="4680"/>
              </w:tabs>
              <w:suppressAutoHyphens/>
              <w:adjustRightInd/>
              <w:spacing w:after="120" w:line="278" w:lineRule="auto"/>
              <w:jc w:val="center"/>
              <w:textAlignment w:val="auto"/>
              <w:rPr>
                <w:sz w:val="20"/>
              </w:rPr>
            </w:pPr>
            <w:r>
              <w:rPr>
                <w:sz w:val="20"/>
              </w:rPr>
              <w:t>符合或不符合</w:t>
            </w:r>
          </w:p>
          <w:p>
            <w:pPr>
              <w:widowControl/>
              <w:tabs>
                <w:tab w:val="center" w:pos="4680"/>
              </w:tabs>
              <w:suppressAutoHyphens/>
              <w:adjustRightInd/>
              <w:spacing w:after="120" w:line="278" w:lineRule="auto"/>
              <w:jc w:val="center"/>
              <w:textAlignment w:val="auto"/>
              <w:rPr>
                <w:sz w:val="20"/>
              </w:rPr>
            </w:pPr>
            <w:r>
              <w:rPr>
                <w:sz w:val="20"/>
              </w:rPr>
              <w:t>[D必须大于或等于E]</w:t>
            </w:r>
          </w:p>
          <w:p>
            <w:pPr>
              <w:widowControl/>
              <w:tabs>
                <w:tab w:val="center" w:pos="4680"/>
              </w:tabs>
              <w:suppressAutoHyphens/>
              <w:adjustRightInd/>
              <w:spacing w:after="120" w:line="278" w:lineRule="auto"/>
              <w:jc w:val="center"/>
              <w:textAlignment w:val="auto"/>
              <w:rPr>
                <w:sz w:val="20"/>
                <w:lang w:eastAsia="en-US"/>
              </w:rPr>
            </w:pPr>
            <w:r>
              <w:rPr>
                <w:sz w:val="20"/>
                <w:lang w:eastAsia="en-US"/>
              </w:rPr>
              <w:t>（</w:t>
            </w:r>
            <w:r>
              <w:rPr>
                <w:sz w:val="20"/>
              </w:rPr>
              <w:t>F</w:t>
            </w:r>
            <w:r>
              <w:rPr>
                <w:sz w:val="20"/>
                <w:lang w:eastAsia="en-US"/>
              </w:rPr>
              <w:t>）</w:t>
            </w:r>
          </w:p>
        </w:tc>
      </w:tr>
      <w:tr>
        <w:tblPrEx>
          <w:tblLayout w:type="fixed"/>
          <w:tblCellMar>
            <w:top w:w="0" w:type="dxa"/>
            <w:left w:w="0" w:type="dxa"/>
            <w:bottom w:w="0" w:type="dxa"/>
            <w:right w:w="0" w:type="dxa"/>
          </w:tblCellMar>
        </w:tblPrEx>
        <w:trPr>
          <w:trHeight w:val="154" w:hRule="atLeast"/>
          <w:jc w:val="center"/>
        </w:trPr>
        <w:tc>
          <w:tcPr>
            <w:tcW w:w="1710" w:type="dxa"/>
            <w:tcBorders>
              <w:top w:val="double" w:color="auto" w:sz="4" w:space="0"/>
              <w:left w:val="single" w:color="000000" w:sz="4" w:space="0"/>
              <w:bottom w:val="single" w:color="000000" w:sz="4" w:space="0"/>
              <w:right w:val="single" w:color="000000" w:sz="4" w:space="0"/>
            </w:tcBorders>
            <w:tcMar>
              <w:top w:w="43" w:type="dxa"/>
              <w:left w:w="86" w:type="dxa"/>
              <w:bottom w:w="43" w:type="dxa"/>
              <w:right w:w="86" w:type="dxa"/>
            </w:tcMar>
          </w:tcPr>
          <w:p>
            <w:pPr>
              <w:widowControl/>
              <w:tabs>
                <w:tab w:val="center" w:pos="4680"/>
              </w:tabs>
              <w:suppressAutoHyphens/>
              <w:adjustRightInd/>
              <w:spacing w:after="120" w:line="278" w:lineRule="auto"/>
              <w:textAlignment w:val="auto"/>
              <w:rPr>
                <w:sz w:val="20"/>
                <w:lang w:val="en-PH" w:eastAsia="en-US"/>
              </w:rPr>
            </w:pPr>
            <w:r>
              <w:rPr>
                <w:sz w:val="20"/>
              </w:rPr>
              <w:t>主体成员</w:t>
            </w:r>
            <w:r>
              <w:rPr>
                <w:sz w:val="20"/>
                <w:lang w:val="en-PH" w:eastAsia="en-US"/>
              </w:rPr>
              <w:t>：</w:t>
            </w:r>
          </w:p>
        </w:tc>
        <w:tc>
          <w:tcPr>
            <w:tcW w:w="1260" w:type="dxa"/>
            <w:tcBorders>
              <w:top w:val="single" w:color="000000" w:sz="4" w:space="0"/>
              <w:left w:val="single" w:color="000000" w:sz="4" w:space="0"/>
              <w:bottom w:val="single" w:color="000000" w:sz="4" w:space="0"/>
              <w:right w:val="single" w:color="FFFFFF" w:sz="4" w:space="0"/>
            </w:tcBorders>
            <w:shd w:val="horzCross" w:color="000000" w:fill="auto"/>
            <w:tcMar>
              <w:top w:w="43" w:type="dxa"/>
              <w:left w:w="86" w:type="dxa"/>
              <w:bottom w:w="43" w:type="dxa"/>
              <w:right w:w="86" w:type="dxa"/>
            </w:tcMar>
          </w:tcPr>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FFFFFF" w:sz="4" w:space="0"/>
              <w:bottom w:val="single" w:color="000000" w:sz="4" w:space="0"/>
              <w:right w:val="single" w:color="FFFFFF" w:sz="4" w:space="0"/>
            </w:tcBorders>
            <w:shd w:val="horzCross" w:color="000000" w:fill="auto"/>
            <w:tcMar>
              <w:top w:w="43" w:type="dxa"/>
              <w:left w:w="86" w:type="dxa"/>
              <w:bottom w:w="43" w:type="dxa"/>
              <w:right w:w="86" w:type="dxa"/>
            </w:tcMar>
          </w:tcPr>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FFFFFF" w:sz="4" w:space="0"/>
              <w:bottom w:val="single" w:color="000000" w:sz="4" w:space="0"/>
              <w:right w:val="single" w:color="FFFFFF" w:sz="4" w:space="0"/>
            </w:tcBorders>
            <w:shd w:val="horzCross" w:color="000000" w:fill="auto"/>
            <w:tcMar>
              <w:top w:w="43" w:type="dxa"/>
              <w:left w:w="86" w:type="dxa"/>
              <w:bottom w:w="43" w:type="dxa"/>
              <w:right w:w="86" w:type="dxa"/>
            </w:tcMar>
          </w:tcPr>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FFFFFF" w:sz="4" w:space="0"/>
              <w:bottom w:val="single" w:color="000000" w:sz="4" w:space="0"/>
              <w:right w:val="single" w:color="000000" w:sz="4" w:space="0"/>
            </w:tcBorders>
            <w:shd w:val="horzCross" w:color="000000" w:fill="auto"/>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tc>
        <w:tc>
          <w:tcPr>
            <w:tcW w:w="1525" w:type="dxa"/>
            <w:tcBorders>
              <w:top w:val="single" w:color="000000" w:sz="4" w:space="0"/>
              <w:left w:val="single" w:color="FFFFFF" w:sz="4" w:space="0"/>
              <w:bottom w:val="single" w:color="000000" w:sz="4" w:space="0"/>
              <w:right w:val="single" w:color="000000" w:sz="4" w:space="0"/>
            </w:tcBorders>
            <w:shd w:val="horzCross" w:color="000000" w:fill="auto"/>
          </w:tcPr>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649"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___________</w:t>
            </w:r>
          </w:p>
          <w:p>
            <w:pPr>
              <w:widowControl/>
              <w:tabs>
                <w:tab w:val="center" w:pos="4680"/>
              </w:tabs>
              <w:suppressAutoHyphens/>
              <w:adjustRightInd/>
              <w:spacing w:after="120" w:line="278" w:lineRule="auto"/>
              <w:textAlignment w:val="auto"/>
              <w:rPr>
                <w:sz w:val="20"/>
                <w:lang w:val="en-PH" w:eastAsia="en-US"/>
              </w:rPr>
            </w:pPr>
            <w:r>
              <w:rPr>
                <w:sz w:val="20"/>
                <w:lang w:val="en-PH" w:eastAsia="en-US"/>
              </w:rPr>
              <w:t>（成员</w:t>
            </w:r>
            <w:r>
              <w:rPr>
                <w:sz w:val="20"/>
              </w:rPr>
              <w:t>名称</w:t>
            </w:r>
            <w:r>
              <w:rPr>
                <w:sz w:val="20"/>
                <w:lang w:val="en-PH" w:eastAsia="en-US"/>
              </w:rPr>
              <w:t>）</w:t>
            </w:r>
          </w:p>
        </w:tc>
        <w:tc>
          <w:tcPr>
            <w:tcW w:w="126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000000" w:sz="4" w:space="0"/>
              <w:bottom w:val="single" w:color="000000" w:sz="4" w:space="0"/>
              <w:right w:val="single" w:color="000000" w:sz="4" w:space="0"/>
            </w:tcBorders>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525" w:type="dxa"/>
            <w:tcBorders>
              <w:top w:val="single" w:color="000000"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144"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r>
              <w:rPr>
                <w:sz w:val="20"/>
                <w:lang w:val="en-PH" w:eastAsia="en-US"/>
              </w:rPr>
              <w:t>各成员：</w:t>
            </w:r>
          </w:p>
        </w:tc>
        <w:tc>
          <w:tcPr>
            <w:tcW w:w="1260" w:type="dxa"/>
            <w:tcBorders>
              <w:top w:val="single" w:color="000000" w:sz="4" w:space="0"/>
              <w:left w:val="single" w:color="000000" w:sz="4" w:space="0"/>
              <w:bottom w:val="single" w:color="000000" w:sz="4" w:space="0"/>
              <w:right w:val="single" w:color="FFFFFF" w:sz="4" w:space="0"/>
            </w:tcBorders>
            <w:shd w:val="horzCross" w:color="000000" w:fill="auto"/>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FFFFFF" w:sz="4" w:space="0"/>
              <w:bottom w:val="single" w:color="000000" w:sz="4" w:space="0"/>
              <w:right w:val="single" w:color="FFFFFF" w:sz="4" w:space="0"/>
            </w:tcBorders>
            <w:shd w:val="horzCross" w:color="000000" w:fill="auto"/>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FFFFFF" w:sz="4" w:space="0"/>
              <w:bottom w:val="single" w:color="000000" w:sz="4" w:space="0"/>
              <w:right w:val="single" w:color="FFFFFF" w:sz="4" w:space="0"/>
            </w:tcBorders>
            <w:shd w:val="horzCross" w:color="000000" w:fill="auto"/>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FFFFFF" w:sz="4" w:space="0"/>
              <w:bottom w:val="single" w:color="000000" w:sz="4" w:space="0"/>
              <w:right w:val="single" w:color="000000" w:sz="4" w:space="0"/>
            </w:tcBorders>
            <w:shd w:val="horzCross" w:color="000000" w:fill="auto"/>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tc>
        <w:tc>
          <w:tcPr>
            <w:tcW w:w="1525" w:type="dxa"/>
            <w:tcBorders>
              <w:top w:val="single" w:color="000000" w:sz="4" w:space="0"/>
              <w:left w:val="single" w:color="FFFFFF" w:sz="4" w:space="0"/>
              <w:bottom w:val="single" w:color="000000" w:sz="4" w:space="0"/>
              <w:right w:val="single" w:color="000000" w:sz="4" w:space="0"/>
            </w:tcBorders>
            <w:shd w:val="horzCross" w:color="000000" w:fill="auto"/>
          </w:tcPr>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748"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___________</w:t>
            </w:r>
          </w:p>
          <w:p>
            <w:pPr>
              <w:widowControl/>
              <w:tabs>
                <w:tab w:val="center" w:pos="4680"/>
              </w:tabs>
              <w:suppressAutoHyphens/>
              <w:adjustRightInd/>
              <w:spacing w:after="120" w:line="278" w:lineRule="auto"/>
              <w:textAlignment w:val="auto"/>
              <w:rPr>
                <w:sz w:val="20"/>
                <w:lang w:val="en-PH" w:eastAsia="en-US"/>
              </w:rPr>
            </w:pPr>
            <w:r>
              <w:rPr>
                <w:sz w:val="20"/>
                <w:lang w:val="en-PH" w:eastAsia="en-US"/>
              </w:rPr>
              <w:t>（成员1的</w:t>
            </w:r>
            <w:r>
              <w:rPr>
                <w:sz w:val="20"/>
              </w:rPr>
              <w:t>名称</w:t>
            </w:r>
            <w:r>
              <w:rPr>
                <w:sz w:val="20"/>
                <w:lang w:val="en-PH" w:eastAsia="en-US"/>
              </w:rPr>
              <w:t>）</w:t>
            </w:r>
          </w:p>
        </w:tc>
        <w:tc>
          <w:tcPr>
            <w:tcW w:w="126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000000" w:sz="4" w:space="0"/>
              <w:bottom w:val="single" w:color="000000" w:sz="4" w:space="0"/>
              <w:right w:val="single" w:color="000000" w:sz="4" w:space="0"/>
            </w:tcBorders>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525" w:type="dxa"/>
            <w:tcBorders>
              <w:top w:val="single" w:color="000000"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685"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___________</w:t>
            </w:r>
          </w:p>
          <w:p>
            <w:pPr>
              <w:widowControl/>
              <w:tabs>
                <w:tab w:val="center" w:pos="4680"/>
              </w:tabs>
              <w:suppressAutoHyphens/>
              <w:adjustRightInd/>
              <w:spacing w:after="120" w:line="278" w:lineRule="auto"/>
              <w:textAlignment w:val="auto"/>
              <w:rPr>
                <w:sz w:val="20"/>
                <w:lang w:val="en-PH" w:eastAsia="en-US"/>
              </w:rPr>
            </w:pPr>
            <w:r>
              <w:rPr>
                <w:sz w:val="20"/>
                <w:lang w:val="en-PH" w:eastAsia="en-US"/>
              </w:rPr>
              <w:t>（成员2的</w:t>
            </w:r>
            <w:r>
              <w:rPr>
                <w:sz w:val="20"/>
              </w:rPr>
              <w:t>名称</w:t>
            </w:r>
            <w:r>
              <w:rPr>
                <w:sz w:val="20"/>
                <w:lang w:val="en-PH" w:eastAsia="en-US"/>
              </w:rPr>
              <w:t>）</w:t>
            </w:r>
          </w:p>
        </w:tc>
        <w:tc>
          <w:tcPr>
            <w:tcW w:w="126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000000" w:sz="4" w:space="0"/>
              <w:bottom w:val="single" w:color="000000" w:sz="4" w:space="0"/>
              <w:right w:val="single" w:color="000000" w:sz="4" w:space="0"/>
            </w:tcBorders>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525" w:type="dxa"/>
            <w:tcBorders>
              <w:top w:val="single" w:color="000000"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784"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___________</w:t>
            </w:r>
          </w:p>
          <w:p>
            <w:pPr>
              <w:widowControl/>
              <w:tabs>
                <w:tab w:val="center" w:pos="4680"/>
              </w:tabs>
              <w:suppressAutoHyphens/>
              <w:adjustRightInd/>
              <w:spacing w:after="120" w:line="278" w:lineRule="auto"/>
              <w:textAlignment w:val="auto"/>
              <w:rPr>
                <w:sz w:val="20"/>
                <w:lang w:val="en-PH" w:eastAsia="en-US"/>
              </w:rPr>
            </w:pPr>
            <w:r>
              <w:rPr>
                <w:sz w:val="20"/>
                <w:lang w:val="en-PH" w:eastAsia="en-US"/>
              </w:rPr>
              <w:t>（成员3的</w:t>
            </w:r>
            <w:r>
              <w:rPr>
                <w:sz w:val="20"/>
              </w:rPr>
              <w:t>名称</w:t>
            </w:r>
            <w:r>
              <w:rPr>
                <w:sz w:val="20"/>
                <w:lang w:val="en-PH" w:eastAsia="en-US"/>
              </w:rPr>
              <w:t>）</w:t>
            </w:r>
          </w:p>
        </w:tc>
        <w:tc>
          <w:tcPr>
            <w:tcW w:w="126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734"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421"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c>
          <w:tcPr>
            <w:tcW w:w="1530" w:type="dxa"/>
            <w:tcBorders>
              <w:top w:val="single" w:color="000000" w:sz="4" w:space="0"/>
              <w:left w:val="single" w:color="000000" w:sz="4" w:space="0"/>
              <w:bottom w:val="single" w:color="000000" w:sz="4" w:space="0"/>
              <w:right w:val="single" w:color="000000" w:sz="4" w:space="0"/>
            </w:tcBorders>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525" w:type="dxa"/>
            <w:tcBorders>
              <w:top w:val="single" w:color="000000"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r>
        <w:tblPrEx>
          <w:tblLayout w:type="fixed"/>
          <w:tblCellMar>
            <w:top w:w="0" w:type="dxa"/>
            <w:left w:w="0" w:type="dxa"/>
            <w:bottom w:w="0" w:type="dxa"/>
            <w:right w:w="0" w:type="dxa"/>
          </w:tblCellMar>
        </w:tblPrEx>
        <w:trPr>
          <w:trHeight w:val="775" w:hRule="atLeast"/>
          <w:jc w:val="center"/>
        </w:trPr>
        <w:tc>
          <w:tcPr>
            <w:tcW w:w="1710"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vAlign w:val="center"/>
          </w:tcPr>
          <w:p>
            <w:pPr>
              <w:widowControl/>
              <w:tabs>
                <w:tab w:val="center" w:pos="4680"/>
              </w:tabs>
              <w:suppressAutoHyphens/>
              <w:adjustRightInd/>
              <w:spacing w:after="120" w:line="278" w:lineRule="auto"/>
              <w:textAlignment w:val="auto"/>
              <w:rPr>
                <w:sz w:val="20"/>
                <w:lang w:val="en-PH" w:eastAsia="en-US"/>
              </w:rPr>
            </w:pPr>
            <w:r>
              <w:rPr>
                <w:sz w:val="20"/>
                <w:lang w:val="en-PH" w:eastAsia="en-US"/>
              </w:rPr>
              <w:t>所有成员</w:t>
            </w:r>
            <w:r>
              <w:rPr>
                <w:rFonts w:hint="eastAsia"/>
                <w:sz w:val="20"/>
                <w:lang w:val="en-PH"/>
              </w:rPr>
              <w:t>综合</w:t>
            </w:r>
          </w:p>
        </w:tc>
        <w:tc>
          <w:tcPr>
            <w:tcW w:w="2994" w:type="dxa"/>
            <w:gridSpan w:val="2"/>
            <w:tcBorders>
              <w:top w:val="single" w:color="000000" w:sz="4" w:space="0"/>
              <w:left w:val="single" w:color="000000" w:sz="4" w:space="0"/>
              <w:bottom w:val="single" w:color="000000" w:sz="4" w:space="0"/>
              <w:right w:val="single" w:color="000000" w:sz="4" w:space="0"/>
            </w:tcBorders>
            <w:shd w:val="clear" w:color="000000" w:fill="auto"/>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rPr>
            </w:pPr>
          </w:p>
          <w:p>
            <w:pPr>
              <w:widowControl/>
              <w:tabs>
                <w:tab w:val="center" w:pos="4680"/>
              </w:tabs>
              <w:suppressAutoHyphens/>
              <w:adjustRightInd/>
              <w:spacing w:after="120" w:line="278" w:lineRule="auto"/>
              <w:textAlignment w:val="auto"/>
              <w:rPr>
                <w:sz w:val="20"/>
                <w:lang w:val="en-PH"/>
              </w:rPr>
            </w:pPr>
            <w:r>
              <w:rPr>
                <w:sz w:val="20"/>
                <w:lang w:val="en-PH"/>
              </w:rPr>
              <w:t>∑D=所有</w:t>
            </w:r>
            <w:r>
              <w:rPr>
                <w:rFonts w:hint="eastAsia"/>
                <w:sz w:val="20"/>
                <w:lang w:val="en-PH"/>
              </w:rPr>
              <w:t>联合体</w:t>
            </w:r>
            <w:r>
              <w:rPr>
                <w:sz w:val="20"/>
                <w:lang w:val="en-PH"/>
              </w:rPr>
              <w:t>成员的可用财务资源总额（扣除</w:t>
            </w:r>
            <w:r>
              <w:rPr>
                <w:rFonts w:hint="eastAsia"/>
                <w:sz w:val="20"/>
                <w:lang w:val="en-PH"/>
              </w:rPr>
              <w:t>在建工程所占用的现金流</w:t>
            </w:r>
            <w:r>
              <w:rPr>
                <w:sz w:val="20"/>
                <w:lang w:val="en-PH"/>
              </w:rPr>
              <w:t>）</w:t>
            </w:r>
          </w:p>
        </w:tc>
        <w:tc>
          <w:tcPr>
            <w:tcW w:w="1421" w:type="dxa"/>
            <w:tcBorders>
              <w:top w:val="single" w:color="000000" w:sz="4" w:space="0"/>
              <w:left w:val="single" w:color="000000" w:sz="4" w:space="0"/>
              <w:bottom w:val="single" w:color="000000" w:sz="4" w:space="0"/>
              <w:right w:val="single" w:color="000000" w:sz="4" w:space="0"/>
            </w:tcBorders>
            <w:tcMar>
              <w:top w:w="43" w:type="dxa"/>
              <w:left w:w="80" w:type="dxa"/>
              <w:bottom w:w="43" w:type="dxa"/>
              <w:right w:w="80" w:type="dxa"/>
            </w:tcMar>
          </w:tcPr>
          <w:p>
            <w:pPr>
              <w:widowControl/>
              <w:tabs>
                <w:tab w:val="center" w:pos="4680"/>
              </w:tabs>
              <w:suppressAutoHyphens/>
              <w:adjustRightInd/>
              <w:spacing w:after="120" w:line="278" w:lineRule="auto"/>
              <w:textAlignment w:val="auto"/>
              <w:rPr>
                <w:sz w:val="20"/>
                <w:lang w:val="en-PH"/>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∑D=_</w:t>
            </w:r>
          </w:p>
        </w:tc>
        <w:tc>
          <w:tcPr>
            <w:tcW w:w="1530" w:type="dxa"/>
            <w:tcBorders>
              <w:top w:val="single" w:color="000000" w:sz="4" w:space="0"/>
              <w:left w:val="single" w:color="000000" w:sz="4" w:space="0"/>
              <w:bottom w:val="single" w:color="000000" w:sz="4" w:space="0"/>
              <w:right w:val="single" w:color="000000" w:sz="4" w:space="0"/>
            </w:tcBorders>
            <w:tcMar>
              <w:top w:w="43" w:type="dxa"/>
              <w:left w:w="43" w:type="dxa"/>
              <w:bottom w:w="43" w:type="dxa"/>
              <w:right w:w="43" w:type="dxa"/>
            </w:tcMar>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r>
              <w:rPr>
                <w:sz w:val="20"/>
                <w:lang w:val="en-PH" w:eastAsia="en-US"/>
              </w:rPr>
              <w:t>. . . . . . . . . . .</w:t>
            </w:r>
          </w:p>
        </w:tc>
        <w:tc>
          <w:tcPr>
            <w:tcW w:w="1525" w:type="dxa"/>
            <w:tcBorders>
              <w:top w:val="single" w:color="000000" w:sz="4" w:space="0"/>
              <w:left w:val="single" w:color="000000" w:sz="4" w:space="0"/>
              <w:bottom w:val="single" w:color="000000" w:sz="4" w:space="0"/>
              <w:right w:val="single" w:color="000000" w:sz="4" w:space="0"/>
            </w:tcBorders>
          </w:tcPr>
          <w:p>
            <w:pPr>
              <w:widowControl/>
              <w:tabs>
                <w:tab w:val="center" w:pos="4680"/>
              </w:tabs>
              <w:suppressAutoHyphens/>
              <w:adjustRightInd/>
              <w:spacing w:after="120" w:line="278" w:lineRule="auto"/>
              <w:textAlignment w:val="auto"/>
              <w:rPr>
                <w:sz w:val="20"/>
                <w:lang w:val="en-PH" w:eastAsia="en-US"/>
              </w:rPr>
            </w:pPr>
          </w:p>
          <w:p>
            <w:pPr>
              <w:widowControl/>
              <w:tabs>
                <w:tab w:val="center" w:pos="4680"/>
              </w:tabs>
              <w:suppressAutoHyphens/>
              <w:adjustRightInd/>
              <w:spacing w:after="120" w:line="278" w:lineRule="auto"/>
              <w:textAlignment w:val="auto"/>
              <w:rPr>
                <w:sz w:val="20"/>
                <w:lang w:val="en-PH" w:eastAsia="en-US"/>
              </w:rPr>
            </w:pPr>
          </w:p>
        </w:tc>
      </w:tr>
    </w:tbl>
    <w:p>
      <w:pPr>
        <w:widowControl/>
        <w:tabs>
          <w:tab w:val="center" w:pos="4680"/>
        </w:tabs>
        <w:suppressAutoHyphens/>
        <w:adjustRightInd/>
        <w:spacing w:after="120" w:line="278" w:lineRule="auto"/>
        <w:textAlignment w:val="auto"/>
        <w:rPr>
          <w:sz w:val="20"/>
          <w:lang w:eastAsia="en-US"/>
        </w:rPr>
      </w:pPr>
    </w:p>
    <w:p>
      <w:pPr>
        <w:widowControl/>
        <w:tabs>
          <w:tab w:val="center" w:pos="4680"/>
        </w:tabs>
        <w:suppressAutoHyphens/>
        <w:adjustRightInd/>
        <w:spacing w:after="120" w:line="278" w:lineRule="auto"/>
        <w:textAlignment w:val="auto"/>
        <w:rPr>
          <w:sz w:val="20"/>
        </w:rPr>
      </w:pPr>
      <w:r>
        <w:rPr>
          <w:sz w:val="20"/>
        </w:rPr>
        <w:t>注：表FIN-2.3.3.3可供投标人用作自我评估工具，也可供</w:t>
      </w:r>
      <w:r>
        <w:rPr>
          <w:rFonts w:hint="eastAsia"/>
          <w:sz w:val="20"/>
        </w:rPr>
        <w:t>业主</w:t>
      </w:r>
      <w:r>
        <w:rPr>
          <w:sz w:val="20"/>
        </w:rPr>
        <w:t>用作评估工作表，以确定</w:t>
      </w:r>
      <w:r>
        <w:rPr>
          <w:rFonts w:hint="eastAsia"/>
          <w:sz w:val="20"/>
        </w:rPr>
        <w:t>投标人</w:t>
      </w:r>
      <w:r>
        <w:rPr>
          <w:sz w:val="20"/>
        </w:rPr>
        <w:t>是否</w:t>
      </w:r>
      <w:r>
        <w:rPr>
          <w:rFonts w:hint="eastAsia"/>
          <w:sz w:val="20"/>
        </w:rPr>
        <w:t>满足第三章“评标和资格标准”第2.3.3款</w:t>
      </w:r>
      <w:r>
        <w:rPr>
          <w:sz w:val="20"/>
        </w:rPr>
        <w:t>规定的财务资源要求。投标人未能提交</w:t>
      </w:r>
      <w:r>
        <w:rPr>
          <w:rFonts w:hint="eastAsia"/>
          <w:sz w:val="20"/>
        </w:rPr>
        <w:t>表FIN-2.3.3.3</w:t>
      </w:r>
      <w:r>
        <w:rPr>
          <w:sz w:val="20"/>
        </w:rPr>
        <w:t>不会导致其投标被拒绝。</w:t>
      </w:r>
    </w:p>
    <w:p>
      <w:pPr>
        <w:pStyle w:val="99"/>
        <w:spacing w:before="120" w:after="120" w:line="240" w:lineRule="atLeast"/>
        <w:ind w:firstLine="422"/>
        <w:rPr>
          <w:rFonts w:ascii="Times New Roman" w:hAnsi="Times New Roman"/>
          <w:color w:val="000000"/>
          <w:sz w:val="21"/>
          <w:szCs w:val="21"/>
          <w:lang w:val="en-US" w:eastAsia="zh-CN"/>
        </w:rPr>
      </w:pPr>
    </w:p>
    <w:p>
      <w:pPr>
        <w:pStyle w:val="99"/>
        <w:spacing w:before="120" w:after="120" w:line="240" w:lineRule="atLeast"/>
        <w:ind w:firstLine="422"/>
        <w:rPr>
          <w:rFonts w:ascii="Times New Roman" w:hAnsi="Times New Roman"/>
          <w:color w:val="000000"/>
          <w:sz w:val="21"/>
          <w:szCs w:val="21"/>
          <w:lang w:val="en-US" w:eastAsia="zh-CN"/>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pPr>
      <w:bookmarkStart w:id="1390" w:name="_Toc169103276"/>
      <w:bookmarkStart w:id="1391" w:name="_Toc170312603"/>
      <w:bookmarkStart w:id="1392" w:name="_Toc171063141"/>
      <w:r>
        <w:t xml:space="preserve">表EXP2.4.1  </w:t>
      </w:r>
      <w:r>
        <w:rPr>
          <w:rFonts w:hint="eastAsia"/>
        </w:rPr>
        <w:t>一般经验</w:t>
      </w:r>
      <w:bookmarkEnd w:id="1390"/>
      <w:bookmarkEnd w:id="1391"/>
      <w:bookmarkEnd w:id="1392"/>
    </w:p>
    <w:p>
      <w:pPr>
        <w:spacing w:before="120" w:after="120" w:line="240" w:lineRule="atLeast"/>
        <w:textAlignment w:val="auto"/>
        <w:rPr>
          <w:color w:val="000000"/>
          <w:szCs w:val="21"/>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投标人法定名称：___________________________　　　　          </w:t>
      </w:r>
      <w:r>
        <w:rPr>
          <w:color w:val="000000"/>
          <w:szCs w:val="21"/>
          <w:lang w:val="es-ES"/>
        </w:rPr>
        <w:t xml:space="preserve">        </w:t>
      </w:r>
      <w:r>
        <w:rPr>
          <w:rFonts w:hint="eastAsia"/>
          <w:color w:val="000000"/>
          <w:szCs w:val="21"/>
          <w:lang w:val="es-ES"/>
        </w:rPr>
        <w:t>日期：__________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联合体成员法定名称：_______________________　　</w:t>
      </w:r>
      <w:r>
        <w:rPr>
          <w:rFonts w:hint="eastAsia"/>
          <w:szCs w:val="21"/>
          <w:lang w:val="es-ES"/>
        </w:rPr>
        <w:t xml:space="preserve"> </w:t>
      </w:r>
      <w:r>
        <w:rPr>
          <w:szCs w:val="21"/>
          <w:lang w:val="es-ES"/>
        </w:rPr>
        <w:t xml:space="preserve">         本次招标</w:t>
      </w:r>
      <w:r>
        <w:rPr>
          <w:rFonts w:hint="eastAsia"/>
          <w:szCs w:val="21"/>
          <w:lang w:val="es-ES"/>
        </w:rPr>
        <w:t>编号</w:t>
      </w:r>
      <w:r>
        <w:rPr>
          <w:rFonts w:hint="eastAsia"/>
          <w:color w:val="000000"/>
          <w:szCs w:val="21"/>
          <w:lang w:val="es-ES"/>
        </w:rPr>
        <w:t>：__________</w:t>
      </w:r>
    </w:p>
    <w:p>
      <w:pPr>
        <w:spacing w:before="120" w:after="120" w:line="240" w:lineRule="atLeast"/>
        <w:ind w:right="34"/>
        <w:jc w:val="left"/>
        <w:rPr>
          <w:color w:val="000000"/>
          <w:szCs w:val="21"/>
        </w:rPr>
      </w:pPr>
      <w:r>
        <w:rPr>
          <w:rFonts w:hint="eastAsia"/>
        </w:rPr>
        <w:t>联合体投标时，每个联合体成员必须单独填写下表。</w:t>
      </w:r>
    </w:p>
    <w:tbl>
      <w:tblPr>
        <w:tblStyle w:val="62"/>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70"/>
        <w:gridCol w:w="47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75"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开始年月</w:t>
            </w:r>
          </w:p>
        </w:tc>
        <w:tc>
          <w:tcPr>
            <w:tcW w:w="1170"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结束年月</w:t>
            </w:r>
          </w:p>
        </w:tc>
        <w:tc>
          <w:tcPr>
            <w:tcW w:w="4770"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所实施的合同</w:t>
            </w:r>
          </w:p>
        </w:tc>
        <w:tc>
          <w:tcPr>
            <w:tcW w:w="1350" w:type="dxa"/>
          </w:tcPr>
          <w:p>
            <w:pPr>
              <w:spacing w:before="120" w:after="120" w:line="240" w:lineRule="atLeast"/>
              <w:jc w:val="center"/>
              <w:textAlignment w:val="auto"/>
              <w:rPr>
                <w:color w:val="000000"/>
                <w:sz w:val="20"/>
                <w:szCs w:val="21"/>
                <w:lang w:val="es-ES"/>
              </w:rPr>
            </w:pPr>
            <w:r>
              <w:rPr>
                <w:rFonts w:hint="eastAsia"/>
                <w:color w:val="000000"/>
                <w:sz w:val="20"/>
                <w:szCs w:val="21"/>
                <w:lang w:val="es-ES"/>
              </w:rPr>
              <w:t>投标人为承包商/分包商/总包商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before="120" w:after="120" w:line="240" w:lineRule="atLeast"/>
              <w:jc w:val="left"/>
              <w:textAlignment w:val="auto"/>
              <w:rPr>
                <w:color w:val="000000"/>
                <w:sz w:val="20"/>
                <w:szCs w:val="21"/>
                <w:lang w:val="es-ES"/>
              </w:rPr>
            </w:pPr>
          </w:p>
        </w:tc>
        <w:tc>
          <w:tcPr>
            <w:tcW w:w="1170" w:type="dxa"/>
          </w:tcPr>
          <w:p>
            <w:pPr>
              <w:spacing w:before="120" w:after="120" w:line="240" w:lineRule="atLeast"/>
              <w:jc w:val="left"/>
              <w:textAlignment w:val="auto"/>
              <w:rPr>
                <w:color w:val="000000"/>
                <w:sz w:val="20"/>
                <w:szCs w:val="21"/>
                <w:lang w:val="es-ES"/>
              </w:rPr>
            </w:pPr>
          </w:p>
        </w:tc>
        <w:tc>
          <w:tcPr>
            <w:tcW w:w="4770" w:type="dxa"/>
          </w:tcPr>
          <w:p>
            <w:pPr>
              <w:spacing w:before="120" w:after="120" w:line="240" w:lineRule="atLeast"/>
              <w:jc w:val="lef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简述投标人完成的工程内容：</w:t>
            </w:r>
            <w:r>
              <w:rPr>
                <w:i/>
                <w:iCs/>
                <w:szCs w:val="21"/>
                <w:lang w:val="es-ES"/>
              </w:rPr>
              <w:t>__________________</w:t>
            </w:r>
          </w:p>
          <w:p>
            <w:pPr>
              <w:spacing w:before="120" w:after="120" w:line="240" w:lineRule="atLeast"/>
              <w:jc w:val="lef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地址：</w:t>
            </w:r>
            <w:r>
              <w:rPr>
                <w:i/>
                <w:iCs/>
                <w:szCs w:val="21"/>
                <w:lang w:val="es-ES"/>
              </w:rPr>
              <w:t xml:space="preserve"> 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联系方式（电话、传真、电子邮箱）：</w:t>
            </w:r>
            <w:r>
              <w:rPr>
                <w:i/>
                <w:iCs/>
                <w:szCs w:val="21"/>
                <w:lang w:val="es-ES"/>
              </w:rPr>
              <w:t>__________</w:t>
            </w:r>
          </w:p>
        </w:tc>
        <w:tc>
          <w:tcPr>
            <w:tcW w:w="1350" w:type="dxa"/>
          </w:tcPr>
          <w:p>
            <w:pPr>
              <w:spacing w:before="120" w:after="120" w:line="240" w:lineRule="atLeast"/>
              <w:jc w:val="lef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before="120" w:after="120" w:line="240" w:lineRule="atLeast"/>
              <w:jc w:val="left"/>
              <w:textAlignment w:val="auto"/>
              <w:rPr>
                <w:color w:val="000000"/>
                <w:sz w:val="20"/>
                <w:szCs w:val="21"/>
                <w:lang w:val="es-ES"/>
              </w:rPr>
            </w:pPr>
          </w:p>
        </w:tc>
        <w:tc>
          <w:tcPr>
            <w:tcW w:w="1170" w:type="dxa"/>
          </w:tcPr>
          <w:p>
            <w:pPr>
              <w:spacing w:before="120" w:after="120" w:line="240" w:lineRule="atLeast"/>
              <w:jc w:val="left"/>
              <w:textAlignment w:val="auto"/>
              <w:rPr>
                <w:color w:val="000000"/>
                <w:sz w:val="20"/>
                <w:szCs w:val="21"/>
                <w:lang w:val="es-ES"/>
              </w:rPr>
            </w:pPr>
          </w:p>
        </w:tc>
        <w:tc>
          <w:tcPr>
            <w:tcW w:w="4770" w:type="dxa"/>
          </w:tcPr>
          <w:p>
            <w:pPr>
              <w:spacing w:before="120" w:after="120" w:line="240" w:lineRule="atLeast"/>
              <w:jc w:val="lef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简述投标人完成的工程内容：</w:t>
            </w:r>
            <w:r>
              <w:rPr>
                <w:i/>
                <w:iCs/>
                <w:szCs w:val="21"/>
                <w:lang w:val="es-ES"/>
              </w:rPr>
              <w:t>__________________</w:t>
            </w:r>
          </w:p>
          <w:p>
            <w:pPr>
              <w:spacing w:before="120" w:after="120" w:line="240" w:lineRule="atLeast"/>
              <w:jc w:val="lef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地址：</w:t>
            </w:r>
            <w:r>
              <w:rPr>
                <w:i/>
                <w:iCs/>
                <w:szCs w:val="21"/>
                <w:lang w:val="es-ES"/>
              </w:rPr>
              <w:t xml:space="preserve"> 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联系方式（电话、传真、电子邮箱）：</w:t>
            </w:r>
            <w:r>
              <w:rPr>
                <w:i/>
                <w:iCs/>
                <w:szCs w:val="21"/>
                <w:lang w:val="es-ES"/>
              </w:rPr>
              <w:t>__________</w:t>
            </w:r>
          </w:p>
        </w:tc>
        <w:tc>
          <w:tcPr>
            <w:tcW w:w="1350" w:type="dxa"/>
          </w:tcPr>
          <w:p>
            <w:pPr>
              <w:spacing w:before="120" w:after="120" w:line="240" w:lineRule="atLeast"/>
              <w:jc w:val="lef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before="120" w:after="120" w:line="240" w:lineRule="atLeast"/>
              <w:jc w:val="left"/>
              <w:textAlignment w:val="auto"/>
              <w:rPr>
                <w:color w:val="000000"/>
                <w:sz w:val="20"/>
                <w:szCs w:val="21"/>
                <w:lang w:val="es-ES"/>
              </w:rPr>
            </w:pPr>
          </w:p>
        </w:tc>
        <w:tc>
          <w:tcPr>
            <w:tcW w:w="1170" w:type="dxa"/>
          </w:tcPr>
          <w:p>
            <w:pPr>
              <w:spacing w:before="120" w:after="120" w:line="240" w:lineRule="atLeast"/>
              <w:jc w:val="left"/>
              <w:textAlignment w:val="auto"/>
              <w:rPr>
                <w:color w:val="000000"/>
                <w:sz w:val="20"/>
                <w:szCs w:val="21"/>
                <w:lang w:val="es-ES"/>
              </w:rPr>
            </w:pPr>
          </w:p>
        </w:tc>
        <w:tc>
          <w:tcPr>
            <w:tcW w:w="4770" w:type="dxa"/>
          </w:tcPr>
          <w:p>
            <w:pPr>
              <w:spacing w:before="120" w:after="120" w:line="240" w:lineRule="atLeast"/>
              <w:jc w:val="lef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简述投标人完成的工程内容：</w:t>
            </w:r>
            <w:r>
              <w:rPr>
                <w:i/>
                <w:iCs/>
                <w:szCs w:val="21"/>
                <w:lang w:val="es-ES"/>
              </w:rPr>
              <w:t>__________________</w:t>
            </w:r>
          </w:p>
          <w:p>
            <w:pPr>
              <w:spacing w:before="120" w:after="120" w:line="240" w:lineRule="atLeast"/>
              <w:jc w:val="lef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地址：</w:t>
            </w:r>
            <w:r>
              <w:rPr>
                <w:i/>
                <w:iCs/>
                <w:szCs w:val="21"/>
                <w:lang w:val="es-ES"/>
              </w:rPr>
              <w:t xml:space="preserve"> 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联系方式（电话、传真、电子邮箱）：</w:t>
            </w:r>
            <w:r>
              <w:rPr>
                <w:i/>
                <w:iCs/>
                <w:szCs w:val="21"/>
                <w:lang w:val="es-ES"/>
              </w:rPr>
              <w:t>__________</w:t>
            </w:r>
          </w:p>
        </w:tc>
        <w:tc>
          <w:tcPr>
            <w:tcW w:w="1350" w:type="dxa"/>
          </w:tcPr>
          <w:p>
            <w:pPr>
              <w:spacing w:before="120" w:after="120" w:line="240" w:lineRule="atLeast"/>
              <w:jc w:val="lef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before="120" w:after="120" w:line="240" w:lineRule="atLeast"/>
              <w:jc w:val="left"/>
              <w:textAlignment w:val="auto"/>
              <w:rPr>
                <w:color w:val="000000"/>
                <w:sz w:val="20"/>
                <w:szCs w:val="21"/>
                <w:lang w:val="es-ES"/>
              </w:rPr>
            </w:pPr>
          </w:p>
        </w:tc>
        <w:tc>
          <w:tcPr>
            <w:tcW w:w="1170" w:type="dxa"/>
          </w:tcPr>
          <w:p>
            <w:pPr>
              <w:spacing w:before="120" w:after="120" w:line="240" w:lineRule="atLeast"/>
              <w:jc w:val="left"/>
              <w:textAlignment w:val="auto"/>
              <w:rPr>
                <w:color w:val="000000"/>
                <w:sz w:val="20"/>
                <w:szCs w:val="21"/>
                <w:lang w:val="es-ES"/>
              </w:rPr>
            </w:pPr>
          </w:p>
        </w:tc>
        <w:tc>
          <w:tcPr>
            <w:tcW w:w="4770" w:type="dxa"/>
          </w:tcPr>
          <w:p>
            <w:pPr>
              <w:spacing w:before="120" w:after="120" w:line="240" w:lineRule="atLeast"/>
              <w:jc w:val="lef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简述投标人完成的工程内容：</w:t>
            </w:r>
            <w:r>
              <w:rPr>
                <w:i/>
                <w:iCs/>
                <w:szCs w:val="21"/>
                <w:lang w:val="es-ES"/>
              </w:rPr>
              <w:t>__________________</w:t>
            </w:r>
          </w:p>
          <w:p>
            <w:pPr>
              <w:spacing w:before="120" w:after="120" w:line="240" w:lineRule="atLeast"/>
              <w:jc w:val="lef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地址：</w:t>
            </w:r>
            <w:r>
              <w:rPr>
                <w:i/>
                <w:iCs/>
                <w:szCs w:val="21"/>
                <w:lang w:val="es-ES"/>
              </w:rPr>
              <w:t xml:space="preserve"> 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联系方式（电话、传真、电子邮箱）：</w:t>
            </w:r>
            <w:r>
              <w:rPr>
                <w:i/>
                <w:iCs/>
                <w:szCs w:val="21"/>
                <w:lang w:val="es-ES"/>
              </w:rPr>
              <w:t>__________</w:t>
            </w:r>
          </w:p>
        </w:tc>
        <w:tc>
          <w:tcPr>
            <w:tcW w:w="1350" w:type="dxa"/>
          </w:tcPr>
          <w:p>
            <w:pPr>
              <w:spacing w:before="120" w:after="120" w:line="240" w:lineRule="atLeast"/>
              <w:jc w:val="lef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before="120" w:after="120" w:line="240" w:lineRule="atLeast"/>
              <w:jc w:val="left"/>
              <w:textAlignment w:val="auto"/>
              <w:rPr>
                <w:color w:val="000000"/>
                <w:sz w:val="20"/>
                <w:szCs w:val="21"/>
                <w:lang w:val="es-ES"/>
              </w:rPr>
            </w:pPr>
          </w:p>
        </w:tc>
        <w:tc>
          <w:tcPr>
            <w:tcW w:w="1170" w:type="dxa"/>
          </w:tcPr>
          <w:p>
            <w:pPr>
              <w:spacing w:before="120" w:after="120" w:line="240" w:lineRule="atLeast"/>
              <w:jc w:val="left"/>
              <w:textAlignment w:val="auto"/>
              <w:rPr>
                <w:color w:val="000000"/>
                <w:sz w:val="20"/>
                <w:szCs w:val="21"/>
                <w:lang w:val="es-ES"/>
              </w:rPr>
            </w:pPr>
          </w:p>
        </w:tc>
        <w:tc>
          <w:tcPr>
            <w:tcW w:w="4770" w:type="dxa"/>
          </w:tcPr>
          <w:p>
            <w:pPr>
              <w:spacing w:before="120" w:after="120" w:line="240" w:lineRule="atLeast"/>
              <w:jc w:val="left"/>
              <w:textAlignment w:val="auto"/>
              <w:rPr>
                <w:color w:val="000000"/>
                <w:sz w:val="20"/>
                <w:szCs w:val="21"/>
                <w:lang w:val="es-ES"/>
              </w:rPr>
            </w:pPr>
            <w:r>
              <w:rPr>
                <w:rFonts w:hint="eastAsia"/>
                <w:color w:val="000000"/>
                <w:sz w:val="20"/>
                <w:szCs w:val="21"/>
                <w:lang w:val="es-ES"/>
              </w:rPr>
              <w:t>合同名称：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简述投标人完成的工程内容：</w:t>
            </w:r>
            <w:r>
              <w:rPr>
                <w:i/>
                <w:iCs/>
                <w:szCs w:val="21"/>
                <w:lang w:val="es-ES"/>
              </w:rPr>
              <w:t>__________________</w:t>
            </w:r>
          </w:p>
          <w:p>
            <w:pPr>
              <w:spacing w:before="120" w:after="120" w:line="240" w:lineRule="atLeast"/>
              <w:jc w:val="left"/>
              <w:textAlignment w:val="auto"/>
              <w:rPr>
                <w:color w:val="000000"/>
                <w:sz w:val="20"/>
                <w:szCs w:val="21"/>
                <w:lang w:val="es-ES"/>
              </w:rPr>
            </w:pPr>
            <w:r>
              <w:rPr>
                <w:rFonts w:hint="eastAsia"/>
                <w:color w:val="000000"/>
                <w:sz w:val="20"/>
                <w:szCs w:val="21"/>
                <w:lang w:val="es-ES"/>
              </w:rPr>
              <w:t>业主名称：</w:t>
            </w:r>
            <w:r>
              <w:rPr>
                <w:i/>
                <w:iCs/>
                <w:szCs w:val="21"/>
                <w:lang w:val="es-ES"/>
              </w:rPr>
              <w:t>_______________________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地址：</w:t>
            </w:r>
            <w:r>
              <w:rPr>
                <w:i/>
                <w:iCs/>
                <w:szCs w:val="21"/>
                <w:lang w:val="es-ES"/>
              </w:rPr>
              <w:t xml:space="preserve"> _______________________</w:t>
            </w:r>
            <w:r>
              <w:rPr>
                <w:iCs/>
                <w:szCs w:val="21"/>
                <w:lang w:val="es-ES"/>
              </w:rPr>
              <w:t>_</w:t>
            </w:r>
            <w:r>
              <w:rPr>
                <w:i/>
                <w:iCs/>
                <w:szCs w:val="21"/>
                <w:lang w:val="es-ES"/>
              </w:rPr>
              <w:t>__</w:t>
            </w:r>
            <w:r>
              <w:rPr>
                <w:iCs/>
                <w:szCs w:val="21"/>
                <w:lang w:val="es-ES"/>
              </w:rPr>
              <w:t>_</w:t>
            </w:r>
          </w:p>
          <w:p>
            <w:pPr>
              <w:spacing w:before="120" w:after="120" w:line="240" w:lineRule="atLeast"/>
              <w:jc w:val="left"/>
              <w:textAlignment w:val="auto"/>
              <w:rPr>
                <w:color w:val="000000"/>
                <w:sz w:val="20"/>
                <w:szCs w:val="21"/>
                <w:lang w:val="es-ES"/>
              </w:rPr>
            </w:pPr>
            <w:r>
              <w:rPr>
                <w:rFonts w:hint="eastAsia"/>
                <w:color w:val="000000"/>
                <w:sz w:val="20"/>
                <w:szCs w:val="21"/>
                <w:lang w:val="es-ES"/>
              </w:rPr>
              <w:t>联系方式（电话、传真、电子邮箱）：</w:t>
            </w:r>
            <w:r>
              <w:rPr>
                <w:i/>
                <w:iCs/>
                <w:szCs w:val="21"/>
                <w:lang w:val="es-ES"/>
              </w:rPr>
              <w:t>__________</w:t>
            </w:r>
          </w:p>
        </w:tc>
        <w:tc>
          <w:tcPr>
            <w:tcW w:w="1350" w:type="dxa"/>
          </w:tcPr>
          <w:p>
            <w:pPr>
              <w:spacing w:before="120" w:after="120" w:line="240" w:lineRule="atLeast"/>
              <w:jc w:val="left"/>
              <w:textAlignment w:val="auto"/>
              <w:rPr>
                <w:color w:val="000000"/>
                <w:sz w:val="20"/>
                <w:szCs w:val="21"/>
                <w:lang w:val="es-ES"/>
              </w:rPr>
            </w:pPr>
          </w:p>
        </w:tc>
      </w:tr>
    </w:tbl>
    <w:p>
      <w:pPr>
        <w:spacing w:before="120" w:after="120" w:line="360" w:lineRule="auto"/>
        <w:ind w:firstLine="422"/>
        <w:jc w:val="center"/>
        <w:textAlignment w:val="auto"/>
        <w:rPr>
          <w:b/>
          <w:color w:val="000000"/>
          <w:szCs w:val="21"/>
          <w:lang w:val="es-ES"/>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pPr>
      <w:bookmarkStart w:id="1393" w:name="_Toc169103277"/>
      <w:bookmarkStart w:id="1394" w:name="_Toc171063142"/>
      <w:bookmarkStart w:id="1395" w:name="_Toc170312604"/>
      <w:r>
        <w:t xml:space="preserve">表EXP2.4.2(1)  </w:t>
      </w:r>
      <w:r>
        <w:rPr>
          <w:rFonts w:hint="eastAsia"/>
        </w:rPr>
        <w:t>特殊经验</w:t>
      </w:r>
      <w:bookmarkEnd w:id="1393"/>
      <w:bookmarkEnd w:id="1394"/>
      <w:bookmarkEnd w:id="1395"/>
    </w:p>
    <w:p>
      <w:pPr>
        <w:spacing w:before="120" w:after="120" w:line="240" w:lineRule="atLeast"/>
        <w:textAlignment w:val="auto"/>
        <w:rPr>
          <w:color w:val="000000"/>
          <w:szCs w:val="21"/>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投标人法定名称：________________________　　　           </w:t>
      </w:r>
      <w:r>
        <w:rPr>
          <w:color w:val="000000"/>
          <w:szCs w:val="21"/>
          <w:lang w:val="es-ES"/>
        </w:rPr>
        <w:t xml:space="preserve">                </w:t>
      </w:r>
      <w:r>
        <w:rPr>
          <w:rFonts w:hint="eastAsia"/>
          <w:color w:val="000000"/>
          <w:szCs w:val="21"/>
          <w:lang w:val="es-ES"/>
        </w:rPr>
        <w:t>　日期：___________</w:t>
      </w:r>
    </w:p>
    <w:p>
      <w:pPr>
        <w:spacing w:before="120" w:after="120" w:line="240" w:lineRule="atLeast"/>
        <w:textAlignment w:val="auto"/>
        <w:rPr>
          <w:color w:val="000000"/>
          <w:szCs w:val="21"/>
          <w:lang w:val="es-ES"/>
        </w:rPr>
      </w:pPr>
      <w:r>
        <w:rPr>
          <w:rFonts w:hint="eastAsia"/>
          <w:color w:val="000000"/>
          <w:szCs w:val="21"/>
          <w:lang w:val="es-ES"/>
        </w:rPr>
        <w:t>联合体成员法定名称：____________________</w:t>
      </w:r>
      <w:r>
        <w:rPr>
          <w:color w:val="000000"/>
          <w:szCs w:val="21"/>
          <w:lang w:val="es-ES"/>
        </w:rPr>
        <w:t xml:space="preserve">    </w:t>
      </w:r>
      <w:r>
        <w:rPr>
          <w:rFonts w:hint="eastAsia"/>
          <w:color w:val="000000"/>
          <w:szCs w:val="21"/>
          <w:lang w:val="es-ES"/>
        </w:rPr>
        <w:t xml:space="preserve">　　 </w:t>
      </w:r>
      <w:r>
        <w:rPr>
          <w:color w:val="000000"/>
          <w:szCs w:val="21"/>
          <w:lang w:val="es-ES"/>
        </w:rPr>
        <w:t xml:space="preserve">              </w:t>
      </w:r>
      <w:r>
        <w:rPr>
          <w:szCs w:val="21"/>
          <w:lang w:val="es-ES"/>
        </w:rPr>
        <w:t>本次招标</w:t>
      </w:r>
      <w:r>
        <w:rPr>
          <w:rFonts w:hint="eastAsia"/>
          <w:szCs w:val="21"/>
          <w:lang w:val="es-ES"/>
        </w:rPr>
        <w:t>编号</w:t>
      </w:r>
      <w:r>
        <w:rPr>
          <w:rFonts w:hint="eastAsia"/>
          <w:color w:val="000000"/>
          <w:szCs w:val="21"/>
          <w:lang w:val="es-ES"/>
        </w:rPr>
        <w:t>：___________</w:t>
      </w:r>
    </w:p>
    <w:p>
      <w:pPr>
        <w:spacing w:before="120" w:after="120" w:line="240" w:lineRule="atLeast"/>
        <w:ind w:right="34"/>
        <w:jc w:val="left"/>
        <w:rPr>
          <w:color w:val="000000"/>
          <w:szCs w:val="21"/>
        </w:rPr>
      </w:pPr>
      <w:r>
        <w:rPr>
          <w:rFonts w:hint="eastAsia"/>
        </w:rPr>
        <w:t>联合体投标时，每个联合体成员必须单独填写下表。</w:t>
      </w:r>
    </w:p>
    <w:tbl>
      <w:tblPr>
        <w:tblStyle w:val="6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2160"/>
        <w:gridCol w:w="180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b/>
                <w:color w:val="000000"/>
                <w:sz w:val="20"/>
                <w:szCs w:val="21"/>
                <w:lang w:val="es-ES"/>
              </w:rPr>
            </w:pPr>
            <w:r>
              <w:rPr>
                <w:rFonts w:hint="eastAsia"/>
                <w:b/>
                <w:color w:val="000000"/>
                <w:sz w:val="20"/>
                <w:szCs w:val="21"/>
                <w:lang w:val="es-ES"/>
              </w:rPr>
              <w:t>招标文件要求_________个类似业绩合同。该表为本投标人提供的第_________个类似业绩合同。</w:t>
            </w:r>
          </w:p>
        </w:tc>
        <w:tc>
          <w:tcPr>
            <w:tcW w:w="5518" w:type="dxa"/>
            <w:gridSpan w:val="3"/>
            <w:vAlign w:val="center"/>
          </w:tcPr>
          <w:p>
            <w:pPr>
              <w:spacing w:before="120" w:after="120" w:line="240" w:lineRule="atLeast"/>
              <w:jc w:val="center"/>
              <w:textAlignment w:val="auto"/>
              <w:rPr>
                <w:b/>
                <w:color w:val="000000"/>
                <w:sz w:val="20"/>
                <w:szCs w:val="21"/>
                <w:lang w:val="es-ES"/>
              </w:rPr>
            </w:pPr>
            <w:r>
              <w:rPr>
                <w:rFonts w:hint="eastAsia"/>
                <w:b/>
                <w:color w:val="000000"/>
                <w:sz w:val="20"/>
                <w:szCs w:val="21"/>
                <w:lang w:val="es-ES"/>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p>
        </w:tc>
        <w:tc>
          <w:tcPr>
            <w:tcW w:w="5518" w:type="dxa"/>
            <w:gridSpan w:val="3"/>
            <w:vAlign w:val="center"/>
          </w:tcPr>
          <w:p>
            <w:pPr>
              <w:spacing w:before="120" w:after="120" w:line="240" w:lineRule="atLeast"/>
              <w:textAlignment w:val="auto"/>
              <w:rPr>
                <w:b/>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授予合同时间</w:t>
            </w:r>
          </w:p>
          <w:p>
            <w:pPr>
              <w:spacing w:before="120" w:after="120" w:line="240" w:lineRule="atLeast"/>
              <w:textAlignment w:val="auto"/>
              <w:rPr>
                <w:color w:val="000000"/>
                <w:sz w:val="20"/>
                <w:szCs w:val="21"/>
                <w:lang w:val="es-ES"/>
              </w:rPr>
            </w:pPr>
            <w:r>
              <w:rPr>
                <w:rFonts w:hint="eastAsia"/>
                <w:color w:val="000000"/>
                <w:sz w:val="20"/>
                <w:szCs w:val="21"/>
                <w:lang w:val="es-ES"/>
              </w:rPr>
              <w:t>完成合同时间</w:t>
            </w:r>
          </w:p>
        </w:tc>
        <w:tc>
          <w:tcPr>
            <w:tcW w:w="5518" w:type="dxa"/>
            <w:gridSpan w:val="3"/>
            <w:vAlign w:val="center"/>
          </w:tcPr>
          <w:p>
            <w:pPr>
              <w:spacing w:before="120" w:after="120" w:line="240" w:lineRule="atLeast"/>
              <w:textAlignment w:val="auto"/>
              <w:rPr>
                <w:b/>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投标人在合同中的角色</w:t>
            </w:r>
          </w:p>
        </w:tc>
        <w:tc>
          <w:tcPr>
            <w:tcW w:w="2160" w:type="dxa"/>
            <w:vAlign w:val="center"/>
          </w:tcPr>
          <w:p>
            <w:pPr>
              <w:spacing w:before="120" w:after="120" w:line="240" w:lineRule="atLeast"/>
              <w:jc w:val="center"/>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承包商</w:t>
            </w:r>
          </w:p>
        </w:tc>
        <w:tc>
          <w:tcPr>
            <w:tcW w:w="1800" w:type="dxa"/>
            <w:vAlign w:val="center"/>
          </w:tcPr>
          <w:p>
            <w:pPr>
              <w:spacing w:before="120" w:after="120" w:line="240" w:lineRule="atLeast"/>
              <w:jc w:val="center"/>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联合体成员</w:t>
            </w:r>
          </w:p>
        </w:tc>
        <w:tc>
          <w:tcPr>
            <w:tcW w:w="1558" w:type="dxa"/>
            <w:vAlign w:val="center"/>
          </w:tcPr>
          <w:p>
            <w:pPr>
              <w:spacing w:before="120" w:after="120" w:line="240" w:lineRule="atLeast"/>
              <w:jc w:val="center"/>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分包商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合同总额</w:t>
            </w:r>
          </w:p>
        </w:tc>
        <w:tc>
          <w:tcPr>
            <w:tcW w:w="3960" w:type="dxa"/>
            <w:gridSpan w:val="2"/>
            <w:vAlign w:val="center"/>
          </w:tcPr>
          <w:p>
            <w:pPr>
              <w:spacing w:before="120" w:after="120" w:line="240" w:lineRule="atLeast"/>
              <w:textAlignment w:val="auto"/>
              <w:rPr>
                <w:color w:val="000000"/>
                <w:sz w:val="20"/>
                <w:szCs w:val="21"/>
                <w:lang w:val="es-ES"/>
              </w:rPr>
            </w:pPr>
          </w:p>
        </w:tc>
        <w:tc>
          <w:tcPr>
            <w:tcW w:w="1558"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如果是联合体中成员或分包商，具体说明参与的合同金额</w:t>
            </w:r>
          </w:p>
        </w:tc>
        <w:tc>
          <w:tcPr>
            <w:tcW w:w="3960" w:type="dxa"/>
            <w:gridSpan w:val="2"/>
            <w:vAlign w:val="center"/>
          </w:tcPr>
          <w:p>
            <w:pPr>
              <w:spacing w:before="120" w:after="120" w:line="240" w:lineRule="atLeast"/>
              <w:textAlignment w:val="auto"/>
              <w:rPr>
                <w:color w:val="000000"/>
                <w:sz w:val="20"/>
                <w:szCs w:val="21"/>
                <w:lang w:val="es-ES"/>
              </w:rPr>
            </w:pPr>
          </w:p>
        </w:tc>
        <w:tc>
          <w:tcPr>
            <w:tcW w:w="1558"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业主名称</w:t>
            </w:r>
          </w:p>
        </w:tc>
        <w:tc>
          <w:tcPr>
            <w:tcW w:w="5518"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地址</w:t>
            </w:r>
          </w:p>
          <w:p>
            <w:pPr>
              <w:spacing w:before="120" w:after="120" w:line="240" w:lineRule="atLeast"/>
              <w:textAlignment w:val="auto"/>
              <w:rPr>
                <w:color w:val="000000"/>
                <w:sz w:val="20"/>
                <w:szCs w:val="21"/>
                <w:lang w:val="es-ES"/>
              </w:rPr>
            </w:pPr>
            <w:r>
              <w:rPr>
                <w:rFonts w:hint="eastAsia"/>
                <w:color w:val="000000"/>
                <w:sz w:val="20"/>
                <w:szCs w:val="21"/>
                <w:lang w:val="es-ES"/>
              </w:rPr>
              <w:t>联系人</w:t>
            </w:r>
          </w:p>
          <w:p>
            <w:pPr>
              <w:spacing w:before="120" w:after="120" w:line="240" w:lineRule="atLeast"/>
              <w:textAlignment w:val="auto"/>
              <w:rPr>
                <w:color w:val="000000"/>
                <w:sz w:val="20"/>
                <w:szCs w:val="21"/>
                <w:lang w:val="es-ES"/>
              </w:rPr>
            </w:pPr>
            <w:r>
              <w:rPr>
                <w:rFonts w:hint="eastAsia"/>
                <w:color w:val="000000"/>
                <w:sz w:val="20"/>
                <w:szCs w:val="21"/>
                <w:lang w:val="es-ES"/>
              </w:rPr>
              <w:t>电话/传真</w:t>
            </w:r>
          </w:p>
          <w:p>
            <w:pPr>
              <w:spacing w:before="120" w:after="120" w:line="240" w:lineRule="atLeast"/>
              <w:textAlignment w:val="auto"/>
              <w:rPr>
                <w:color w:val="000000"/>
                <w:sz w:val="20"/>
                <w:szCs w:val="21"/>
                <w:lang w:val="es-ES"/>
              </w:rPr>
            </w:pPr>
            <w:r>
              <w:rPr>
                <w:rFonts w:hint="eastAsia"/>
                <w:color w:val="000000"/>
                <w:sz w:val="20"/>
                <w:szCs w:val="21"/>
                <w:lang w:val="es-ES"/>
              </w:rPr>
              <w:t>电子邮件地址</w:t>
            </w:r>
          </w:p>
        </w:tc>
        <w:tc>
          <w:tcPr>
            <w:tcW w:w="5518"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3" w:type="dxa"/>
            <w:gridSpan w:val="4"/>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根据第三章子因素</w:t>
            </w:r>
            <w:r>
              <w:rPr>
                <w:color w:val="000000"/>
                <w:sz w:val="20"/>
                <w:szCs w:val="21"/>
                <w:lang w:val="es-ES"/>
              </w:rPr>
              <w:t>2.4.2</w:t>
            </w:r>
            <w:r>
              <w:rPr>
                <w:rFonts w:hint="eastAsia"/>
                <w:color w:val="000000"/>
                <w:sz w:val="20"/>
                <w:szCs w:val="21"/>
                <w:lang w:val="es-ES"/>
              </w:rPr>
              <w:t>（1），对相似性进行描述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工程规模</w:t>
            </w:r>
          </w:p>
        </w:tc>
        <w:tc>
          <w:tcPr>
            <w:tcW w:w="5518"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复杂性</w:t>
            </w:r>
          </w:p>
        </w:tc>
        <w:tc>
          <w:tcPr>
            <w:tcW w:w="5518"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施工方法/工艺</w:t>
            </w:r>
          </w:p>
        </w:tc>
        <w:tc>
          <w:tcPr>
            <w:tcW w:w="5518"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实际施工强度</w:t>
            </w:r>
          </w:p>
        </w:tc>
        <w:tc>
          <w:tcPr>
            <w:tcW w:w="5518" w:type="dxa"/>
            <w:gridSpan w:val="3"/>
            <w:vAlign w:val="center"/>
          </w:tcPr>
          <w:p>
            <w:pPr>
              <w:spacing w:before="120" w:after="120" w:line="240" w:lineRule="atLeast"/>
              <w:textAlignment w:val="auto"/>
              <w:rPr>
                <w:color w:val="000000"/>
                <w:sz w:val="20"/>
                <w:szCs w:val="21"/>
                <w:lang w:val="es-ES"/>
              </w:rPr>
            </w:pPr>
          </w:p>
        </w:tc>
      </w:tr>
    </w:tbl>
    <w:p>
      <w:pPr>
        <w:tabs>
          <w:tab w:val="left" w:pos="352"/>
          <w:tab w:val="center" w:pos="4156"/>
        </w:tabs>
        <w:spacing w:before="120" w:after="120" w:line="360" w:lineRule="auto"/>
        <w:jc w:val="left"/>
        <w:textAlignment w:val="auto"/>
        <w:rPr>
          <w:color w:val="000000"/>
          <w:szCs w:val="21"/>
          <w:lang w:val="es-ES"/>
        </w:rPr>
      </w:pPr>
      <w:r>
        <w:rPr>
          <w:color w:val="000000"/>
          <w:szCs w:val="21"/>
          <w:lang w:val="es-ES"/>
        </w:rPr>
        <w:tab/>
      </w:r>
    </w:p>
    <w:p>
      <w:pPr>
        <w:textAlignment w:val="auto"/>
        <w:rPr>
          <w:szCs w:val="21"/>
          <w:lang w:val="es-ES"/>
        </w:rPr>
      </w:pPr>
    </w:p>
    <w:p>
      <w:pPr>
        <w:textAlignment w:val="auto"/>
        <w:rPr>
          <w:szCs w:val="21"/>
          <w:lang w:val="es-ES"/>
        </w:rPr>
      </w:pPr>
    </w:p>
    <w:p>
      <w:pPr>
        <w:textAlignment w:val="auto"/>
        <w:rPr>
          <w:szCs w:val="21"/>
          <w:lang w:val="es-ES"/>
        </w:rPr>
        <w:sectPr>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widowControl/>
        <w:adjustRightInd/>
        <w:spacing w:line="240" w:lineRule="auto"/>
        <w:jc w:val="left"/>
        <w:textAlignment w:val="auto"/>
        <w:rPr>
          <w:b/>
          <w:sz w:val="24"/>
          <w:szCs w:val="24"/>
          <w:lang w:val="zh-CN" w:eastAsia="zh-CN"/>
        </w:rPr>
      </w:pPr>
      <w:r>
        <w:br w:type="page"/>
      </w:r>
    </w:p>
    <w:p>
      <w:pPr>
        <w:pStyle w:val="4"/>
      </w:pPr>
      <w:bookmarkStart w:id="1396" w:name="_Toc171063143"/>
      <w:bookmarkStart w:id="1397" w:name="_Toc169103278"/>
      <w:bookmarkStart w:id="1398" w:name="_Toc170312605"/>
      <w:r>
        <w:t xml:space="preserve">表EXP2.4.2(2)  </w:t>
      </w:r>
      <w:r>
        <w:rPr>
          <w:rFonts w:hint="eastAsia"/>
        </w:rPr>
        <w:t>关键活动中的特殊经验</w:t>
      </w:r>
      <w:bookmarkEnd w:id="1396"/>
      <w:bookmarkEnd w:id="1397"/>
      <w:bookmarkEnd w:id="1398"/>
    </w:p>
    <w:p>
      <w:pPr>
        <w:spacing w:before="120" w:after="120" w:line="240" w:lineRule="atLeast"/>
        <w:textAlignment w:val="auto"/>
        <w:rPr>
          <w:color w:val="000000"/>
          <w:szCs w:val="21"/>
          <w:lang w:val="es-ES"/>
        </w:rPr>
      </w:pPr>
    </w:p>
    <w:p>
      <w:pPr>
        <w:spacing w:before="120" w:after="120" w:line="240" w:lineRule="atLeast"/>
        <w:textAlignment w:val="auto"/>
        <w:rPr>
          <w:color w:val="000000"/>
          <w:szCs w:val="21"/>
          <w:lang w:val="es-ES"/>
        </w:rPr>
      </w:pPr>
      <w:r>
        <w:rPr>
          <w:rFonts w:hint="eastAsia"/>
          <w:color w:val="000000"/>
          <w:szCs w:val="21"/>
          <w:lang w:val="es-ES"/>
        </w:rPr>
        <w:t xml:space="preserve">投标人法定名称：_______________________　　　　       </w:t>
      </w:r>
      <w:r>
        <w:rPr>
          <w:color w:val="000000"/>
          <w:szCs w:val="21"/>
          <w:lang w:val="es-ES"/>
        </w:rPr>
        <w:t xml:space="preserve">    </w:t>
      </w:r>
      <w:r>
        <w:rPr>
          <w:rFonts w:hint="eastAsia"/>
          <w:color w:val="000000"/>
          <w:szCs w:val="21"/>
          <w:lang w:val="es-ES"/>
        </w:rPr>
        <w:t xml:space="preserve">      </w:t>
      </w:r>
      <w:r>
        <w:rPr>
          <w:color w:val="000000"/>
          <w:szCs w:val="21"/>
          <w:lang w:val="es-ES"/>
        </w:rPr>
        <w:t xml:space="preserve">          </w:t>
      </w:r>
      <w:r>
        <w:rPr>
          <w:rFonts w:hint="eastAsia"/>
          <w:color w:val="000000"/>
          <w:szCs w:val="21"/>
          <w:lang w:val="es-ES"/>
        </w:rPr>
        <w:t xml:space="preserve"> </w:t>
      </w:r>
      <w:r>
        <w:rPr>
          <w:color w:val="000000"/>
          <w:szCs w:val="21"/>
          <w:lang w:val="es-ES"/>
        </w:rPr>
        <w:t xml:space="preserve">   </w:t>
      </w:r>
      <w:r>
        <w:rPr>
          <w:rFonts w:hint="eastAsia"/>
          <w:color w:val="000000"/>
          <w:szCs w:val="21"/>
          <w:lang w:val="es-ES"/>
        </w:rPr>
        <w:t>日期：_______________</w:t>
      </w:r>
    </w:p>
    <w:p>
      <w:pPr>
        <w:spacing w:before="120" w:after="120" w:line="240" w:lineRule="atLeast"/>
        <w:textAlignment w:val="auto"/>
        <w:rPr>
          <w:color w:val="000000"/>
          <w:szCs w:val="21"/>
          <w:lang w:val="es-ES"/>
        </w:rPr>
      </w:pPr>
      <w:r>
        <w:rPr>
          <w:rFonts w:hint="eastAsia"/>
          <w:color w:val="000000"/>
          <w:szCs w:val="21"/>
          <w:lang w:val="es-ES"/>
        </w:rPr>
        <w:t xml:space="preserve">联合体成员法定名称：____________________　　    </w:t>
      </w:r>
      <w:r>
        <w:rPr>
          <w:color w:val="000000"/>
          <w:szCs w:val="21"/>
          <w:lang w:val="es-ES"/>
        </w:rPr>
        <w:t xml:space="preserve">                       </w:t>
      </w:r>
      <w:r>
        <w:rPr>
          <w:szCs w:val="21"/>
          <w:lang w:val="es-ES"/>
        </w:rPr>
        <w:t>本次招标</w:t>
      </w:r>
      <w:r>
        <w:rPr>
          <w:rFonts w:hint="eastAsia"/>
          <w:szCs w:val="21"/>
          <w:lang w:val="es-ES"/>
        </w:rPr>
        <w:t>编号</w:t>
      </w:r>
      <w:r>
        <w:rPr>
          <w:rFonts w:hint="eastAsia"/>
          <w:color w:val="000000"/>
          <w:szCs w:val="21"/>
          <w:lang w:val="es-ES"/>
        </w:rPr>
        <w:t>：________________</w:t>
      </w:r>
    </w:p>
    <w:p>
      <w:pPr>
        <w:spacing w:before="120" w:after="120" w:line="240" w:lineRule="atLeast"/>
        <w:textAlignment w:val="auto"/>
        <w:rPr>
          <w:color w:val="000000"/>
          <w:szCs w:val="21"/>
          <w:lang w:val="es-ES"/>
        </w:rPr>
      </w:pPr>
      <w:r>
        <w:rPr>
          <w:rFonts w:hint="eastAsia"/>
          <w:color w:val="000000"/>
          <w:szCs w:val="21"/>
          <w:lang w:val="es-ES"/>
        </w:rPr>
        <w:t>分包商的法定名称：_____________________</w:t>
      </w:r>
    </w:p>
    <w:tbl>
      <w:tblPr>
        <w:tblStyle w:val="6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07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b/>
                <w:color w:val="000000"/>
                <w:sz w:val="20"/>
                <w:szCs w:val="21"/>
                <w:lang w:val="es-ES"/>
              </w:rPr>
            </w:pPr>
          </w:p>
        </w:tc>
        <w:tc>
          <w:tcPr>
            <w:tcW w:w="5310" w:type="dxa"/>
            <w:gridSpan w:val="3"/>
            <w:vAlign w:val="center"/>
          </w:tcPr>
          <w:p>
            <w:pPr>
              <w:spacing w:before="120" w:after="120" w:line="240" w:lineRule="atLeast"/>
              <w:jc w:val="center"/>
              <w:textAlignment w:val="auto"/>
              <w:rPr>
                <w:b/>
                <w:color w:val="000000"/>
                <w:sz w:val="20"/>
                <w:szCs w:val="21"/>
                <w:lang w:val="es-ES"/>
              </w:rPr>
            </w:pPr>
            <w:r>
              <w:rPr>
                <w:rFonts w:hint="eastAsia"/>
                <w:b/>
                <w:color w:val="000000"/>
                <w:sz w:val="20"/>
                <w:szCs w:val="21"/>
                <w:lang w:val="es-ES"/>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合同名称</w:t>
            </w:r>
          </w:p>
        </w:tc>
        <w:tc>
          <w:tcPr>
            <w:tcW w:w="5310" w:type="dxa"/>
            <w:gridSpan w:val="3"/>
            <w:vAlign w:val="center"/>
          </w:tcPr>
          <w:p>
            <w:pPr>
              <w:spacing w:before="120" w:after="120" w:line="240" w:lineRule="atLeast"/>
              <w:textAlignment w:val="auto"/>
              <w:rPr>
                <w:b/>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授予合同时间</w:t>
            </w:r>
          </w:p>
          <w:p>
            <w:pPr>
              <w:spacing w:before="120" w:after="120" w:line="240" w:lineRule="atLeast"/>
              <w:textAlignment w:val="auto"/>
              <w:rPr>
                <w:color w:val="000000"/>
                <w:sz w:val="20"/>
                <w:szCs w:val="21"/>
                <w:lang w:val="es-ES"/>
              </w:rPr>
            </w:pPr>
            <w:r>
              <w:rPr>
                <w:rFonts w:hint="eastAsia"/>
                <w:color w:val="000000"/>
                <w:sz w:val="20"/>
                <w:szCs w:val="21"/>
                <w:lang w:val="es-ES"/>
              </w:rPr>
              <w:t>完成合同时间</w:t>
            </w:r>
          </w:p>
        </w:tc>
        <w:tc>
          <w:tcPr>
            <w:tcW w:w="5310" w:type="dxa"/>
            <w:gridSpan w:val="3"/>
            <w:vAlign w:val="center"/>
          </w:tcPr>
          <w:p>
            <w:pPr>
              <w:spacing w:before="120" w:after="120" w:line="240" w:lineRule="atLeast"/>
              <w:textAlignment w:val="auto"/>
              <w:rPr>
                <w:b/>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投标人在合同中的角色</w:t>
            </w:r>
          </w:p>
        </w:tc>
        <w:tc>
          <w:tcPr>
            <w:tcW w:w="2070"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承包商</w:t>
            </w:r>
          </w:p>
        </w:tc>
        <w:tc>
          <w:tcPr>
            <w:tcW w:w="1800"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联合体成员</w:t>
            </w:r>
          </w:p>
        </w:tc>
        <w:tc>
          <w:tcPr>
            <w:tcW w:w="1440"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sym w:font="Wingdings" w:char="F06F"/>
            </w:r>
            <w:r>
              <w:rPr>
                <w:rFonts w:hint="eastAsia"/>
                <w:color w:val="000000"/>
                <w:sz w:val="20"/>
                <w:szCs w:val="21"/>
                <w:lang w:val="es-ES"/>
              </w:rPr>
              <w:t>分包商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合同总额</w:t>
            </w:r>
          </w:p>
        </w:tc>
        <w:tc>
          <w:tcPr>
            <w:tcW w:w="3870" w:type="dxa"/>
            <w:gridSpan w:val="2"/>
            <w:vAlign w:val="center"/>
          </w:tcPr>
          <w:p>
            <w:pPr>
              <w:spacing w:before="120" w:after="120" w:line="240" w:lineRule="atLeast"/>
              <w:textAlignment w:val="auto"/>
              <w:rPr>
                <w:color w:val="000000"/>
                <w:sz w:val="20"/>
                <w:szCs w:val="21"/>
                <w:lang w:val="es-ES"/>
              </w:rPr>
            </w:pPr>
          </w:p>
        </w:tc>
        <w:tc>
          <w:tcPr>
            <w:tcW w:w="1440"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如果是联合体中成员或分包商，具体说明参与的合同金额</w:t>
            </w:r>
          </w:p>
        </w:tc>
        <w:tc>
          <w:tcPr>
            <w:tcW w:w="3870" w:type="dxa"/>
            <w:gridSpan w:val="2"/>
            <w:vAlign w:val="center"/>
          </w:tcPr>
          <w:p>
            <w:pPr>
              <w:spacing w:before="120" w:after="120" w:line="240" w:lineRule="atLeast"/>
              <w:textAlignment w:val="auto"/>
              <w:rPr>
                <w:color w:val="000000"/>
                <w:sz w:val="20"/>
                <w:szCs w:val="21"/>
                <w:lang w:val="es-ES"/>
              </w:rPr>
            </w:pPr>
          </w:p>
        </w:tc>
        <w:tc>
          <w:tcPr>
            <w:tcW w:w="1440"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业主名称</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textAlignment w:val="auto"/>
              <w:rPr>
                <w:color w:val="000000"/>
                <w:sz w:val="20"/>
                <w:szCs w:val="21"/>
                <w:lang w:val="es-ES"/>
              </w:rPr>
            </w:pPr>
            <w:r>
              <w:rPr>
                <w:rFonts w:hint="eastAsia"/>
                <w:color w:val="000000"/>
                <w:sz w:val="20"/>
                <w:szCs w:val="21"/>
                <w:lang w:val="es-ES"/>
              </w:rPr>
              <w:t>地址</w:t>
            </w:r>
          </w:p>
          <w:p>
            <w:pPr>
              <w:spacing w:before="120" w:after="120" w:line="240" w:lineRule="atLeast"/>
              <w:textAlignment w:val="auto"/>
              <w:rPr>
                <w:color w:val="000000"/>
                <w:sz w:val="20"/>
                <w:szCs w:val="21"/>
                <w:lang w:val="es-ES"/>
              </w:rPr>
            </w:pPr>
            <w:r>
              <w:rPr>
                <w:rFonts w:hint="eastAsia"/>
                <w:color w:val="000000"/>
                <w:sz w:val="20"/>
                <w:szCs w:val="21"/>
                <w:lang w:val="es-ES"/>
              </w:rPr>
              <w:t>联系人</w:t>
            </w:r>
          </w:p>
          <w:p>
            <w:pPr>
              <w:spacing w:before="120" w:after="120" w:line="240" w:lineRule="atLeast"/>
              <w:textAlignment w:val="auto"/>
              <w:rPr>
                <w:color w:val="000000"/>
                <w:sz w:val="20"/>
                <w:szCs w:val="21"/>
                <w:lang w:val="es-ES"/>
              </w:rPr>
            </w:pPr>
            <w:r>
              <w:rPr>
                <w:rFonts w:hint="eastAsia"/>
                <w:color w:val="000000"/>
                <w:sz w:val="20"/>
                <w:szCs w:val="21"/>
                <w:lang w:val="es-ES"/>
              </w:rPr>
              <w:t>电话/传真</w:t>
            </w:r>
          </w:p>
          <w:p>
            <w:pPr>
              <w:spacing w:before="120" w:after="120" w:line="240" w:lineRule="atLeast"/>
              <w:textAlignment w:val="auto"/>
              <w:rPr>
                <w:color w:val="000000"/>
                <w:sz w:val="20"/>
                <w:szCs w:val="21"/>
                <w:lang w:val="es-ES"/>
              </w:rPr>
            </w:pPr>
            <w:r>
              <w:rPr>
                <w:rFonts w:hint="eastAsia"/>
                <w:color w:val="000000"/>
                <w:sz w:val="20"/>
                <w:szCs w:val="21"/>
                <w:lang w:val="es-ES"/>
              </w:rPr>
              <w:t>电子邮件地址</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jc w:val="left"/>
              <w:textAlignment w:val="auto"/>
              <w:rPr>
                <w:color w:val="000000"/>
                <w:sz w:val="20"/>
                <w:szCs w:val="21"/>
                <w:lang w:val="es-ES"/>
              </w:rPr>
            </w:pPr>
            <w:r>
              <w:rPr>
                <w:rFonts w:hint="eastAsia"/>
                <w:color w:val="000000"/>
                <w:sz w:val="20"/>
                <w:szCs w:val="21"/>
                <w:lang w:val="es-ES"/>
              </w:rPr>
              <w:t>根据第三章中子因素</w:t>
            </w:r>
            <w:r>
              <w:rPr>
                <w:color w:val="000000"/>
                <w:sz w:val="20"/>
                <w:szCs w:val="21"/>
                <w:lang w:val="es-ES"/>
              </w:rPr>
              <w:t>2.4.2(</w:t>
            </w:r>
            <w:r>
              <w:rPr>
                <w:rFonts w:hint="eastAsia"/>
                <w:color w:val="000000"/>
                <w:sz w:val="20"/>
                <w:szCs w:val="21"/>
                <w:lang w:val="es-ES"/>
              </w:rPr>
              <w:t>2</w:t>
            </w:r>
            <w:r>
              <w:rPr>
                <w:color w:val="000000"/>
                <w:sz w:val="20"/>
                <w:szCs w:val="21"/>
                <w:lang w:val="es-ES"/>
              </w:rPr>
              <w:t>)</w:t>
            </w:r>
            <w:r>
              <w:rPr>
                <w:rFonts w:hint="eastAsia"/>
                <w:color w:val="000000"/>
                <w:sz w:val="20"/>
                <w:szCs w:val="21"/>
                <w:lang w:val="es-ES"/>
              </w:rPr>
              <w:t>，对关键工程进行描述</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工程规模</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复杂性</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施工方法/工艺</w:t>
            </w:r>
          </w:p>
        </w:tc>
        <w:tc>
          <w:tcPr>
            <w:tcW w:w="5310" w:type="dxa"/>
            <w:gridSpan w:val="3"/>
            <w:vAlign w:val="center"/>
          </w:tcPr>
          <w:p>
            <w:pPr>
              <w:spacing w:before="120" w:after="120" w:line="240" w:lineRule="atLeast"/>
              <w:textAlignment w:val="auto"/>
              <w:rPr>
                <w:color w:val="000000"/>
                <w:sz w:val="20"/>
                <w:szCs w:val="21"/>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center"/>
          </w:tcPr>
          <w:p>
            <w:pPr>
              <w:spacing w:before="120" w:after="120" w:line="240" w:lineRule="atLeast"/>
              <w:ind w:left="210" w:leftChars="100"/>
              <w:textAlignment w:val="auto"/>
              <w:rPr>
                <w:color w:val="000000"/>
                <w:sz w:val="20"/>
                <w:szCs w:val="21"/>
                <w:lang w:val="es-ES"/>
              </w:rPr>
            </w:pPr>
            <w:r>
              <w:rPr>
                <w:rFonts w:hint="eastAsia"/>
                <w:color w:val="000000"/>
                <w:sz w:val="20"/>
                <w:szCs w:val="21"/>
                <w:lang w:val="es-ES"/>
              </w:rPr>
              <w:t>实际施工强度</w:t>
            </w:r>
          </w:p>
        </w:tc>
        <w:tc>
          <w:tcPr>
            <w:tcW w:w="5310" w:type="dxa"/>
            <w:gridSpan w:val="3"/>
            <w:vAlign w:val="center"/>
          </w:tcPr>
          <w:p>
            <w:pPr>
              <w:spacing w:before="120" w:after="120" w:line="240" w:lineRule="atLeast"/>
              <w:textAlignment w:val="auto"/>
              <w:rPr>
                <w:color w:val="000000"/>
                <w:sz w:val="20"/>
                <w:szCs w:val="21"/>
                <w:lang w:val="es-ES"/>
              </w:rPr>
            </w:pPr>
          </w:p>
        </w:tc>
      </w:tr>
    </w:tbl>
    <w:p>
      <w:pPr>
        <w:rPr>
          <w:lang w:val="es-ES"/>
        </w:rPr>
      </w:pPr>
      <w:bookmarkStart w:id="1399" w:name="_Toc128391461"/>
      <w:bookmarkStart w:id="1400" w:name="_Toc168753098"/>
      <w:bookmarkStart w:id="1401" w:name="_Toc128391565"/>
      <w:bookmarkStart w:id="1402" w:name="_Toc128392647"/>
    </w:p>
    <w:p>
      <w:pPr>
        <w:rPr>
          <w:lang w:val="es-ES"/>
        </w:rPr>
      </w:pPr>
    </w:p>
    <w:p>
      <w:pPr>
        <w:rPr>
          <w:lang w:val="es-ES"/>
        </w:rPr>
      </w:pPr>
    </w:p>
    <w:bookmarkEnd w:id="1225"/>
    <w:p>
      <w:pPr>
        <w:spacing w:line="300" w:lineRule="auto"/>
        <w:ind w:right="33"/>
        <w:jc w:val="right"/>
        <w:textAlignment w:val="auto"/>
        <w:rPr>
          <w:szCs w:val="21"/>
        </w:rPr>
        <w:sectPr>
          <w:headerReference r:id="rId18" w:type="default"/>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bookmarkStart w:id="1403" w:name="_Toc391287347"/>
    </w:p>
    <w:p>
      <w:pPr>
        <w:widowControl/>
        <w:adjustRightInd/>
        <w:spacing w:line="240" w:lineRule="auto"/>
        <w:jc w:val="left"/>
        <w:textAlignment w:val="auto"/>
        <w:rPr>
          <w:szCs w:val="21"/>
        </w:rPr>
      </w:pPr>
      <w:r>
        <w:rPr>
          <w:szCs w:val="21"/>
        </w:rPr>
        <w:br w:type="page"/>
      </w:r>
    </w:p>
    <w:p>
      <w:pPr>
        <w:spacing w:line="300" w:lineRule="auto"/>
        <w:ind w:right="33"/>
        <w:jc w:val="right"/>
        <w:textAlignment w:val="auto"/>
        <w:rPr>
          <w:szCs w:val="21"/>
        </w:rPr>
      </w:pPr>
    </w:p>
    <w:p>
      <w:pPr>
        <w:pStyle w:val="3"/>
      </w:pPr>
      <w:bookmarkStart w:id="1404" w:name="_Toc110268532"/>
      <w:bookmarkStart w:id="1405" w:name="_Toc110264420"/>
      <w:bookmarkStart w:id="1406" w:name="_Toc110330407"/>
      <w:bookmarkStart w:id="1407" w:name="_Toc171063144"/>
      <w:bookmarkStart w:id="1408" w:name="_Toc110264741"/>
      <w:bookmarkStart w:id="1409" w:name="_Toc110265194"/>
      <w:bookmarkStart w:id="1410" w:name="_Toc110330468"/>
      <w:bookmarkStart w:id="1411" w:name="_Toc110264958"/>
      <w:bookmarkStart w:id="1412" w:name="_Toc169103279"/>
      <w:bookmarkStart w:id="1413" w:name="_Toc110328307"/>
      <w:bookmarkStart w:id="1414" w:name="_Toc110267693"/>
      <w:bookmarkStart w:id="1415" w:name="_Toc110262765"/>
      <w:bookmarkStart w:id="1416" w:name="_Toc110263959"/>
      <w:bookmarkStart w:id="1417" w:name="_Toc110272066"/>
      <w:bookmarkStart w:id="1418" w:name="_Toc110264794"/>
      <w:r>
        <w:rPr>
          <w:rFonts w:hint="eastAsia"/>
        </w:rPr>
        <w:t>第五章　合格国家</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spacing w:before="120" w:after="120"/>
        <w:ind w:firstLine="418"/>
        <w:textAlignment w:val="auto"/>
        <w:rPr>
          <w:rFonts w:hint="eastAsia" w:eastAsia="宋体"/>
          <w:szCs w:val="21"/>
          <w:lang w:val="en-US" w:eastAsia="zh-CN"/>
        </w:rPr>
      </w:pPr>
      <w:r>
        <w:rPr>
          <w:rFonts w:hint="eastAsia"/>
          <w:szCs w:val="21"/>
        </w:rPr>
        <w:t>目前，下述国家的公司、货物和相关服务不得参与本次投标：</w:t>
      </w:r>
      <w:r>
        <w:rPr>
          <w:rFonts w:hint="eastAsia"/>
          <w:szCs w:val="21"/>
          <w:lang w:val="en-US" w:eastAsia="zh-CN"/>
        </w:rPr>
        <w:t>无</w:t>
      </w:r>
    </w:p>
    <w:p>
      <w:pPr>
        <w:spacing w:before="120" w:after="120"/>
        <w:jc w:val="center"/>
        <w:textAlignment w:val="auto"/>
        <w:rPr>
          <w:szCs w:val="21"/>
        </w:rPr>
      </w:pPr>
    </w:p>
    <w:p>
      <w:pPr>
        <w:spacing w:before="120" w:after="120" w:line="240" w:lineRule="atLeast"/>
        <w:ind w:firstLine="400"/>
        <w:textAlignment w:val="auto"/>
        <w:rPr>
          <w:color w:val="000000"/>
          <w:sz w:val="20"/>
          <w:szCs w:val="21"/>
          <w:lang w:val="es-ES"/>
        </w:rPr>
      </w:pPr>
    </w:p>
    <w:bookmarkEnd w:id="38"/>
    <w:p>
      <w:pPr>
        <w:spacing w:before="120" w:after="120" w:line="240" w:lineRule="atLeast"/>
        <w:ind w:firstLine="400"/>
        <w:textAlignment w:val="auto"/>
        <w:rPr>
          <w:color w:val="000000"/>
          <w:sz w:val="20"/>
          <w:szCs w:val="21"/>
        </w:rPr>
        <w:sectPr>
          <w:headerReference r:id="rId19" w:type="default"/>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spacing w:before="120" w:after="120" w:line="240" w:lineRule="atLeast"/>
        <w:textAlignment w:val="auto"/>
        <w:rPr>
          <w:color w:val="000000"/>
          <w:sz w:val="20"/>
          <w:szCs w:val="21"/>
          <w:lang w:val="es-ES"/>
        </w:rPr>
      </w:pPr>
      <w:bookmarkStart w:id="1419" w:name="_Toc324772215"/>
      <w:bookmarkStart w:id="1420" w:name="_Toc324771999"/>
      <w:bookmarkStart w:id="1421" w:name="_Toc107547962"/>
      <w:bookmarkStart w:id="1422" w:name="_Toc165311473"/>
      <w:bookmarkStart w:id="1423" w:name="_Toc116392110"/>
    </w:p>
    <w:p>
      <w:pPr>
        <w:spacing w:before="120" w:after="120" w:line="240" w:lineRule="atLeast"/>
        <w:ind w:firstLine="400"/>
        <w:textAlignment w:val="auto"/>
        <w:rPr>
          <w:color w:val="000000"/>
          <w:sz w:val="20"/>
          <w:szCs w:val="21"/>
          <w:lang w:val="es-ES"/>
        </w:rPr>
      </w:pPr>
    </w:p>
    <w:p>
      <w:pPr>
        <w:pStyle w:val="2"/>
      </w:pPr>
      <w:bookmarkStart w:id="1424" w:name="_Toc110264742"/>
      <w:bookmarkStart w:id="1425" w:name="_Toc169103280"/>
      <w:bookmarkStart w:id="1426" w:name="_Toc110330408"/>
      <w:bookmarkStart w:id="1427" w:name="_Toc110330469"/>
      <w:bookmarkStart w:id="1428" w:name="_Toc110264795"/>
      <w:bookmarkStart w:id="1429" w:name="_Toc391287348"/>
      <w:bookmarkStart w:id="1430" w:name="_Toc110264959"/>
      <w:bookmarkStart w:id="1431" w:name="_Toc110265195"/>
      <w:bookmarkStart w:id="1432" w:name="_Toc110264496"/>
    </w:p>
    <w:p>
      <w:pPr>
        <w:pStyle w:val="2"/>
      </w:pPr>
      <w:bookmarkStart w:id="1433" w:name="_Toc171063145"/>
      <w:r>
        <w:rPr>
          <w:rFonts w:hint="eastAsia"/>
        </w:rPr>
        <w:t>第二篇　业主要求</w:t>
      </w:r>
      <w:bookmarkEnd w:id="1419"/>
      <w:bookmarkEnd w:id="1420"/>
      <w:bookmarkEnd w:id="1424"/>
      <w:bookmarkEnd w:id="1425"/>
      <w:bookmarkEnd w:id="1426"/>
      <w:bookmarkEnd w:id="1427"/>
      <w:bookmarkEnd w:id="1428"/>
      <w:bookmarkEnd w:id="1429"/>
      <w:bookmarkEnd w:id="1430"/>
      <w:bookmarkEnd w:id="1431"/>
      <w:bookmarkEnd w:id="1432"/>
      <w:bookmarkEnd w:id="1433"/>
      <w:bookmarkStart w:id="1434" w:name="_Toc110264743"/>
      <w:bookmarkStart w:id="1435" w:name="_Toc110264960"/>
      <w:bookmarkStart w:id="1436" w:name="_Toc110272067"/>
      <w:bookmarkStart w:id="1437" w:name="_Toc110330409"/>
      <w:bookmarkStart w:id="1438" w:name="_Toc324772000"/>
      <w:bookmarkStart w:id="1439" w:name="_Toc110264497"/>
      <w:bookmarkStart w:id="1440" w:name="_Toc110268533"/>
      <w:bookmarkStart w:id="1441" w:name="_Toc110328308"/>
      <w:bookmarkStart w:id="1442" w:name="_Toc110264796"/>
      <w:bookmarkStart w:id="1443" w:name="_Toc324772216"/>
      <w:bookmarkStart w:id="1444" w:name="_Toc391287349"/>
      <w:bookmarkStart w:id="1445" w:name="_Toc110265196"/>
      <w:bookmarkStart w:id="1446" w:name="_Toc110330470"/>
      <w:bookmarkStart w:id="1447" w:name="第二篇"/>
    </w:p>
    <w:p>
      <w:pPr>
        <w:tabs>
          <w:tab w:val="left" w:pos="810"/>
        </w:tabs>
        <w:spacing w:before="120" w:after="120" w:line="240" w:lineRule="atLeast"/>
        <w:ind w:firstLine="420" w:firstLineChars="200"/>
        <w:textAlignment w:val="auto"/>
      </w:pPr>
    </w:p>
    <w:p>
      <w:pPr>
        <w:pStyle w:val="3"/>
      </w:pPr>
      <w:bookmarkStart w:id="1448" w:name="_Toc171063146"/>
      <w:bookmarkStart w:id="1449" w:name="_Toc169103281"/>
      <w:r>
        <w:t>第</w:t>
      </w:r>
      <w:r>
        <w:rPr>
          <w:rFonts w:hint="eastAsia"/>
        </w:rPr>
        <w:t>六</w:t>
      </w:r>
      <w:r>
        <w:t>章</w:t>
      </w:r>
      <w:r>
        <w:rPr>
          <w:rFonts w:hint="eastAsia"/>
        </w:rPr>
        <w:t>　业主要求</w:t>
      </w:r>
      <w:bookmarkEnd w:id="1421"/>
      <w:bookmarkEnd w:id="1422"/>
      <w:bookmarkEnd w:id="142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8"/>
      <w:bookmarkEnd w:id="1449"/>
    </w:p>
    <w:p>
      <w:pPr>
        <w:rPr>
          <w:sz w:val="24"/>
          <w:szCs w:val="24"/>
          <w:lang w:val="zh-CN" w:eastAsia="zh-CN"/>
        </w:rPr>
      </w:pPr>
    </w:p>
    <w:p>
      <w:pPr>
        <w:pStyle w:val="33"/>
        <w:tabs>
          <w:tab w:val="right" w:leader="dot" w:pos="8303"/>
        </w:tabs>
        <w:rPr>
          <w:rFonts w:asciiTheme="minorHAnsi" w:hAnsiTheme="minorHAnsi" w:eastAsiaTheme="minorEastAsia" w:cstheme="minorBidi"/>
          <w:b w:val="0"/>
          <w:iCs w:val="0"/>
          <w:kern w:val="2"/>
          <w:sz w:val="24"/>
          <w:szCs w:val="24"/>
          <w14:ligatures w14:val="standardContextual"/>
        </w:rPr>
      </w:pPr>
      <w:r>
        <w:rPr>
          <w:b w:val="0"/>
          <w:sz w:val="24"/>
          <w:szCs w:val="24"/>
          <w:lang w:val="zh-CN" w:eastAsia="zh-CN"/>
        </w:rPr>
        <w:fldChar w:fldCharType="begin"/>
      </w:r>
      <w:r>
        <w:rPr>
          <w:b w:val="0"/>
          <w:sz w:val="24"/>
          <w:szCs w:val="24"/>
          <w:lang w:val="zh-CN" w:eastAsia="zh-CN"/>
        </w:rPr>
        <w:instrText xml:space="preserve"> </w:instrText>
      </w:r>
      <w:r>
        <w:rPr>
          <w:rFonts w:hint="eastAsia"/>
          <w:b w:val="0"/>
          <w:sz w:val="24"/>
          <w:szCs w:val="24"/>
          <w:lang w:val="zh-CN"/>
        </w:rPr>
        <w:instrText xml:space="preserve">toc</w:instrText>
      </w:r>
      <w:r>
        <w:rPr>
          <w:b w:val="0"/>
          <w:sz w:val="24"/>
          <w:szCs w:val="24"/>
          <w:lang w:val="zh-CN" w:eastAsia="zh-CN"/>
        </w:rPr>
        <w:instrText xml:space="preserve"> \b </w:instrText>
      </w:r>
      <w:r>
        <w:rPr>
          <w:rFonts w:hint="eastAsia"/>
          <w:b w:val="0"/>
          <w:sz w:val="24"/>
          <w:szCs w:val="24"/>
          <w:lang w:val="zh-CN"/>
        </w:rPr>
        <w:instrText xml:space="preserve">第六章</w:instrText>
      </w:r>
      <w:r>
        <w:rPr>
          <w:b w:val="0"/>
          <w:sz w:val="24"/>
          <w:szCs w:val="24"/>
          <w:lang w:val="zh-CN" w:eastAsia="zh-CN"/>
        </w:rPr>
        <w:instrText xml:space="preserve"> </w:instrText>
      </w:r>
      <w:r>
        <w:rPr>
          <w:b w:val="0"/>
          <w:sz w:val="24"/>
          <w:szCs w:val="24"/>
          <w:lang w:val="zh-CN" w:eastAsia="zh-CN"/>
        </w:rPr>
        <w:fldChar w:fldCharType="separate"/>
      </w:r>
      <w:r>
        <w:rPr>
          <w:rFonts w:hint="eastAsia"/>
          <w:b w:val="0"/>
          <w:sz w:val="24"/>
          <w:szCs w:val="24"/>
        </w:rPr>
        <w:t>技术规范</w:t>
      </w:r>
      <w:r>
        <w:rPr>
          <w:b w:val="0"/>
          <w:sz w:val="24"/>
          <w:szCs w:val="24"/>
        </w:rPr>
        <w:tab/>
      </w:r>
      <w:r>
        <w:rPr>
          <w:b w:val="0"/>
          <w:sz w:val="24"/>
          <w:szCs w:val="24"/>
        </w:rPr>
        <w:fldChar w:fldCharType="begin"/>
      </w:r>
      <w:r>
        <w:rPr>
          <w:b w:val="0"/>
          <w:sz w:val="24"/>
          <w:szCs w:val="24"/>
        </w:rPr>
        <w:instrText xml:space="preserve"> PAGEREF _Toc170312626 \h </w:instrText>
      </w:r>
      <w:r>
        <w:rPr>
          <w:b w:val="0"/>
          <w:sz w:val="24"/>
          <w:szCs w:val="24"/>
        </w:rPr>
        <w:fldChar w:fldCharType="separate"/>
      </w:r>
      <w:r>
        <w:rPr>
          <w:b w:val="0"/>
          <w:sz w:val="24"/>
          <w:szCs w:val="24"/>
        </w:rPr>
        <w:t>76</w:t>
      </w:r>
      <w:r>
        <w:rPr>
          <w:b w:val="0"/>
          <w:sz w:val="24"/>
          <w:szCs w:val="24"/>
        </w:rPr>
        <w:fldChar w:fldCharType="end"/>
      </w:r>
    </w:p>
    <w:p>
      <w:pPr>
        <w:pStyle w:val="33"/>
        <w:tabs>
          <w:tab w:val="right" w:leader="dot" w:pos="8303"/>
        </w:tabs>
        <w:rPr>
          <w:rFonts w:asciiTheme="minorHAnsi" w:hAnsiTheme="minorHAnsi" w:eastAsiaTheme="minorEastAsia" w:cstheme="minorBidi"/>
          <w:b w:val="0"/>
          <w:iCs w:val="0"/>
          <w:kern w:val="2"/>
          <w:sz w:val="24"/>
          <w:szCs w:val="24"/>
          <w14:ligatures w14:val="standardContextual"/>
        </w:rPr>
      </w:pPr>
      <w:r>
        <w:rPr>
          <w:rFonts w:hint="eastAsia"/>
          <w:b w:val="0"/>
          <w:sz w:val="24"/>
          <w:szCs w:val="24"/>
        </w:rPr>
        <w:t>环境</w:t>
      </w:r>
      <w:r>
        <w:rPr>
          <w:b w:val="0"/>
          <w:sz w:val="24"/>
          <w:szCs w:val="24"/>
        </w:rPr>
        <w:t>-</w:t>
      </w:r>
      <w:r>
        <w:rPr>
          <w:rFonts w:hint="eastAsia"/>
          <w:b w:val="0"/>
          <w:sz w:val="24"/>
          <w:szCs w:val="24"/>
        </w:rPr>
        <w:t>社会</w:t>
      </w:r>
      <w:r>
        <w:rPr>
          <w:b w:val="0"/>
          <w:sz w:val="24"/>
          <w:szCs w:val="24"/>
        </w:rPr>
        <w:t>-</w:t>
      </w:r>
      <w:r>
        <w:rPr>
          <w:rFonts w:hint="eastAsia"/>
          <w:b w:val="0"/>
          <w:sz w:val="24"/>
          <w:szCs w:val="24"/>
        </w:rPr>
        <w:t>健康</w:t>
      </w:r>
      <w:r>
        <w:rPr>
          <w:b w:val="0"/>
          <w:sz w:val="24"/>
          <w:szCs w:val="24"/>
        </w:rPr>
        <w:t>-</w:t>
      </w:r>
      <w:r>
        <w:rPr>
          <w:rFonts w:hint="eastAsia"/>
          <w:b w:val="0"/>
          <w:sz w:val="24"/>
          <w:szCs w:val="24"/>
        </w:rPr>
        <w:t>安全要求</w:t>
      </w:r>
      <w:r>
        <w:rPr>
          <w:b w:val="0"/>
          <w:sz w:val="24"/>
          <w:szCs w:val="24"/>
        </w:rPr>
        <w:tab/>
      </w:r>
      <w:r>
        <w:rPr>
          <w:b w:val="0"/>
          <w:sz w:val="24"/>
          <w:szCs w:val="24"/>
        </w:rPr>
        <w:fldChar w:fldCharType="begin"/>
      </w:r>
      <w:r>
        <w:rPr>
          <w:b w:val="0"/>
          <w:sz w:val="24"/>
          <w:szCs w:val="24"/>
        </w:rPr>
        <w:instrText xml:space="preserve"> PAGEREF _Toc170312627 \h </w:instrText>
      </w:r>
      <w:r>
        <w:rPr>
          <w:b w:val="0"/>
          <w:sz w:val="24"/>
          <w:szCs w:val="24"/>
        </w:rPr>
        <w:fldChar w:fldCharType="separate"/>
      </w:r>
      <w:r>
        <w:rPr>
          <w:b w:val="0"/>
          <w:sz w:val="24"/>
          <w:szCs w:val="24"/>
        </w:rPr>
        <w:t>77</w:t>
      </w:r>
      <w:r>
        <w:rPr>
          <w:b w:val="0"/>
          <w:sz w:val="24"/>
          <w:szCs w:val="24"/>
        </w:rPr>
        <w:fldChar w:fldCharType="end"/>
      </w:r>
    </w:p>
    <w:p>
      <w:pPr>
        <w:pStyle w:val="33"/>
        <w:tabs>
          <w:tab w:val="right" w:leader="dot" w:pos="8303"/>
        </w:tabs>
        <w:rPr>
          <w:rFonts w:asciiTheme="minorHAnsi" w:hAnsiTheme="minorHAnsi" w:eastAsiaTheme="minorEastAsia" w:cstheme="minorBidi"/>
          <w:b w:val="0"/>
          <w:iCs w:val="0"/>
          <w:kern w:val="2"/>
          <w:sz w:val="24"/>
          <w:szCs w:val="24"/>
          <w14:ligatures w14:val="standardContextual"/>
        </w:rPr>
      </w:pPr>
      <w:r>
        <w:rPr>
          <w:rFonts w:hint="eastAsia"/>
          <w:b w:val="0"/>
          <w:sz w:val="24"/>
          <w:szCs w:val="24"/>
        </w:rPr>
        <w:t>图纸</w:t>
      </w:r>
      <w:r>
        <w:rPr>
          <w:b w:val="0"/>
          <w:sz w:val="24"/>
          <w:szCs w:val="24"/>
        </w:rPr>
        <w:tab/>
      </w:r>
      <w:r>
        <w:rPr>
          <w:b w:val="0"/>
          <w:sz w:val="24"/>
          <w:szCs w:val="24"/>
        </w:rPr>
        <w:fldChar w:fldCharType="begin"/>
      </w:r>
      <w:r>
        <w:rPr>
          <w:b w:val="0"/>
          <w:sz w:val="24"/>
          <w:szCs w:val="24"/>
        </w:rPr>
        <w:instrText xml:space="preserve"> PAGEREF _Toc170312628 \h </w:instrText>
      </w:r>
      <w:r>
        <w:rPr>
          <w:b w:val="0"/>
          <w:sz w:val="24"/>
          <w:szCs w:val="24"/>
        </w:rPr>
        <w:fldChar w:fldCharType="separate"/>
      </w:r>
      <w:r>
        <w:rPr>
          <w:b w:val="0"/>
          <w:sz w:val="24"/>
          <w:szCs w:val="24"/>
        </w:rPr>
        <w:t>80</w:t>
      </w:r>
      <w:r>
        <w:rPr>
          <w:b w:val="0"/>
          <w:sz w:val="24"/>
          <w:szCs w:val="24"/>
        </w:rPr>
        <w:fldChar w:fldCharType="end"/>
      </w:r>
    </w:p>
    <w:p>
      <w:pPr>
        <w:pStyle w:val="33"/>
        <w:tabs>
          <w:tab w:val="right" w:leader="dot" w:pos="8303"/>
        </w:tabs>
        <w:rPr>
          <w:rFonts w:asciiTheme="minorHAnsi" w:hAnsiTheme="minorHAnsi" w:eastAsiaTheme="minorEastAsia" w:cstheme="minorBidi"/>
          <w:b w:val="0"/>
          <w:iCs w:val="0"/>
          <w:kern w:val="2"/>
          <w:sz w:val="24"/>
          <w:szCs w:val="24"/>
          <w14:ligatures w14:val="standardContextual"/>
        </w:rPr>
      </w:pPr>
      <w:r>
        <w:rPr>
          <w:rFonts w:hint="eastAsia"/>
          <w:b w:val="0"/>
          <w:sz w:val="24"/>
          <w:szCs w:val="24"/>
        </w:rPr>
        <w:t>其它信息</w:t>
      </w:r>
      <w:r>
        <w:rPr>
          <w:b w:val="0"/>
          <w:sz w:val="24"/>
          <w:szCs w:val="24"/>
        </w:rPr>
        <w:tab/>
      </w:r>
      <w:r>
        <w:rPr>
          <w:b w:val="0"/>
          <w:sz w:val="24"/>
          <w:szCs w:val="24"/>
        </w:rPr>
        <w:fldChar w:fldCharType="begin"/>
      </w:r>
      <w:r>
        <w:rPr>
          <w:b w:val="0"/>
          <w:sz w:val="24"/>
          <w:szCs w:val="24"/>
        </w:rPr>
        <w:instrText xml:space="preserve"> PAGEREF _Toc170312629 \h </w:instrText>
      </w:r>
      <w:r>
        <w:rPr>
          <w:b w:val="0"/>
          <w:sz w:val="24"/>
          <w:szCs w:val="24"/>
        </w:rPr>
        <w:fldChar w:fldCharType="separate"/>
      </w:r>
      <w:r>
        <w:rPr>
          <w:b w:val="0"/>
          <w:sz w:val="24"/>
          <w:szCs w:val="24"/>
        </w:rPr>
        <w:t>81</w:t>
      </w:r>
      <w:r>
        <w:rPr>
          <w:b w:val="0"/>
          <w:sz w:val="24"/>
          <w:szCs w:val="24"/>
        </w:rPr>
        <w:fldChar w:fldCharType="end"/>
      </w:r>
    </w:p>
    <w:p>
      <w:pPr>
        <w:rPr>
          <w:lang w:val="zh-CN" w:eastAsia="zh-CN"/>
        </w:rPr>
      </w:pPr>
      <w:r>
        <w:rPr>
          <w:sz w:val="24"/>
          <w:szCs w:val="24"/>
          <w:lang w:val="zh-CN" w:eastAsia="zh-CN"/>
        </w:rPr>
        <w:fldChar w:fldCharType="end"/>
      </w:r>
    </w:p>
    <w:p>
      <w:pPr>
        <w:rPr>
          <w:lang w:val="zh-CN" w:eastAsia="zh-CN"/>
        </w:rPr>
      </w:pPr>
    </w:p>
    <w:p>
      <w:pPr>
        <w:rPr>
          <w:lang w:val="zh-CN" w:eastAsia="zh-CN"/>
        </w:rPr>
      </w:pPr>
      <w:r>
        <w:rPr>
          <w:lang w:val="zh-CN" w:eastAsia="zh-CN"/>
        </w:rPr>
        <w:br w:type="page"/>
      </w:r>
    </w:p>
    <w:p>
      <w:pPr>
        <w:pStyle w:val="4"/>
        <w:rPr>
          <w:rStyle w:val="69"/>
        </w:rPr>
      </w:pPr>
      <w:bookmarkStart w:id="1450" w:name="_Toc324772001"/>
      <w:bookmarkStart w:id="1451" w:name="_Toc324772217"/>
      <w:bookmarkStart w:id="1452" w:name="_Toc110264961"/>
      <w:bookmarkStart w:id="1453" w:name="_Toc110272068"/>
      <w:bookmarkStart w:id="1454" w:name="_Toc110264498"/>
      <w:bookmarkStart w:id="1455" w:name="_Toc391287350"/>
      <w:bookmarkStart w:id="1456" w:name="_Toc170312626"/>
      <w:bookmarkStart w:id="1457" w:name="_Toc171063147"/>
      <w:bookmarkStart w:id="1458" w:name="_Toc110268534"/>
      <w:bookmarkStart w:id="1459" w:name="_Toc110264744"/>
      <w:bookmarkStart w:id="1460" w:name="_Toc169103282"/>
      <w:bookmarkStart w:id="1461" w:name="_Toc110265197"/>
      <w:bookmarkStart w:id="1462" w:name="_Toc110264797"/>
      <w:bookmarkStart w:id="1463" w:name="第六章"/>
      <w:r>
        <w:rPr>
          <w:rFonts w:hint="eastAsia"/>
        </w:rPr>
        <w:t>技术规范</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pPr>
        <w:tabs>
          <w:tab w:val="left" w:pos="810"/>
        </w:tabs>
        <w:spacing w:before="120" w:after="120" w:line="240" w:lineRule="atLeast"/>
        <w:ind w:firstLine="420" w:firstLineChars="200"/>
        <w:jc w:val="center"/>
        <w:textAlignment w:val="auto"/>
        <w:rPr>
          <w:rFonts w:hint="eastAsia" w:eastAsia="宋体"/>
          <w:szCs w:val="21"/>
          <w:lang w:eastAsia="zh-CN"/>
        </w:rPr>
      </w:pPr>
      <w:r>
        <w:rPr>
          <w:rFonts w:hint="eastAsia"/>
          <w:szCs w:val="21"/>
          <w:lang w:eastAsia="zh-CN"/>
        </w:rPr>
        <w:t>（</w:t>
      </w:r>
      <w:r>
        <w:rPr>
          <w:rFonts w:hint="eastAsia"/>
          <w:szCs w:val="21"/>
          <w:lang w:val="en-US" w:eastAsia="zh-CN"/>
        </w:rPr>
        <w:t>另册装订</w:t>
      </w:r>
      <w:r>
        <w:rPr>
          <w:rFonts w:hint="eastAsia"/>
          <w:szCs w:val="21"/>
          <w:lang w:eastAsia="zh-CN"/>
        </w:rPr>
        <w:t>）</w:t>
      </w:r>
    </w:p>
    <w:p>
      <w:pPr>
        <w:widowControl/>
        <w:adjustRightInd/>
        <w:spacing w:line="240" w:lineRule="auto"/>
        <w:jc w:val="left"/>
        <w:textAlignment w:val="auto"/>
        <w:rPr>
          <w:szCs w:val="21"/>
        </w:rPr>
      </w:pPr>
      <w:r>
        <w:rPr>
          <w:szCs w:val="21"/>
        </w:rPr>
        <w:br w:type="page"/>
      </w:r>
    </w:p>
    <w:p>
      <w:pPr>
        <w:pStyle w:val="4"/>
        <w:spacing w:before="120" w:after="120" w:line="240" w:lineRule="auto"/>
        <w:rPr>
          <w:sz w:val="21"/>
          <w:szCs w:val="21"/>
          <w:highlight w:val="none"/>
        </w:rPr>
      </w:pPr>
      <w:bookmarkStart w:id="1464" w:name="_Toc171063148"/>
      <w:bookmarkStart w:id="1465" w:name="_Toc169103283"/>
      <w:bookmarkStart w:id="1466" w:name="_Toc32766894"/>
      <w:bookmarkStart w:id="1467" w:name="_Toc170312627"/>
      <w:r>
        <w:rPr>
          <w:rFonts w:hint="eastAsia"/>
          <w:sz w:val="21"/>
          <w:szCs w:val="21"/>
          <w:highlight w:val="none"/>
        </w:rPr>
        <w:t>环境-社会-健康-安全要求</w:t>
      </w:r>
      <w:bookmarkEnd w:id="1464"/>
      <w:bookmarkEnd w:id="1465"/>
      <w:bookmarkEnd w:id="1466"/>
      <w:bookmarkEnd w:id="1467"/>
    </w:p>
    <w:p>
      <w:pPr>
        <w:rPr>
          <w:highlight w:val="cyan"/>
        </w:rPr>
      </w:pPr>
    </w:p>
    <w:p>
      <w:pPr>
        <w:pStyle w:val="235"/>
        <w:spacing w:after="120" w:line="240" w:lineRule="auto"/>
        <w:jc w:val="left"/>
        <w:rPr>
          <w:i/>
          <w:sz w:val="21"/>
          <w:szCs w:val="21"/>
          <w:lang w:eastAsia="zh-CN"/>
        </w:rPr>
      </w:pPr>
    </w:p>
    <w:p>
      <w:pPr>
        <w:autoSpaceDE w:val="0"/>
        <w:autoSpaceDN w:val="0"/>
        <w:spacing w:after="120"/>
        <w:rPr>
          <w:i/>
          <w:szCs w:val="21"/>
        </w:rPr>
      </w:pPr>
      <w:r>
        <w:rPr>
          <w:rFonts w:hint="eastAsia"/>
          <w:b/>
          <w:smallCaps/>
          <w:szCs w:val="21"/>
        </w:rPr>
        <w:t>建议的</w:t>
      </w:r>
      <w:r>
        <w:rPr>
          <w:b/>
          <w:smallCaps/>
          <w:szCs w:val="21"/>
        </w:rPr>
        <w:t>环境-社会-健康-安全要求</w:t>
      </w:r>
      <w:r>
        <w:rPr>
          <w:rFonts w:hint="eastAsia"/>
          <w:b/>
          <w:smallCaps/>
          <w:szCs w:val="21"/>
        </w:rPr>
        <w:t>的内容</w:t>
      </w:r>
    </w:p>
    <w:p>
      <w:pPr>
        <w:autoSpaceDE w:val="0"/>
        <w:autoSpaceDN w:val="0"/>
        <w:spacing w:after="120"/>
        <w:rPr>
          <w:i/>
          <w:szCs w:val="21"/>
        </w:rPr>
      </w:pPr>
      <w:r>
        <w:rPr>
          <w:rFonts w:hint="eastAsia" w:ascii="等线" w:hAnsi="等线" w:eastAsia="等线"/>
          <w:i/>
          <w:szCs w:val="21"/>
        </w:rPr>
        <w:t>作为最低要求，</w:t>
      </w:r>
      <w:r>
        <w:rPr>
          <w:rFonts w:hint="eastAsia"/>
          <w:i/>
          <w:szCs w:val="21"/>
        </w:rPr>
        <w:t>环境-社会-健康-安全要求应总综合环境保护、职业与社区健康与安全、性别问题、平等、儿童保护、弱势群体（包括残疾人）、与性别有关的暴力、艾滋病宣传与防控、项目利益相关方在项目规划与实施过程中的广泛参与等方面。业主也应与亚投行协商以决定环境-社会-健康-安全要求应包括的内容，其可能还包括气候适应、征地拆迁、少数民族等。环境-社会-健康-安全要求应设立框架，以利于监测环境-社会-健康-安全要求实施情况、不断整改以及和随时报告遵守这些规定的情况。</w:t>
      </w:r>
    </w:p>
    <w:p>
      <w:pPr>
        <w:autoSpaceDE w:val="0"/>
        <w:autoSpaceDN w:val="0"/>
        <w:spacing w:after="120"/>
        <w:rPr>
          <w:rFonts w:eastAsia="Calibri"/>
          <w:i/>
          <w:szCs w:val="21"/>
        </w:rPr>
      </w:pPr>
    </w:p>
    <w:p>
      <w:pPr>
        <w:autoSpaceDE w:val="0"/>
        <w:autoSpaceDN w:val="0"/>
        <w:spacing w:after="120"/>
        <w:rPr>
          <w:rFonts w:eastAsia="Calibri"/>
          <w:i/>
          <w:szCs w:val="21"/>
        </w:rPr>
      </w:pPr>
      <w:r>
        <w:rPr>
          <w:rFonts w:hint="eastAsia"/>
          <w:i/>
          <w:szCs w:val="21"/>
        </w:rPr>
        <w:t>环境-社会-健康-安全要求应尽可能简洁、具体、明晰和可监测，以便可以根据特殊合同条款第26.2款以及一般合同条款附录B报告遵守各项规定的情况。</w:t>
      </w:r>
    </w:p>
    <w:p>
      <w:pPr>
        <w:autoSpaceDE w:val="0"/>
        <w:autoSpaceDN w:val="0"/>
        <w:spacing w:after="120"/>
        <w:rPr>
          <w:i/>
          <w:szCs w:val="21"/>
        </w:rPr>
      </w:pPr>
    </w:p>
    <w:p>
      <w:pPr>
        <w:autoSpaceDE w:val="0"/>
        <w:autoSpaceDN w:val="0"/>
        <w:spacing w:after="120"/>
        <w:rPr>
          <w:rFonts w:eastAsia="Calibri"/>
          <w:i/>
          <w:szCs w:val="21"/>
        </w:rPr>
      </w:pPr>
      <w:r>
        <w:rPr>
          <w:rFonts w:hint="eastAsia"/>
          <w:i/>
          <w:szCs w:val="21"/>
        </w:rPr>
        <w:t>环境-社会-健康-安全要求至少应确保</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采用国际上最好的做法以保护自然环境，减少不可避免的影响</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提供并保持健康安全的环境以及施工安全体系</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当地社区和人群特别是残疾人、老人和其它弱势群体的健康和安全</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参与工程的所有雇员的雇佣合同条款满足国际劳工组织劳工条约的规定（如果业主所在国是该条约的签署国）</w:t>
      </w:r>
      <w:r>
        <w:rPr>
          <w:rFonts w:eastAsia="Calibri"/>
          <w:i/>
          <w:szCs w:val="21"/>
        </w:rPr>
        <w:t xml:space="preserve">; </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eastAsia="等线"/>
          <w:i/>
          <w:szCs w:val="21"/>
        </w:rPr>
        <w:t>对非法行为零容忍并应给予惩罚；对与性别有关的暴力、牺牲儿童利益、侮辱儿童、性骚扰零容忍并应给予惩罚</w:t>
      </w:r>
      <w:r>
        <w:rPr>
          <w:rFonts w:eastAsia="Calibri"/>
          <w:i/>
          <w:szCs w:val="21"/>
        </w:rPr>
        <w:t xml:space="preserve">; </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包含性别平等的内容，提供一个女性与男性拥有平等机会参与项目的规划和发展并从中受益的环境</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与工程的最终使用方、政府相关部门、其它承包商、当地社区合作</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与受影响的人群和机构特别是弱势群体、残疾人、老人接触并倾听他们的声音，对他们关心的问题积极回应；</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提供一个能交换信息、观点、想法而不担心报复的环境</w:t>
      </w:r>
      <w:r>
        <w:rPr>
          <w:rFonts w:eastAsia="Calibri"/>
          <w:i/>
          <w:szCs w:val="21"/>
        </w:rPr>
        <w:t>;</w:t>
      </w:r>
    </w:p>
    <w:p>
      <w:pPr>
        <w:numPr>
          <w:ilvl w:val="0"/>
          <w:numId w:val="25"/>
        </w:numPr>
        <w:autoSpaceDE w:val="0"/>
        <w:autoSpaceDN w:val="0"/>
        <w:adjustRightInd/>
        <w:spacing w:after="120" w:line="259" w:lineRule="auto"/>
        <w:ind w:left="907"/>
        <w:jc w:val="left"/>
        <w:textAlignment w:val="auto"/>
        <w:rPr>
          <w:rFonts w:eastAsia="Calibri"/>
          <w:i/>
          <w:szCs w:val="21"/>
        </w:rPr>
      </w:pPr>
      <w:r>
        <w:rPr>
          <w:rFonts w:hint="eastAsia" w:ascii="等线" w:hAnsi="等线" w:eastAsia="等线"/>
          <w:i/>
          <w:szCs w:val="21"/>
        </w:rPr>
        <w:t>尽量减少艾滋病传播的风险，减少因工程的实施而带来的艾滋病的影响</w:t>
      </w:r>
      <w:r>
        <w:rPr>
          <w:rFonts w:eastAsia="Calibri"/>
          <w:i/>
          <w:szCs w:val="21"/>
        </w:rPr>
        <w:t>;</w:t>
      </w:r>
    </w:p>
    <w:p>
      <w:pPr>
        <w:pStyle w:val="235"/>
        <w:spacing w:after="120" w:line="240" w:lineRule="auto"/>
        <w:jc w:val="left"/>
        <w:rPr>
          <w:rFonts w:eastAsia="Calibri"/>
          <w:i/>
          <w:sz w:val="21"/>
          <w:szCs w:val="21"/>
          <w:lang w:eastAsia="zh-CN"/>
        </w:rPr>
      </w:pPr>
    </w:p>
    <w:p>
      <w:pPr>
        <w:pStyle w:val="235"/>
        <w:spacing w:after="120" w:line="240" w:lineRule="auto"/>
        <w:jc w:val="left"/>
        <w:rPr>
          <w:rFonts w:eastAsia="Calibri"/>
          <w:i/>
          <w:sz w:val="21"/>
          <w:szCs w:val="21"/>
          <w:lang w:eastAsia="zh-CN"/>
        </w:rPr>
      </w:pPr>
      <w:r>
        <w:rPr>
          <w:rFonts w:hint="eastAsia"/>
          <w:i/>
          <w:sz w:val="21"/>
          <w:szCs w:val="21"/>
          <w:lang w:eastAsia="zh-CN"/>
        </w:rPr>
        <w:t>环境-社会-</w:t>
      </w:r>
      <w:r>
        <w:rPr>
          <w:rFonts w:hint="eastAsia" w:ascii="宋体" w:hAnsi="宋体" w:eastAsia="宋体" w:cs="宋体"/>
          <w:i/>
          <w:sz w:val="21"/>
          <w:szCs w:val="21"/>
          <w:lang w:eastAsia="zh-CN"/>
        </w:rPr>
        <w:t>健康</w:t>
      </w:r>
      <w:r>
        <w:rPr>
          <w:rFonts w:hint="eastAsia"/>
          <w:i/>
          <w:sz w:val="21"/>
          <w:szCs w:val="21"/>
          <w:lang w:eastAsia="zh-CN"/>
        </w:rPr>
        <w:t>-安全要求</w:t>
      </w:r>
      <w:r>
        <w:rPr>
          <w:rFonts w:hint="eastAsia" w:ascii="等线" w:hAnsi="等线" w:eastAsia="等线"/>
          <w:i/>
          <w:sz w:val="21"/>
          <w:szCs w:val="21"/>
          <w:lang w:eastAsia="zh-CN"/>
        </w:rPr>
        <w:t>应由业主的领导层签字，这样可以向承包商传递一个信号即</w:t>
      </w:r>
      <w:r>
        <w:rPr>
          <w:rFonts w:hint="eastAsia"/>
          <w:i/>
          <w:sz w:val="21"/>
          <w:szCs w:val="21"/>
          <w:lang w:eastAsia="zh-CN"/>
        </w:rPr>
        <w:t>环境-社会-</w:t>
      </w:r>
      <w:r>
        <w:rPr>
          <w:rFonts w:hint="eastAsia" w:ascii="宋体" w:hAnsi="宋体" w:eastAsia="宋体" w:cs="宋体"/>
          <w:i/>
          <w:sz w:val="21"/>
          <w:szCs w:val="21"/>
          <w:lang w:eastAsia="zh-CN"/>
        </w:rPr>
        <w:t>健康</w:t>
      </w:r>
      <w:r>
        <w:rPr>
          <w:rFonts w:hint="eastAsia"/>
          <w:i/>
          <w:sz w:val="21"/>
          <w:szCs w:val="21"/>
          <w:lang w:eastAsia="zh-CN"/>
        </w:rPr>
        <w:t>-安全要求</w:t>
      </w:r>
      <w:r>
        <w:rPr>
          <w:rFonts w:hint="eastAsia" w:ascii="等线" w:hAnsi="等线" w:eastAsia="等线"/>
          <w:i/>
          <w:sz w:val="21"/>
          <w:szCs w:val="21"/>
          <w:lang w:eastAsia="zh-CN"/>
        </w:rPr>
        <w:t>必须严格执行。</w:t>
      </w:r>
    </w:p>
    <w:p>
      <w:pPr>
        <w:pStyle w:val="235"/>
        <w:spacing w:after="120" w:line="240" w:lineRule="auto"/>
        <w:jc w:val="left"/>
        <w:rPr>
          <w:rFonts w:ascii="等线" w:hAnsi="等线" w:eastAsia="等线"/>
          <w:b/>
          <w:smallCaps/>
          <w:sz w:val="21"/>
          <w:szCs w:val="21"/>
          <w:lang w:eastAsia="zh-CN"/>
        </w:rPr>
      </w:pPr>
    </w:p>
    <w:p>
      <w:pPr>
        <w:pStyle w:val="235"/>
        <w:spacing w:after="120" w:line="240" w:lineRule="auto"/>
        <w:jc w:val="left"/>
        <w:rPr>
          <w:rFonts w:eastAsia="等线"/>
          <w:b/>
          <w:smallCaps/>
          <w:sz w:val="21"/>
          <w:szCs w:val="21"/>
          <w:lang w:eastAsia="zh-CN"/>
        </w:rPr>
      </w:pPr>
      <w:r>
        <w:rPr>
          <w:rFonts w:hint="eastAsia" w:ascii="等线" w:hAnsi="等线" w:eastAsia="等线"/>
          <w:b/>
          <w:smallCaps/>
          <w:sz w:val="21"/>
          <w:szCs w:val="21"/>
          <w:lang w:eastAsia="zh-CN"/>
        </w:rPr>
        <w:t>环境-社会-健康-安全要求的基本内容</w:t>
      </w:r>
    </w:p>
    <w:p>
      <w:pPr>
        <w:spacing w:after="120"/>
        <w:rPr>
          <w:i/>
          <w:szCs w:val="21"/>
        </w:rPr>
      </w:pPr>
      <w:r>
        <w:rPr>
          <w:rFonts w:hint="eastAsia"/>
          <w:i/>
          <w:szCs w:val="21"/>
        </w:rPr>
        <w:t>在准备具体的环境-社会-健康-安全要求时应考虑下列文件的要求</w:t>
      </w:r>
      <w:r>
        <w:rPr>
          <w:i/>
          <w:szCs w:val="21"/>
        </w:rPr>
        <w:t>:</w:t>
      </w:r>
    </w:p>
    <w:p>
      <w:pPr>
        <w:pStyle w:val="102"/>
        <w:widowControl/>
        <w:numPr>
          <w:ilvl w:val="0"/>
          <w:numId w:val="26"/>
        </w:numPr>
        <w:spacing w:after="120"/>
        <w:ind w:firstLineChars="0"/>
        <w:rPr>
          <w:i/>
          <w:szCs w:val="21"/>
        </w:rPr>
      </w:pPr>
      <w:r>
        <w:rPr>
          <w:rFonts w:hint="eastAsia"/>
          <w:i/>
          <w:szCs w:val="21"/>
        </w:rPr>
        <w:t>项目报告，例如环境社会实施计划、环境社会管理计划</w:t>
      </w:r>
    </w:p>
    <w:p>
      <w:pPr>
        <w:pStyle w:val="102"/>
        <w:widowControl/>
        <w:numPr>
          <w:ilvl w:val="0"/>
          <w:numId w:val="26"/>
        </w:numPr>
        <w:spacing w:after="120"/>
        <w:ind w:firstLineChars="0"/>
        <w:rPr>
          <w:i/>
          <w:szCs w:val="21"/>
        </w:rPr>
      </w:pPr>
      <w:r>
        <w:rPr>
          <w:rFonts w:hint="eastAsia"/>
          <w:i/>
          <w:szCs w:val="21"/>
        </w:rPr>
        <w:t>政府部门颁发有关许可证时要求遵守的规定</w:t>
      </w:r>
    </w:p>
    <w:p>
      <w:pPr>
        <w:pStyle w:val="102"/>
        <w:widowControl/>
        <w:numPr>
          <w:ilvl w:val="0"/>
          <w:numId w:val="26"/>
        </w:numPr>
        <w:spacing w:after="120"/>
        <w:ind w:firstLineChars="0"/>
        <w:rPr>
          <w:i/>
          <w:szCs w:val="21"/>
        </w:rPr>
      </w:pPr>
      <w:r>
        <w:rPr>
          <w:rFonts w:hint="eastAsia"/>
          <w:i/>
          <w:szCs w:val="21"/>
        </w:rPr>
        <w:t>亚投行环境社会健康安全的要求</w:t>
      </w:r>
      <w:r>
        <w:rPr>
          <w:i/>
          <w:szCs w:val="21"/>
        </w:rPr>
        <w:t xml:space="preserve"> </w:t>
      </w:r>
    </w:p>
    <w:p>
      <w:pPr>
        <w:pStyle w:val="102"/>
        <w:widowControl/>
        <w:numPr>
          <w:ilvl w:val="0"/>
          <w:numId w:val="26"/>
        </w:numPr>
        <w:spacing w:after="120"/>
        <w:ind w:firstLineChars="0"/>
        <w:rPr>
          <w:i/>
          <w:szCs w:val="21"/>
        </w:rPr>
      </w:pPr>
      <w:r>
        <w:rPr>
          <w:rFonts w:hint="eastAsia"/>
          <w:i/>
          <w:szCs w:val="21"/>
        </w:rPr>
        <w:t>国内法律法规的规定（当国内法律法规比亚投行环境社会健康安全的要求高时）</w:t>
      </w:r>
    </w:p>
    <w:p>
      <w:pPr>
        <w:pStyle w:val="102"/>
        <w:widowControl/>
        <w:numPr>
          <w:ilvl w:val="0"/>
          <w:numId w:val="26"/>
        </w:numPr>
        <w:spacing w:after="120"/>
        <w:ind w:firstLineChars="0"/>
        <w:rPr>
          <w:i/>
          <w:szCs w:val="21"/>
        </w:rPr>
      </w:pPr>
      <w:r>
        <w:rPr>
          <w:rFonts w:hint="eastAsia"/>
          <w:i/>
          <w:szCs w:val="21"/>
        </w:rPr>
        <w:t>相关的国际标准</w:t>
      </w:r>
    </w:p>
    <w:p>
      <w:pPr>
        <w:pStyle w:val="102"/>
        <w:widowControl/>
        <w:numPr>
          <w:ilvl w:val="0"/>
          <w:numId w:val="26"/>
        </w:numPr>
        <w:spacing w:after="120"/>
        <w:ind w:firstLineChars="0"/>
        <w:rPr>
          <w:i/>
          <w:szCs w:val="21"/>
        </w:rPr>
      </w:pPr>
      <w:r>
        <w:rPr>
          <w:rFonts w:hint="eastAsia"/>
          <w:i/>
          <w:szCs w:val="21"/>
        </w:rPr>
        <w:t>行业的相关要求，比如对工人住所的要求</w:t>
      </w:r>
      <w:r>
        <w:rPr>
          <w:i/>
          <w:szCs w:val="21"/>
        </w:rPr>
        <w:t xml:space="preserve"> </w:t>
      </w:r>
    </w:p>
    <w:p>
      <w:pPr>
        <w:pStyle w:val="102"/>
        <w:widowControl/>
        <w:numPr>
          <w:ilvl w:val="0"/>
          <w:numId w:val="26"/>
        </w:numPr>
        <w:spacing w:after="120"/>
        <w:ind w:firstLineChars="0"/>
        <w:rPr>
          <w:i/>
          <w:szCs w:val="21"/>
        </w:rPr>
      </w:pPr>
      <w:r>
        <w:rPr>
          <w:rFonts w:hint="eastAsia"/>
          <w:i/>
          <w:szCs w:val="21"/>
        </w:rPr>
        <w:t>申诉处理机制</w:t>
      </w:r>
    </w:p>
    <w:p>
      <w:pPr>
        <w:spacing w:after="120"/>
        <w:ind w:left="360"/>
        <w:rPr>
          <w:i/>
          <w:szCs w:val="21"/>
        </w:rPr>
      </w:pPr>
      <w:r>
        <w:rPr>
          <w:rFonts w:hint="eastAsia"/>
          <w:i/>
          <w:szCs w:val="21"/>
        </w:rPr>
        <w:t>环境-社会-健康-安全要求不应与一般合同条款和特殊合同条款有冲突，特别是以下条款</w:t>
      </w:r>
      <w:r>
        <w:rPr>
          <w:i/>
          <w:szCs w:val="21"/>
        </w:rPr>
        <w:t>:</w:t>
      </w:r>
    </w:p>
    <w:p>
      <w:pPr>
        <w:spacing w:after="120"/>
        <w:ind w:left="1170"/>
        <w:rPr>
          <w:i/>
          <w:szCs w:val="21"/>
          <w:u w:val="single"/>
        </w:rPr>
      </w:pPr>
      <w:r>
        <w:rPr>
          <w:rFonts w:hint="eastAsia"/>
          <w:i/>
          <w:szCs w:val="21"/>
          <w:u w:val="single"/>
        </w:rPr>
        <w:t>一般合同条款</w:t>
      </w:r>
      <w:r>
        <w:rPr>
          <w:i/>
          <w:szCs w:val="21"/>
          <w:u w:val="single"/>
        </w:rPr>
        <w:t xml:space="preserve"> </w:t>
      </w:r>
    </w:p>
    <w:p>
      <w:pPr>
        <w:tabs>
          <w:tab w:val="left" w:pos="2970"/>
        </w:tabs>
        <w:spacing w:after="120"/>
        <w:ind w:left="1170"/>
        <w:rPr>
          <w:szCs w:val="21"/>
        </w:rPr>
      </w:pPr>
      <w:r>
        <w:rPr>
          <w:rFonts w:hint="eastAsia"/>
          <w:szCs w:val="21"/>
        </w:rPr>
        <w:t>第</w:t>
      </w:r>
      <w:r>
        <w:rPr>
          <w:szCs w:val="21"/>
        </w:rPr>
        <w:t>3.1</w:t>
      </w:r>
      <w:r>
        <w:rPr>
          <w:rFonts w:hint="eastAsia"/>
          <w:szCs w:val="21"/>
        </w:rPr>
        <w:t>款</w:t>
      </w:r>
      <w:r>
        <w:rPr>
          <w:szCs w:val="21"/>
        </w:rPr>
        <w:t xml:space="preserve"> </w:t>
      </w:r>
      <w:r>
        <w:rPr>
          <w:szCs w:val="21"/>
        </w:rPr>
        <w:tab/>
      </w:r>
      <w:r>
        <w:rPr>
          <w:rFonts w:hint="eastAsia"/>
          <w:szCs w:val="21"/>
        </w:rPr>
        <w:t>语言与法律</w:t>
      </w:r>
    </w:p>
    <w:p>
      <w:pPr>
        <w:tabs>
          <w:tab w:val="left" w:pos="2970"/>
        </w:tabs>
        <w:spacing w:after="120"/>
        <w:ind w:left="1170"/>
        <w:rPr>
          <w:szCs w:val="21"/>
        </w:rPr>
      </w:pPr>
      <w:r>
        <w:rPr>
          <w:rFonts w:hint="eastAsia"/>
          <w:szCs w:val="21"/>
        </w:rPr>
        <w:t>第</w:t>
      </w:r>
      <w:r>
        <w:rPr>
          <w:szCs w:val="21"/>
        </w:rPr>
        <w:t>7.1</w:t>
      </w:r>
      <w:r>
        <w:rPr>
          <w:rFonts w:hint="eastAsia"/>
          <w:szCs w:val="21"/>
        </w:rPr>
        <w:t>款</w:t>
      </w:r>
      <w:r>
        <w:rPr>
          <w:szCs w:val="21"/>
        </w:rPr>
        <w:tab/>
      </w:r>
      <w:r>
        <w:rPr>
          <w:rFonts w:hint="eastAsia"/>
          <w:szCs w:val="21"/>
        </w:rPr>
        <w:t>分包</w:t>
      </w:r>
    </w:p>
    <w:p>
      <w:pPr>
        <w:tabs>
          <w:tab w:val="left" w:pos="2970"/>
        </w:tabs>
        <w:spacing w:after="120"/>
        <w:ind w:left="1170"/>
        <w:rPr>
          <w:szCs w:val="21"/>
        </w:rPr>
      </w:pPr>
      <w:r>
        <w:rPr>
          <w:rFonts w:hint="eastAsia"/>
          <w:szCs w:val="21"/>
        </w:rPr>
        <w:t>第</w:t>
      </w:r>
      <w:r>
        <w:rPr>
          <w:szCs w:val="21"/>
        </w:rPr>
        <w:t>8.1</w:t>
      </w:r>
      <w:r>
        <w:rPr>
          <w:rFonts w:hint="eastAsia"/>
          <w:szCs w:val="21"/>
        </w:rPr>
        <w:t>款</w:t>
      </w:r>
      <w:r>
        <w:rPr>
          <w:szCs w:val="21"/>
        </w:rPr>
        <w:tab/>
      </w:r>
      <w:r>
        <w:rPr>
          <w:rFonts w:hint="eastAsia"/>
          <w:szCs w:val="21"/>
        </w:rPr>
        <w:t>其它承包商</w:t>
      </w:r>
    </w:p>
    <w:p>
      <w:pPr>
        <w:tabs>
          <w:tab w:val="left" w:pos="2970"/>
        </w:tabs>
        <w:spacing w:after="120"/>
        <w:ind w:left="1170"/>
        <w:rPr>
          <w:szCs w:val="21"/>
        </w:rPr>
      </w:pPr>
      <w:r>
        <w:rPr>
          <w:rFonts w:hint="eastAsia"/>
          <w:szCs w:val="21"/>
        </w:rPr>
        <w:t>第</w:t>
      </w:r>
      <w:r>
        <w:rPr>
          <w:szCs w:val="21"/>
        </w:rPr>
        <w:t xml:space="preserve">9.1 </w:t>
      </w:r>
      <w:r>
        <w:rPr>
          <w:rFonts w:hint="eastAsia"/>
          <w:szCs w:val="21"/>
        </w:rPr>
        <w:t>与</w:t>
      </w:r>
      <w:r>
        <w:rPr>
          <w:szCs w:val="21"/>
        </w:rPr>
        <w:t>9.2</w:t>
      </w:r>
      <w:r>
        <w:rPr>
          <w:rFonts w:hint="eastAsia"/>
          <w:szCs w:val="21"/>
        </w:rPr>
        <w:t>款</w:t>
      </w:r>
      <w:r>
        <w:rPr>
          <w:szCs w:val="21"/>
        </w:rPr>
        <w:t xml:space="preserve">        </w:t>
      </w:r>
      <w:r>
        <w:rPr>
          <w:rFonts w:hint="eastAsia"/>
          <w:szCs w:val="21"/>
        </w:rPr>
        <w:t>人员与设备</w:t>
      </w:r>
    </w:p>
    <w:p>
      <w:pPr>
        <w:tabs>
          <w:tab w:val="left" w:pos="2970"/>
        </w:tabs>
        <w:spacing w:after="120"/>
        <w:ind w:left="1170"/>
        <w:rPr>
          <w:szCs w:val="21"/>
        </w:rPr>
      </w:pPr>
      <w:r>
        <w:rPr>
          <w:rFonts w:hint="eastAsia"/>
          <w:szCs w:val="21"/>
        </w:rPr>
        <w:t>第</w:t>
      </w:r>
      <w:r>
        <w:rPr>
          <w:szCs w:val="21"/>
        </w:rPr>
        <w:t>12.1</w:t>
      </w:r>
      <w:r>
        <w:rPr>
          <w:rFonts w:hint="eastAsia"/>
          <w:szCs w:val="21"/>
        </w:rPr>
        <w:t>款</w:t>
      </w:r>
      <w:r>
        <w:rPr>
          <w:szCs w:val="21"/>
        </w:rPr>
        <w:t xml:space="preserve">       </w:t>
      </w:r>
      <w:r>
        <w:rPr>
          <w:szCs w:val="21"/>
        </w:rPr>
        <w:tab/>
      </w:r>
      <w:r>
        <w:rPr>
          <w:rFonts w:hint="eastAsia"/>
          <w:szCs w:val="21"/>
        </w:rPr>
        <w:t>承包商的风险</w:t>
      </w:r>
    </w:p>
    <w:p>
      <w:pPr>
        <w:tabs>
          <w:tab w:val="left" w:pos="2970"/>
        </w:tabs>
        <w:spacing w:after="120"/>
        <w:ind w:left="1170"/>
        <w:rPr>
          <w:szCs w:val="21"/>
        </w:rPr>
      </w:pPr>
      <w:r>
        <w:rPr>
          <w:rFonts w:hint="eastAsia"/>
          <w:szCs w:val="21"/>
        </w:rPr>
        <w:t>第</w:t>
      </w:r>
      <w:r>
        <w:rPr>
          <w:szCs w:val="21"/>
        </w:rPr>
        <w:t>16.1</w:t>
      </w:r>
      <w:r>
        <w:rPr>
          <w:rFonts w:hint="eastAsia"/>
          <w:szCs w:val="21"/>
        </w:rPr>
        <w:t>款</w:t>
      </w:r>
      <w:r>
        <w:rPr>
          <w:szCs w:val="21"/>
        </w:rPr>
        <w:t xml:space="preserve"> </w:t>
      </w:r>
      <w:r>
        <w:rPr>
          <w:szCs w:val="21"/>
        </w:rPr>
        <w:tab/>
      </w:r>
      <w:r>
        <w:rPr>
          <w:rFonts w:hint="eastAsia"/>
          <w:szCs w:val="21"/>
        </w:rPr>
        <w:t>承包商实施工程</w:t>
      </w:r>
      <w:r>
        <w:rPr>
          <w:szCs w:val="21"/>
        </w:rPr>
        <w:t xml:space="preserve"> </w:t>
      </w:r>
    </w:p>
    <w:p>
      <w:pPr>
        <w:tabs>
          <w:tab w:val="left" w:pos="2970"/>
        </w:tabs>
        <w:spacing w:after="120"/>
        <w:ind w:left="1170"/>
        <w:rPr>
          <w:szCs w:val="21"/>
        </w:rPr>
      </w:pPr>
      <w:r>
        <w:rPr>
          <w:rFonts w:hint="eastAsia"/>
          <w:szCs w:val="21"/>
        </w:rPr>
        <w:t>第</w:t>
      </w:r>
      <w:r>
        <w:rPr>
          <w:szCs w:val="21"/>
        </w:rPr>
        <w:t>19.1</w:t>
      </w:r>
      <w:r>
        <w:rPr>
          <w:rFonts w:hint="eastAsia"/>
          <w:szCs w:val="21"/>
        </w:rPr>
        <w:t>款</w:t>
      </w:r>
      <w:r>
        <w:rPr>
          <w:szCs w:val="21"/>
        </w:rPr>
        <w:tab/>
      </w:r>
      <w:r>
        <w:rPr>
          <w:rFonts w:hint="eastAsia"/>
          <w:szCs w:val="21"/>
        </w:rPr>
        <w:t>安全和环境保护</w:t>
      </w:r>
      <w:r>
        <w:rPr>
          <w:szCs w:val="21"/>
        </w:rPr>
        <w:t xml:space="preserve"> </w:t>
      </w:r>
    </w:p>
    <w:p>
      <w:pPr>
        <w:tabs>
          <w:tab w:val="left" w:pos="2970"/>
        </w:tabs>
        <w:spacing w:after="120"/>
        <w:ind w:left="1170"/>
        <w:rPr>
          <w:szCs w:val="21"/>
        </w:rPr>
      </w:pPr>
      <w:r>
        <w:rPr>
          <w:rFonts w:hint="eastAsia"/>
          <w:szCs w:val="21"/>
        </w:rPr>
        <w:t>第</w:t>
      </w:r>
      <w:r>
        <w:rPr>
          <w:szCs w:val="21"/>
        </w:rPr>
        <w:t>20.1</w:t>
      </w:r>
      <w:r>
        <w:rPr>
          <w:rFonts w:hint="eastAsia"/>
          <w:szCs w:val="21"/>
        </w:rPr>
        <w:t>款</w:t>
      </w:r>
      <w:r>
        <w:rPr>
          <w:szCs w:val="21"/>
        </w:rPr>
        <w:t xml:space="preserve"> </w:t>
      </w:r>
      <w:r>
        <w:rPr>
          <w:szCs w:val="21"/>
        </w:rPr>
        <w:tab/>
      </w:r>
      <w:r>
        <w:rPr>
          <w:rFonts w:hint="eastAsia"/>
          <w:szCs w:val="21"/>
        </w:rPr>
        <w:t>现场发现</w:t>
      </w:r>
    </w:p>
    <w:p>
      <w:pPr>
        <w:tabs>
          <w:tab w:val="left" w:pos="2970"/>
        </w:tabs>
        <w:spacing w:after="120"/>
        <w:ind w:left="1170"/>
        <w:rPr>
          <w:szCs w:val="21"/>
        </w:rPr>
      </w:pPr>
      <w:r>
        <w:rPr>
          <w:rFonts w:hint="eastAsia"/>
          <w:szCs w:val="21"/>
        </w:rPr>
        <w:t>第</w:t>
      </w:r>
      <w:r>
        <w:rPr>
          <w:szCs w:val="21"/>
        </w:rPr>
        <w:t>31.1</w:t>
      </w:r>
      <w:r>
        <w:rPr>
          <w:rFonts w:hint="eastAsia"/>
          <w:szCs w:val="21"/>
        </w:rPr>
        <w:t>与</w:t>
      </w:r>
      <w:r>
        <w:rPr>
          <w:szCs w:val="21"/>
        </w:rPr>
        <w:t>31.2</w:t>
      </w:r>
      <w:r>
        <w:rPr>
          <w:rFonts w:hint="eastAsia"/>
          <w:szCs w:val="21"/>
        </w:rPr>
        <w:t>款</w:t>
      </w:r>
      <w:r>
        <w:rPr>
          <w:szCs w:val="21"/>
        </w:rPr>
        <w:t xml:space="preserve">     </w:t>
      </w:r>
      <w:r>
        <w:rPr>
          <w:rFonts w:hint="eastAsia"/>
          <w:szCs w:val="21"/>
        </w:rPr>
        <w:t>提前通报</w:t>
      </w:r>
    </w:p>
    <w:p>
      <w:pPr>
        <w:tabs>
          <w:tab w:val="left" w:pos="2970"/>
        </w:tabs>
        <w:spacing w:after="120"/>
        <w:ind w:left="1170"/>
        <w:rPr>
          <w:szCs w:val="21"/>
        </w:rPr>
      </w:pPr>
      <w:r>
        <w:rPr>
          <w:rFonts w:hint="eastAsia"/>
          <w:szCs w:val="21"/>
        </w:rPr>
        <w:t>第</w:t>
      </w:r>
      <w:r>
        <w:rPr>
          <w:szCs w:val="21"/>
        </w:rPr>
        <w:t>41.4</w:t>
      </w:r>
      <w:r>
        <w:rPr>
          <w:rFonts w:hint="eastAsia"/>
          <w:szCs w:val="21"/>
        </w:rPr>
        <w:t>款</w:t>
      </w:r>
      <w:r>
        <w:rPr>
          <w:szCs w:val="21"/>
        </w:rPr>
        <w:t xml:space="preserve">    </w:t>
      </w:r>
      <w:r>
        <w:rPr>
          <w:szCs w:val="21"/>
        </w:rPr>
        <w:tab/>
      </w:r>
      <w:r>
        <w:rPr>
          <w:rFonts w:hint="eastAsia"/>
          <w:szCs w:val="21"/>
        </w:rPr>
        <w:t>支付</w:t>
      </w:r>
      <w:r>
        <w:rPr>
          <w:szCs w:val="21"/>
        </w:rPr>
        <w:t xml:space="preserve"> </w:t>
      </w:r>
    </w:p>
    <w:p>
      <w:pPr>
        <w:tabs>
          <w:tab w:val="left" w:pos="2970"/>
        </w:tabs>
        <w:spacing w:after="120"/>
        <w:ind w:left="2970" w:hanging="2610"/>
        <w:rPr>
          <w:b/>
          <w:smallCaps/>
          <w:szCs w:val="21"/>
        </w:rPr>
      </w:pPr>
    </w:p>
    <w:p>
      <w:pPr>
        <w:tabs>
          <w:tab w:val="left" w:pos="2970"/>
        </w:tabs>
        <w:spacing w:after="120"/>
        <w:ind w:left="2970" w:hanging="2610"/>
        <w:rPr>
          <w:b/>
          <w:smallCaps/>
          <w:szCs w:val="21"/>
        </w:rPr>
      </w:pPr>
      <w:r>
        <w:rPr>
          <w:rFonts w:hint="eastAsia"/>
          <w:b/>
          <w:smallCaps/>
          <w:szCs w:val="21"/>
        </w:rPr>
        <w:t>对行为准则的基本要求</w:t>
      </w:r>
    </w:p>
    <w:p>
      <w:pPr>
        <w:spacing w:after="120"/>
        <w:ind w:left="360"/>
        <w:rPr>
          <w:i/>
          <w:szCs w:val="21"/>
        </w:rPr>
      </w:pPr>
      <w:r>
        <w:rPr>
          <w:rFonts w:hint="eastAsia"/>
          <w:i/>
          <w:szCs w:val="21"/>
        </w:rPr>
        <w:t>应在考虑以下文件识别的问题、其影响以及风险防范措施后制定行为准则的基本要求</w:t>
      </w:r>
      <w:r>
        <w:rPr>
          <w:i/>
          <w:szCs w:val="21"/>
        </w:rPr>
        <w:t>:</w:t>
      </w:r>
    </w:p>
    <w:p>
      <w:pPr>
        <w:pStyle w:val="102"/>
        <w:widowControl/>
        <w:numPr>
          <w:ilvl w:val="0"/>
          <w:numId w:val="26"/>
        </w:numPr>
        <w:spacing w:after="120"/>
        <w:ind w:firstLineChars="0"/>
        <w:rPr>
          <w:i/>
          <w:szCs w:val="21"/>
        </w:rPr>
      </w:pPr>
      <w:r>
        <w:rPr>
          <w:rFonts w:hint="eastAsia"/>
          <w:i/>
          <w:szCs w:val="21"/>
        </w:rPr>
        <w:t>项目报告，例如环境社会实施计划、环境社会管理计划</w:t>
      </w:r>
    </w:p>
    <w:p>
      <w:pPr>
        <w:pStyle w:val="102"/>
        <w:widowControl/>
        <w:numPr>
          <w:ilvl w:val="0"/>
          <w:numId w:val="26"/>
        </w:numPr>
        <w:spacing w:after="120"/>
        <w:ind w:firstLineChars="0"/>
        <w:rPr>
          <w:i/>
          <w:szCs w:val="21"/>
        </w:rPr>
      </w:pPr>
      <w:r>
        <w:rPr>
          <w:rFonts w:hint="eastAsia"/>
          <w:i/>
          <w:szCs w:val="21"/>
        </w:rPr>
        <w:t>政府部门颁发有关许可证时要求遵守的规定</w:t>
      </w:r>
    </w:p>
    <w:p>
      <w:pPr>
        <w:pStyle w:val="102"/>
        <w:widowControl/>
        <w:numPr>
          <w:ilvl w:val="0"/>
          <w:numId w:val="26"/>
        </w:numPr>
        <w:spacing w:after="120"/>
        <w:ind w:firstLineChars="0"/>
        <w:rPr>
          <w:i/>
          <w:szCs w:val="21"/>
        </w:rPr>
      </w:pPr>
      <w:r>
        <w:rPr>
          <w:rFonts w:hint="eastAsia"/>
          <w:i/>
          <w:szCs w:val="21"/>
        </w:rPr>
        <w:t>亚投行环境健康安全指南要求</w:t>
      </w:r>
      <w:r>
        <w:rPr>
          <w:i/>
          <w:szCs w:val="21"/>
        </w:rPr>
        <w:t xml:space="preserve"> </w:t>
      </w:r>
    </w:p>
    <w:p>
      <w:pPr>
        <w:pStyle w:val="102"/>
        <w:widowControl/>
        <w:numPr>
          <w:ilvl w:val="0"/>
          <w:numId w:val="26"/>
        </w:numPr>
        <w:spacing w:after="120"/>
        <w:ind w:firstLineChars="0"/>
        <w:rPr>
          <w:i/>
          <w:szCs w:val="21"/>
        </w:rPr>
      </w:pPr>
      <w:r>
        <w:rPr>
          <w:rFonts w:hint="eastAsia"/>
          <w:i/>
          <w:szCs w:val="21"/>
        </w:rPr>
        <w:t>国内法律法规的规定（当国内法律法规比亚投行环境社会健康安全的要求高时）</w:t>
      </w:r>
    </w:p>
    <w:p>
      <w:pPr>
        <w:pStyle w:val="102"/>
        <w:widowControl/>
        <w:numPr>
          <w:ilvl w:val="0"/>
          <w:numId w:val="26"/>
        </w:numPr>
        <w:spacing w:after="120"/>
        <w:ind w:firstLineChars="0"/>
        <w:rPr>
          <w:i/>
          <w:szCs w:val="21"/>
        </w:rPr>
      </w:pPr>
      <w:r>
        <w:rPr>
          <w:rFonts w:hint="eastAsia"/>
          <w:i/>
          <w:szCs w:val="21"/>
        </w:rPr>
        <w:t>行业的相关要求，比如对工人住所的要求</w:t>
      </w:r>
      <w:r>
        <w:rPr>
          <w:i/>
          <w:szCs w:val="21"/>
        </w:rPr>
        <w:t xml:space="preserve"> </w:t>
      </w:r>
    </w:p>
    <w:p>
      <w:pPr>
        <w:pStyle w:val="102"/>
        <w:widowControl/>
        <w:numPr>
          <w:ilvl w:val="0"/>
          <w:numId w:val="26"/>
        </w:numPr>
        <w:spacing w:after="120"/>
        <w:ind w:firstLineChars="0"/>
        <w:rPr>
          <w:i/>
          <w:szCs w:val="21"/>
        </w:rPr>
      </w:pPr>
      <w:r>
        <w:rPr>
          <w:rFonts w:hint="eastAsia"/>
          <w:i/>
          <w:szCs w:val="21"/>
        </w:rPr>
        <w:t>申诉处理机制</w:t>
      </w:r>
    </w:p>
    <w:p>
      <w:pPr>
        <w:spacing w:after="120"/>
        <w:ind w:left="360"/>
        <w:rPr>
          <w:i/>
          <w:color w:val="000000"/>
          <w:szCs w:val="21"/>
        </w:rPr>
      </w:pPr>
      <w:r>
        <w:rPr>
          <w:rFonts w:hint="eastAsia"/>
          <w:i/>
          <w:color w:val="000000"/>
          <w:szCs w:val="21"/>
        </w:rPr>
        <w:t>鉴别到的问题可能包括与以下因素有关的风险：外来劳工流入、可传染疾病的传播、性骚扰、与性别有关的暴力、非法行为和犯罪、建立安全的工作环境等</w:t>
      </w:r>
    </w:p>
    <w:p>
      <w:pPr>
        <w:spacing w:after="120"/>
        <w:ind w:left="360"/>
        <w:rPr>
          <w:i/>
          <w:color w:val="000000"/>
          <w:szCs w:val="21"/>
        </w:rPr>
      </w:pPr>
      <w:r>
        <w:rPr>
          <w:rFonts w:hint="eastAsia"/>
          <w:i/>
          <w:color w:val="000000"/>
          <w:szCs w:val="21"/>
        </w:rPr>
        <w:t>行为准则的基本要求可以参照以下内容：</w:t>
      </w:r>
    </w:p>
    <w:p>
      <w:pPr>
        <w:rPr>
          <w:b/>
          <w:smallCaps/>
          <w:szCs w:val="21"/>
        </w:rPr>
      </w:pPr>
    </w:p>
    <w:p>
      <w:pPr>
        <w:rPr>
          <w:b/>
          <w:smallCaps/>
          <w:szCs w:val="21"/>
        </w:rPr>
      </w:pPr>
      <w:r>
        <w:rPr>
          <w:rFonts w:hint="eastAsia"/>
          <w:b/>
          <w:smallCaps/>
          <w:szCs w:val="21"/>
        </w:rPr>
        <w:t>行为准则的要求</w:t>
      </w:r>
    </w:p>
    <w:p>
      <w:pPr>
        <w:jc w:val="center"/>
        <w:rPr>
          <w:b/>
          <w:szCs w:val="21"/>
        </w:rPr>
      </w:pPr>
    </w:p>
    <w:p>
      <w:pPr>
        <w:ind w:firstLine="420"/>
        <w:rPr>
          <w:szCs w:val="21"/>
        </w:rPr>
      </w:pPr>
      <w:r>
        <w:rPr>
          <w:rFonts w:hint="eastAsia"/>
          <w:szCs w:val="21"/>
        </w:rPr>
        <w:t>一个满意的行为准则应该包括项目所有员工（包括分包商和零时工）的义务，这些义务至少应包括以下内容。项目所在地域、行业或项目的特殊需求可能要求其它的义务。这些义务应包括的内容有：</w:t>
      </w:r>
    </w:p>
    <w:p>
      <w:pPr>
        <w:pStyle w:val="102"/>
        <w:widowControl/>
        <w:numPr>
          <w:ilvl w:val="0"/>
          <w:numId w:val="27"/>
        </w:numPr>
        <w:spacing w:after="60" w:line="240" w:lineRule="atLeast"/>
        <w:ind w:firstLineChars="0"/>
        <w:jc w:val="left"/>
        <w:rPr>
          <w:rFonts w:ascii="宋体" w:hAnsi="宋体"/>
          <w:szCs w:val="21"/>
        </w:rPr>
      </w:pPr>
      <w:r>
        <w:rPr>
          <w:rFonts w:hint="eastAsia" w:ascii="宋体" w:hAnsi="宋体"/>
          <w:bCs/>
          <w:szCs w:val="21"/>
        </w:rPr>
        <w:t>遵守有关法律、规定、法规的要求</w:t>
      </w:r>
      <w:r>
        <w:rPr>
          <w:rFonts w:ascii="宋体" w:hAnsi="宋体"/>
          <w:bCs/>
          <w:szCs w:val="21"/>
        </w:rPr>
        <w:t xml:space="preserve"> </w:t>
      </w:r>
    </w:p>
    <w:p>
      <w:pPr>
        <w:pStyle w:val="102"/>
        <w:widowControl/>
        <w:numPr>
          <w:ilvl w:val="0"/>
          <w:numId w:val="27"/>
        </w:numPr>
        <w:spacing w:after="60" w:line="240" w:lineRule="atLeast"/>
        <w:ind w:firstLineChars="0"/>
        <w:rPr>
          <w:rFonts w:ascii="宋体" w:hAnsi="宋体" w:cs="Arial"/>
          <w:szCs w:val="21"/>
        </w:rPr>
      </w:pPr>
      <w:r>
        <w:rPr>
          <w:rFonts w:hint="eastAsia" w:ascii="宋体" w:hAnsi="宋体" w:cs="Arial"/>
          <w:szCs w:val="21"/>
        </w:rPr>
        <w:t>遵守有关的健康安全要求（例如佩戴规定的安全防护设备、防范可以避免的事故、及时报告带来安全危害或危及环境的做法</w:t>
      </w:r>
      <w:r>
        <w:rPr>
          <w:rFonts w:ascii="宋体" w:hAnsi="宋体" w:cs="Arial"/>
          <w:szCs w:val="21"/>
        </w:rPr>
        <w:t xml:space="preserve">)  </w:t>
      </w:r>
    </w:p>
    <w:p>
      <w:pPr>
        <w:pStyle w:val="102"/>
        <w:widowControl/>
        <w:numPr>
          <w:ilvl w:val="0"/>
          <w:numId w:val="27"/>
        </w:numPr>
        <w:spacing w:after="60" w:line="240" w:lineRule="atLeast"/>
        <w:ind w:firstLineChars="0"/>
        <w:jc w:val="left"/>
        <w:rPr>
          <w:rFonts w:ascii="宋体" w:hAnsi="宋体"/>
          <w:szCs w:val="21"/>
        </w:rPr>
      </w:pPr>
      <w:r>
        <w:rPr>
          <w:rFonts w:hint="eastAsia" w:ascii="宋体" w:hAnsi="宋体"/>
          <w:szCs w:val="21"/>
        </w:rPr>
        <w:t>非法物资的使用</w:t>
      </w:r>
      <w:r>
        <w:rPr>
          <w:rFonts w:ascii="宋体" w:hAnsi="宋体"/>
          <w:szCs w:val="21"/>
        </w:rPr>
        <w:t xml:space="preserve"> </w:t>
      </w:r>
    </w:p>
    <w:p>
      <w:pPr>
        <w:pStyle w:val="102"/>
        <w:widowControl/>
        <w:numPr>
          <w:ilvl w:val="0"/>
          <w:numId w:val="27"/>
        </w:numPr>
        <w:spacing w:after="60" w:line="240" w:lineRule="atLeast"/>
        <w:ind w:firstLineChars="0"/>
        <w:jc w:val="left"/>
        <w:rPr>
          <w:rFonts w:ascii="宋体" w:hAnsi="宋体"/>
          <w:szCs w:val="21"/>
        </w:rPr>
      </w:pPr>
      <w:r>
        <w:rPr>
          <w:rFonts w:hint="eastAsia" w:ascii="宋体" w:hAnsi="宋体"/>
          <w:bCs/>
          <w:szCs w:val="21"/>
        </w:rPr>
        <w:t>杜绝歧视</w:t>
      </w:r>
      <w:r>
        <w:rPr>
          <w:rFonts w:ascii="宋体" w:hAnsi="宋体"/>
          <w:bCs/>
          <w:szCs w:val="21"/>
        </w:rPr>
        <w:t>(</w:t>
      </w:r>
      <w:r>
        <w:rPr>
          <w:rFonts w:hint="eastAsia" w:ascii="宋体" w:hAnsi="宋体"/>
          <w:bCs/>
          <w:szCs w:val="21"/>
        </w:rPr>
        <w:t>例如基于家庭出身、民族、种族、性别、宗教信仰、语言、婚姻状况、出生时间、年龄、残疾状况、或政治信仰</w:t>
      </w:r>
      <w:r>
        <w:rPr>
          <w:rFonts w:ascii="宋体" w:hAnsi="宋体"/>
          <w:szCs w:val="21"/>
        </w:rPr>
        <w:t>)</w:t>
      </w:r>
      <w:r>
        <w:rPr>
          <w:rFonts w:ascii="宋体" w:hAnsi="宋体"/>
          <w:bCs/>
          <w:szCs w:val="21"/>
        </w:rPr>
        <w:t xml:space="preserve"> </w:t>
      </w:r>
    </w:p>
    <w:p>
      <w:pPr>
        <w:pStyle w:val="102"/>
        <w:widowControl/>
        <w:numPr>
          <w:ilvl w:val="0"/>
          <w:numId w:val="27"/>
        </w:numPr>
        <w:spacing w:after="60" w:line="240" w:lineRule="atLeast"/>
        <w:ind w:firstLineChars="0"/>
        <w:jc w:val="left"/>
        <w:rPr>
          <w:rFonts w:ascii="宋体" w:hAnsi="宋体"/>
          <w:szCs w:val="21"/>
        </w:rPr>
      </w:pPr>
      <w:r>
        <w:rPr>
          <w:rFonts w:hint="eastAsia" w:ascii="宋体" w:hAnsi="宋体"/>
          <w:bCs/>
          <w:szCs w:val="21"/>
        </w:rPr>
        <w:t>与社区人员的互动</w:t>
      </w:r>
      <w:r>
        <w:rPr>
          <w:rFonts w:ascii="宋体" w:hAnsi="宋体"/>
          <w:bCs/>
          <w:szCs w:val="21"/>
        </w:rPr>
        <w:t>(</w:t>
      </w:r>
      <w:r>
        <w:rPr>
          <w:rFonts w:hint="eastAsia" w:ascii="宋体" w:hAnsi="宋体"/>
          <w:bCs/>
          <w:szCs w:val="21"/>
        </w:rPr>
        <w:t>例如向社区人员表明尊重和没有歧视</w:t>
      </w:r>
      <w:r>
        <w:rPr>
          <w:rFonts w:ascii="宋体" w:hAnsi="宋体"/>
          <w:szCs w:val="21"/>
        </w:rPr>
        <w:t>)</w:t>
      </w:r>
    </w:p>
    <w:p>
      <w:pPr>
        <w:pStyle w:val="102"/>
        <w:widowControl/>
        <w:numPr>
          <w:ilvl w:val="0"/>
          <w:numId w:val="27"/>
        </w:numPr>
        <w:spacing w:after="60" w:line="240" w:lineRule="atLeast"/>
        <w:ind w:firstLineChars="0"/>
        <w:rPr>
          <w:rFonts w:ascii="宋体" w:hAnsi="宋体"/>
          <w:szCs w:val="21"/>
        </w:rPr>
      </w:pPr>
      <w:r>
        <w:rPr>
          <w:rFonts w:hint="eastAsia" w:ascii="宋体" w:hAnsi="宋体"/>
          <w:bCs/>
          <w:szCs w:val="21"/>
        </w:rPr>
        <w:t>性骚扰</w:t>
      </w:r>
      <w:r>
        <w:rPr>
          <w:rFonts w:ascii="宋体" w:hAnsi="宋体"/>
          <w:bCs/>
          <w:szCs w:val="21"/>
        </w:rPr>
        <w:t>(</w:t>
      </w:r>
      <w:r>
        <w:rPr>
          <w:rFonts w:hint="eastAsia" w:ascii="宋体" w:hAnsi="宋体"/>
          <w:bCs/>
          <w:szCs w:val="21"/>
        </w:rPr>
        <w:t>例如针对妇女或儿童的禁止使用的语言或行为，这些语言或行为是不妥当的、骚扰性的、滥用的、性挑衅、下贱的、触犯信仰文化的</w:t>
      </w:r>
      <w:r>
        <w:rPr>
          <w:rFonts w:ascii="宋体" w:hAnsi="宋体"/>
          <w:szCs w:val="21"/>
        </w:rPr>
        <w:t>)</w:t>
      </w:r>
    </w:p>
    <w:p>
      <w:pPr>
        <w:pStyle w:val="102"/>
        <w:widowControl/>
        <w:numPr>
          <w:ilvl w:val="0"/>
          <w:numId w:val="27"/>
        </w:numPr>
        <w:spacing w:after="60" w:line="240" w:lineRule="atLeast"/>
        <w:ind w:firstLineChars="0"/>
        <w:rPr>
          <w:rFonts w:ascii="宋体" w:hAnsi="宋体"/>
          <w:szCs w:val="21"/>
        </w:rPr>
      </w:pPr>
      <w:r>
        <w:rPr>
          <w:rFonts w:hint="eastAsia" w:ascii="宋体" w:hAnsi="宋体"/>
          <w:bCs/>
          <w:szCs w:val="21"/>
        </w:rPr>
        <w:t>暴力或剥削</w:t>
      </w:r>
      <w:r>
        <w:rPr>
          <w:rFonts w:ascii="宋体" w:hAnsi="宋体"/>
          <w:bCs/>
          <w:szCs w:val="21"/>
        </w:rPr>
        <w:t>(</w:t>
      </w:r>
      <w:r>
        <w:rPr>
          <w:rFonts w:hint="eastAsia" w:ascii="宋体" w:hAnsi="宋体"/>
          <w:bCs/>
          <w:szCs w:val="21"/>
        </w:rPr>
        <w:t>例如禁止兑换货币、雇佣、财物、性服务、性偏好、其它形式的羞辱或剥削行为</w:t>
      </w:r>
      <w:r>
        <w:rPr>
          <w:rFonts w:ascii="宋体" w:hAnsi="宋体"/>
          <w:szCs w:val="21"/>
        </w:rPr>
        <w:t xml:space="preserve">)  </w:t>
      </w:r>
    </w:p>
    <w:p>
      <w:pPr>
        <w:pStyle w:val="102"/>
        <w:widowControl/>
        <w:numPr>
          <w:ilvl w:val="0"/>
          <w:numId w:val="27"/>
        </w:numPr>
        <w:spacing w:after="60" w:line="240" w:lineRule="atLeast"/>
        <w:ind w:firstLineChars="0"/>
        <w:rPr>
          <w:rFonts w:ascii="宋体" w:hAnsi="宋体" w:cs="Arial"/>
          <w:szCs w:val="21"/>
        </w:rPr>
      </w:pPr>
      <w:r>
        <w:rPr>
          <w:rFonts w:hint="eastAsia" w:ascii="宋体" w:hAnsi="宋体"/>
          <w:bCs/>
          <w:szCs w:val="21"/>
        </w:rPr>
        <w:t>儿童保护</w:t>
      </w:r>
      <w:r>
        <w:rPr>
          <w:rFonts w:ascii="宋体" w:hAnsi="宋体"/>
          <w:bCs/>
          <w:szCs w:val="21"/>
        </w:rPr>
        <w:t>(</w:t>
      </w:r>
      <w:r>
        <w:rPr>
          <w:rFonts w:hint="eastAsia" w:ascii="宋体" w:hAnsi="宋体"/>
          <w:bCs/>
          <w:szCs w:val="21"/>
        </w:rPr>
        <w:t>包括禁止滥用、污辱、或其它不可以接受的针对儿童的行为、限制与儿童的互动、在项目所在区域保证儿童安全等)</w:t>
      </w:r>
      <w:r>
        <w:rPr>
          <w:rFonts w:ascii="宋体" w:hAnsi="宋体" w:cs="Arial"/>
          <w:szCs w:val="21"/>
        </w:rPr>
        <w:t xml:space="preserve"> </w:t>
      </w:r>
    </w:p>
    <w:p>
      <w:pPr>
        <w:pStyle w:val="102"/>
        <w:numPr>
          <w:ilvl w:val="0"/>
          <w:numId w:val="27"/>
        </w:numPr>
        <w:spacing w:after="60" w:line="240" w:lineRule="atLeast"/>
        <w:ind w:firstLineChars="0"/>
        <w:rPr>
          <w:rFonts w:ascii="宋体" w:hAnsi="宋体" w:cs="Arial"/>
          <w:szCs w:val="21"/>
        </w:rPr>
      </w:pPr>
      <w:r>
        <w:rPr>
          <w:rFonts w:hint="eastAsia" w:ascii="宋体" w:hAnsi="宋体" w:cs="Arial"/>
          <w:szCs w:val="21"/>
        </w:rPr>
        <w:t>健康条件的要求（例如确保工人使用业主提供的卫生设施</w:t>
      </w:r>
      <w:r>
        <w:rPr>
          <w:rFonts w:ascii="宋体" w:hAnsi="宋体" w:cs="Arial"/>
          <w:szCs w:val="21"/>
        </w:rPr>
        <w:t>)</w:t>
      </w:r>
    </w:p>
    <w:p>
      <w:pPr>
        <w:pStyle w:val="102"/>
        <w:widowControl/>
        <w:numPr>
          <w:ilvl w:val="0"/>
          <w:numId w:val="27"/>
        </w:numPr>
        <w:spacing w:after="60" w:line="240" w:lineRule="atLeast"/>
        <w:ind w:firstLineChars="0"/>
        <w:jc w:val="left"/>
        <w:rPr>
          <w:rFonts w:ascii="宋体" w:hAnsi="宋体"/>
          <w:szCs w:val="21"/>
        </w:rPr>
      </w:pPr>
      <w:r>
        <w:rPr>
          <w:rFonts w:hint="eastAsia" w:ascii="宋体" w:hAnsi="宋体"/>
          <w:szCs w:val="21"/>
        </w:rPr>
        <w:t>规避利益冲突（例如利益、合同、雇佣、或任何形式的偏好不应给予任何有经济联系、家庭关系或者个人关系的人）</w:t>
      </w:r>
    </w:p>
    <w:p>
      <w:pPr>
        <w:pStyle w:val="102"/>
        <w:numPr>
          <w:ilvl w:val="0"/>
          <w:numId w:val="27"/>
        </w:numPr>
        <w:spacing w:after="60" w:line="240" w:lineRule="atLeast"/>
        <w:ind w:firstLineChars="0"/>
        <w:rPr>
          <w:rFonts w:ascii="宋体" w:hAnsi="宋体" w:cs="Arial"/>
          <w:szCs w:val="21"/>
        </w:rPr>
      </w:pPr>
      <w:r>
        <w:rPr>
          <w:rFonts w:hint="eastAsia" w:ascii="宋体" w:hAnsi="宋体" w:cs="Arial"/>
          <w:szCs w:val="21"/>
        </w:rPr>
        <w:t>尊重合理的工作要求（例如有关环境和社会的定额标准）</w:t>
      </w:r>
    </w:p>
    <w:p>
      <w:pPr>
        <w:pStyle w:val="102"/>
        <w:numPr>
          <w:ilvl w:val="0"/>
          <w:numId w:val="27"/>
        </w:numPr>
        <w:spacing w:after="60" w:line="240" w:lineRule="atLeast"/>
        <w:ind w:firstLineChars="0"/>
        <w:rPr>
          <w:rFonts w:ascii="宋体" w:hAnsi="宋体" w:cs="Arial"/>
          <w:szCs w:val="21"/>
        </w:rPr>
      </w:pPr>
      <w:r>
        <w:rPr>
          <w:rFonts w:hint="eastAsia" w:ascii="宋体" w:hAnsi="宋体" w:cs="Arial"/>
          <w:szCs w:val="21"/>
        </w:rPr>
        <w:t>保护和妥善使用财产（例如防止偷盗、不小心、浪费）</w:t>
      </w:r>
      <w:r>
        <w:rPr>
          <w:rFonts w:ascii="宋体" w:hAnsi="宋体" w:cs="Arial"/>
          <w:szCs w:val="21"/>
        </w:rPr>
        <w:t xml:space="preserve"> </w:t>
      </w:r>
    </w:p>
    <w:p>
      <w:pPr>
        <w:pStyle w:val="102"/>
        <w:numPr>
          <w:ilvl w:val="0"/>
          <w:numId w:val="27"/>
        </w:numPr>
        <w:spacing w:after="60" w:line="240" w:lineRule="atLeast"/>
        <w:ind w:firstLineChars="0"/>
        <w:rPr>
          <w:rFonts w:ascii="宋体" w:hAnsi="宋体" w:cs="Arial"/>
          <w:szCs w:val="21"/>
        </w:rPr>
      </w:pPr>
      <w:r>
        <w:rPr>
          <w:rFonts w:hint="eastAsia" w:ascii="宋体" w:hAnsi="宋体" w:cs="Arial"/>
          <w:szCs w:val="21"/>
        </w:rPr>
        <w:t>报告未遵守行为准则的义务</w:t>
      </w:r>
    </w:p>
    <w:p>
      <w:pPr>
        <w:pStyle w:val="102"/>
        <w:numPr>
          <w:ilvl w:val="0"/>
          <w:numId w:val="27"/>
        </w:numPr>
        <w:spacing w:after="60" w:line="240" w:lineRule="atLeast"/>
        <w:ind w:firstLineChars="0"/>
        <w:rPr>
          <w:rFonts w:ascii="宋体" w:hAnsi="宋体" w:cs="Arial"/>
          <w:szCs w:val="21"/>
        </w:rPr>
      </w:pPr>
      <w:r>
        <w:rPr>
          <w:rFonts w:hint="eastAsia" w:ascii="宋体" w:hAnsi="宋体" w:cs="Arial"/>
          <w:szCs w:val="21"/>
        </w:rPr>
        <w:t>对揭发违反规定的人员不报复（如果这种揭发的初衷是善意的）</w:t>
      </w:r>
      <w:r>
        <w:rPr>
          <w:rFonts w:ascii="宋体" w:hAnsi="宋体" w:cs="Arial"/>
          <w:szCs w:val="21"/>
        </w:rPr>
        <w:t xml:space="preserve"> </w:t>
      </w:r>
    </w:p>
    <w:p>
      <w:pPr>
        <w:spacing w:before="240" w:after="60" w:line="252" w:lineRule="auto"/>
        <w:contextualSpacing/>
        <w:rPr>
          <w:bCs/>
          <w:szCs w:val="21"/>
        </w:rPr>
      </w:pPr>
      <w:r>
        <w:rPr>
          <w:rFonts w:hint="eastAsia"/>
          <w:bCs/>
          <w:szCs w:val="21"/>
        </w:rPr>
        <w:t>行为准则应使用平实的语言，每一个雇员均应在行为准则上签字，以表明：</w:t>
      </w:r>
      <w:r>
        <w:rPr>
          <w:bCs/>
          <w:szCs w:val="21"/>
        </w:rPr>
        <w:t xml:space="preserve"> </w:t>
      </w:r>
    </w:p>
    <w:p>
      <w:pPr>
        <w:pStyle w:val="102"/>
        <w:widowControl/>
        <w:numPr>
          <w:ilvl w:val="0"/>
          <w:numId w:val="28"/>
        </w:numPr>
        <w:spacing w:line="252" w:lineRule="auto"/>
        <w:ind w:firstLineChars="0"/>
        <w:contextualSpacing/>
        <w:jc w:val="left"/>
        <w:rPr>
          <w:bCs/>
          <w:szCs w:val="21"/>
        </w:rPr>
      </w:pPr>
      <w:r>
        <w:rPr>
          <w:rFonts w:hint="eastAsia"/>
          <w:bCs/>
          <w:szCs w:val="21"/>
        </w:rPr>
        <w:t>每一个雇员已经收到行为准则</w:t>
      </w:r>
      <w:r>
        <w:rPr>
          <w:bCs/>
          <w:szCs w:val="21"/>
        </w:rPr>
        <w:t>;</w:t>
      </w:r>
    </w:p>
    <w:p>
      <w:pPr>
        <w:pStyle w:val="102"/>
        <w:widowControl/>
        <w:numPr>
          <w:ilvl w:val="0"/>
          <w:numId w:val="28"/>
        </w:numPr>
        <w:spacing w:line="252" w:lineRule="auto"/>
        <w:ind w:firstLineChars="0"/>
        <w:contextualSpacing/>
        <w:jc w:val="left"/>
        <w:rPr>
          <w:bCs/>
          <w:szCs w:val="21"/>
        </w:rPr>
      </w:pPr>
      <w:r>
        <w:rPr>
          <w:rFonts w:hint="eastAsia"/>
          <w:bCs/>
          <w:szCs w:val="21"/>
        </w:rPr>
        <w:t>业主已经向每一个雇员解释了行为准则</w:t>
      </w:r>
      <w:r>
        <w:rPr>
          <w:bCs/>
          <w:szCs w:val="21"/>
        </w:rPr>
        <w:t>;</w:t>
      </w:r>
    </w:p>
    <w:p>
      <w:pPr>
        <w:pStyle w:val="102"/>
        <w:widowControl/>
        <w:numPr>
          <w:ilvl w:val="0"/>
          <w:numId w:val="28"/>
        </w:numPr>
        <w:spacing w:line="252" w:lineRule="auto"/>
        <w:ind w:firstLineChars="0"/>
        <w:contextualSpacing/>
        <w:jc w:val="left"/>
        <w:rPr>
          <w:szCs w:val="21"/>
        </w:rPr>
      </w:pPr>
      <w:r>
        <w:rPr>
          <w:rFonts w:hint="eastAsia"/>
          <w:bCs/>
          <w:szCs w:val="21"/>
        </w:rPr>
        <w:t>知晓雇佣关系的条件之一是必须遵守行为准则</w:t>
      </w:r>
      <w:r>
        <w:rPr>
          <w:szCs w:val="21"/>
        </w:rPr>
        <w:t xml:space="preserve"> </w:t>
      </w:r>
    </w:p>
    <w:p>
      <w:pPr>
        <w:pStyle w:val="102"/>
        <w:widowControl/>
        <w:numPr>
          <w:ilvl w:val="0"/>
          <w:numId w:val="28"/>
        </w:numPr>
        <w:spacing w:line="252" w:lineRule="auto"/>
        <w:ind w:firstLineChars="0"/>
        <w:contextualSpacing/>
        <w:jc w:val="left"/>
        <w:rPr>
          <w:szCs w:val="21"/>
        </w:rPr>
      </w:pPr>
      <w:r>
        <w:rPr>
          <w:rFonts w:hint="eastAsia"/>
          <w:szCs w:val="21"/>
        </w:rPr>
        <w:t>知晓如果违反行为准则的要求，雇员将面临严重的后果包括解雇、诉诸法律</w:t>
      </w:r>
      <w:r>
        <w:rPr>
          <w:szCs w:val="21"/>
        </w:rPr>
        <w:t xml:space="preserve"> </w:t>
      </w:r>
    </w:p>
    <w:p>
      <w:pPr>
        <w:spacing w:after="120"/>
        <w:ind w:left="360"/>
        <w:rPr>
          <w:i/>
          <w:color w:val="000000"/>
          <w:szCs w:val="21"/>
        </w:rPr>
      </w:pPr>
    </w:p>
    <w:p>
      <w:pPr>
        <w:tabs>
          <w:tab w:val="left" w:pos="2970"/>
        </w:tabs>
        <w:spacing w:after="120"/>
        <w:ind w:left="2970" w:hanging="2610"/>
        <w:rPr>
          <w:b/>
          <w:smallCaps/>
          <w:szCs w:val="21"/>
        </w:rPr>
      </w:pPr>
      <w:r>
        <w:rPr>
          <w:rFonts w:hint="eastAsia"/>
          <w:b/>
          <w:smallCaps/>
          <w:szCs w:val="21"/>
        </w:rPr>
        <w:t>对履约环境-社会-健康-安全合同义务的支付</w:t>
      </w:r>
    </w:p>
    <w:p>
      <w:pPr>
        <w:spacing w:after="120"/>
        <w:ind w:left="360"/>
        <w:rPr>
          <w:szCs w:val="21"/>
        </w:rPr>
      </w:pPr>
      <w:r>
        <w:rPr>
          <w:rFonts w:hint="eastAsia"/>
          <w:i/>
          <w:szCs w:val="21"/>
        </w:rPr>
        <w:t>业主的环境-社会-健康-安全专家和采购专家应考虑承包商因履约环境-社会-健康-安全而发生的相关费用是如何发生的。在大多数情况下，履约环境-社会-健康-安全是承包商附属的合同义务，其费用已包含在承包商为工程量清单表中其它项的报价中。例如，承包商确保施工现场的安全包括确保交通安全的措施费应该包含在其为相应工程的报价中。 在特殊情况下，在工程量表中需要包含单独的清单项以涵盖特殊的环境-社会-健康-安全要求，例如艾滋病咨询、性别问题公众宣传。</w:t>
      </w:r>
    </w:p>
    <w:p>
      <w:pPr>
        <w:spacing w:before="120" w:after="120" w:line="240" w:lineRule="atLeast"/>
        <w:ind w:firstLine="420" w:firstLineChars="200"/>
        <w:textAlignment w:val="auto"/>
        <w:rPr>
          <w:i/>
          <w:szCs w:val="21"/>
        </w:rPr>
        <w:sectPr>
          <w:headerReference r:id="rId20"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rPr>
          <w:rStyle w:val="69"/>
        </w:rPr>
      </w:pPr>
      <w:bookmarkStart w:id="1468" w:name="_Toc171063149"/>
      <w:bookmarkStart w:id="1469" w:name="_Toc110264798"/>
      <w:bookmarkStart w:id="1470" w:name="_Toc110264499"/>
      <w:bookmarkStart w:id="1471" w:name="_Toc169103284"/>
      <w:bookmarkStart w:id="1472" w:name="_Toc324772218"/>
      <w:bookmarkStart w:id="1473" w:name="_Toc170312628"/>
      <w:bookmarkStart w:id="1474" w:name="_Toc110268535"/>
      <w:bookmarkStart w:id="1475" w:name="_Toc324772002"/>
      <w:bookmarkStart w:id="1476" w:name="_Toc110264962"/>
      <w:bookmarkStart w:id="1477" w:name="_Toc110265198"/>
      <w:bookmarkStart w:id="1478" w:name="_Toc391287351"/>
      <w:bookmarkStart w:id="1479" w:name="_Toc110264745"/>
      <w:bookmarkStart w:id="1480" w:name="_Toc110272069"/>
      <w:r>
        <w:rPr>
          <w:rStyle w:val="69"/>
          <w:rFonts w:hint="eastAsia"/>
        </w:rPr>
        <w:t>图纸</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pPr>
        <w:spacing w:before="120" w:after="120" w:line="240" w:lineRule="atLeast"/>
        <w:ind w:firstLine="420" w:firstLineChars="200"/>
        <w:jc w:val="center"/>
        <w:textAlignment w:val="auto"/>
        <w:rPr>
          <w:rFonts w:hint="eastAsia" w:eastAsia="宋体"/>
          <w:i/>
          <w:szCs w:val="21"/>
          <w:lang w:val="en-US" w:eastAsia="zh-CN"/>
        </w:rPr>
      </w:pPr>
      <w:r>
        <w:rPr>
          <w:rFonts w:hint="eastAsia"/>
          <w:i/>
          <w:szCs w:val="21"/>
          <w:lang w:val="en-US" w:eastAsia="zh-CN"/>
        </w:rPr>
        <w:t>（另册装订）</w:t>
      </w:r>
    </w:p>
    <w:p>
      <w:pPr>
        <w:spacing w:before="120" w:after="120" w:line="240" w:lineRule="atLeast"/>
        <w:ind w:firstLine="420" w:firstLineChars="200"/>
        <w:textAlignment w:val="auto"/>
        <w:rPr>
          <w:szCs w:val="21"/>
        </w:rPr>
      </w:pPr>
    </w:p>
    <w:p>
      <w:pPr>
        <w:spacing w:before="120" w:after="120" w:line="240" w:lineRule="atLeast"/>
        <w:textAlignment w:val="auto"/>
        <w:rPr>
          <w:szCs w:val="21"/>
        </w:rPr>
      </w:pPr>
    </w:p>
    <w:p>
      <w:pPr>
        <w:spacing w:before="120" w:after="120" w:line="240" w:lineRule="atLeast"/>
        <w:textAlignment w:val="auto"/>
        <w:rPr>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ind w:left="780"/>
        <w:rPr>
          <w:rStyle w:val="69"/>
        </w:rPr>
      </w:pPr>
      <w:bookmarkStart w:id="1481" w:name="_Toc110272070"/>
      <w:bookmarkStart w:id="1482" w:name="_Toc171063150"/>
      <w:bookmarkStart w:id="1483" w:name="_Toc110264746"/>
      <w:bookmarkStart w:id="1484" w:name="_Toc110264799"/>
      <w:bookmarkStart w:id="1485" w:name="_Toc110264500"/>
      <w:bookmarkStart w:id="1486" w:name="_Toc324772003"/>
      <w:bookmarkStart w:id="1487" w:name="_Toc170312629"/>
      <w:bookmarkStart w:id="1488" w:name="_Toc169103285"/>
      <w:bookmarkStart w:id="1489" w:name="_Toc110268536"/>
      <w:bookmarkStart w:id="1490" w:name="_Toc324772219"/>
      <w:bookmarkStart w:id="1491" w:name="_Toc110265199"/>
      <w:bookmarkStart w:id="1492" w:name="_Toc110264963"/>
      <w:bookmarkStart w:id="1493" w:name="_Toc391287352"/>
      <w:r>
        <w:rPr>
          <w:rStyle w:val="69"/>
          <w:rFonts w:hint="eastAsia"/>
          <w:lang w:eastAsia="zh-CN"/>
        </w:rPr>
        <w:t>其它</w:t>
      </w:r>
      <w:r>
        <w:rPr>
          <w:rStyle w:val="69"/>
          <w:rFonts w:hint="eastAsia"/>
        </w:rPr>
        <w:t>信息</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pPr>
        <w:rPr>
          <w:lang w:val="zh-CN" w:eastAsia="zh-CN"/>
        </w:rPr>
      </w:pPr>
    </w:p>
    <w:p>
      <w:pPr>
        <w:rPr>
          <w:highlight w:val="cyan"/>
          <w:lang w:val="zh-CN" w:eastAsia="zh-CN"/>
        </w:rPr>
      </w:pPr>
    </w:p>
    <w:bookmarkEnd w:id="1447"/>
    <w:bookmarkEnd w:id="1463"/>
    <w:p>
      <w:pPr>
        <w:spacing w:line="0" w:lineRule="atLeast"/>
        <w:ind w:firstLine="420" w:firstLineChars="200"/>
        <w:rPr>
          <w:rFonts w:ascii="宋体" w:hAnsi="宋体"/>
          <w:szCs w:val="21"/>
          <w:highlight w:val="none"/>
        </w:rPr>
      </w:pPr>
      <w:r>
        <w:rPr>
          <w:rFonts w:hint="eastAsia" w:ascii="宋体" w:hAnsi="宋体"/>
          <w:szCs w:val="21"/>
          <w:highlight w:val="none"/>
        </w:rPr>
        <w:t>业主应附上环境影响评估（“EIA”）和环境管理计划（“EMP”）作为“业主要求”中</w:t>
      </w:r>
    </w:p>
    <w:p>
      <w:pPr>
        <w:spacing w:line="0" w:lineRule="atLeast"/>
        <w:rPr>
          <w:rStyle w:val="69"/>
        </w:rPr>
        <w:sectPr>
          <w:footnotePr>
            <w:numRestart w:val="eachPage"/>
          </w:footnotePr>
          <w:endnotePr>
            <w:numFmt w:val="decimal"/>
          </w:endnotePr>
          <w:pgSz w:w="11907" w:h="16840"/>
          <w:pgMar w:top="1440" w:right="1797" w:bottom="1440" w:left="1797" w:header="851" w:footer="992" w:gutter="0"/>
          <w:cols w:space="425" w:num="1"/>
          <w:docGrid w:linePitch="312" w:charSpace="0"/>
        </w:sectPr>
      </w:pPr>
      <w:r>
        <w:rPr>
          <w:rFonts w:hint="eastAsia" w:ascii="宋体" w:hAnsi="宋体"/>
          <w:szCs w:val="21"/>
          <w:highlight w:val="none"/>
        </w:rPr>
        <w:t>的补充资料。</w:t>
      </w:r>
    </w:p>
    <w:p>
      <w:pPr>
        <w:pStyle w:val="18"/>
        <w:ind w:firstLine="482"/>
        <w:rPr>
          <w:rFonts w:ascii="Times New Roman" w:hAnsi="Times New Roman"/>
          <w:lang w:eastAsia="zh-CN"/>
        </w:rPr>
      </w:pPr>
      <w:bookmarkStart w:id="1494" w:name="_Toc324772004"/>
    </w:p>
    <w:p>
      <w:pPr>
        <w:pStyle w:val="18"/>
        <w:ind w:firstLine="482"/>
        <w:rPr>
          <w:rFonts w:ascii="Times New Roman" w:hAnsi="Times New Roman"/>
          <w:lang w:eastAsia="zh-CN"/>
        </w:rPr>
      </w:pPr>
    </w:p>
    <w:p>
      <w:pPr>
        <w:pStyle w:val="18"/>
        <w:ind w:firstLine="482"/>
        <w:rPr>
          <w:rFonts w:ascii="Times New Roman" w:hAnsi="Times New Roman"/>
          <w:lang w:eastAsia="zh-CN"/>
        </w:rPr>
      </w:pPr>
    </w:p>
    <w:p>
      <w:pPr>
        <w:pStyle w:val="18"/>
        <w:ind w:firstLine="482"/>
        <w:rPr>
          <w:rFonts w:ascii="Times New Roman" w:hAnsi="Times New Roman"/>
          <w:lang w:eastAsia="zh-CN"/>
        </w:rPr>
      </w:pPr>
    </w:p>
    <w:p>
      <w:pPr>
        <w:pStyle w:val="18"/>
        <w:ind w:firstLine="482"/>
        <w:rPr>
          <w:rFonts w:ascii="Times New Roman" w:hAnsi="Times New Roman"/>
          <w:lang w:eastAsia="zh-CN"/>
        </w:rPr>
      </w:pPr>
    </w:p>
    <w:p>
      <w:pPr>
        <w:pStyle w:val="18"/>
        <w:ind w:firstLine="482"/>
        <w:rPr>
          <w:rFonts w:ascii="Times New Roman" w:hAnsi="Times New Roman"/>
          <w:lang w:eastAsia="zh-CN"/>
        </w:rPr>
      </w:pPr>
    </w:p>
    <w:p>
      <w:pPr>
        <w:pStyle w:val="59"/>
      </w:pPr>
      <w:bookmarkStart w:id="1495" w:name="_Toc171063151"/>
      <w:bookmarkStart w:id="1496" w:name="_Toc391287353"/>
      <w:bookmarkStart w:id="1497" w:name="_Toc324772220"/>
      <w:bookmarkStart w:id="1498" w:name="_Toc110264800"/>
      <w:bookmarkStart w:id="1499" w:name="_Toc110264501"/>
      <w:bookmarkStart w:id="1500" w:name="_Toc110264964"/>
      <w:bookmarkStart w:id="1501" w:name="_Toc110264747"/>
      <w:bookmarkStart w:id="1502" w:name="_Toc110265200"/>
      <w:bookmarkStart w:id="1503" w:name="_Toc110330410"/>
      <w:bookmarkStart w:id="1504" w:name="_Toc169103286"/>
      <w:bookmarkStart w:id="1505" w:name="_Toc110330471"/>
      <w:r>
        <w:t>第</w:t>
      </w:r>
      <w:r>
        <w:rPr>
          <w:rFonts w:hint="eastAsia"/>
        </w:rPr>
        <w:t>三篇　</w:t>
      </w:r>
      <w:r>
        <w:t>合同</w:t>
      </w:r>
      <w:bookmarkEnd w:id="1494"/>
      <w:bookmarkEnd w:id="1495"/>
      <w:bookmarkEnd w:id="1496"/>
      <w:bookmarkEnd w:id="1497"/>
      <w:bookmarkEnd w:id="1498"/>
      <w:bookmarkEnd w:id="1499"/>
      <w:bookmarkEnd w:id="1500"/>
      <w:bookmarkEnd w:id="1501"/>
      <w:bookmarkEnd w:id="1502"/>
      <w:bookmarkEnd w:id="1503"/>
      <w:bookmarkEnd w:id="1504"/>
      <w:bookmarkEnd w:id="1505"/>
    </w:p>
    <w:p>
      <w:pPr>
        <w:textAlignment w:val="auto"/>
        <w:rPr>
          <w:lang w:val="zh-CN" w:eastAsia="zh-CN"/>
        </w:rPr>
      </w:pPr>
    </w:p>
    <w:p>
      <w:pPr>
        <w:jc w:val="center"/>
        <w:textAlignment w:val="auto"/>
        <w:rPr>
          <w:lang w:val="zh-CN" w:eastAsia="zh-CN"/>
        </w:rPr>
        <w:sectPr>
          <w:headerReference r:id="rId21"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4"/>
        <w:tabs>
          <w:tab w:val="right" w:leader="dot" w:pos="8303"/>
        </w:tabs>
        <w:jc w:val="center"/>
        <w:rPr>
          <w:rStyle w:val="228"/>
        </w:rPr>
      </w:pPr>
      <w:bookmarkStart w:id="1506" w:name="_Toc110328309"/>
      <w:bookmarkStart w:id="1507" w:name="_Toc110272071"/>
      <w:bookmarkStart w:id="1508" w:name="_Toc110264801"/>
      <w:bookmarkStart w:id="1509" w:name="_Toc169103287"/>
      <w:bookmarkStart w:id="1510" w:name="_Toc110264502"/>
      <w:bookmarkStart w:id="1511" w:name="_Toc110268537"/>
      <w:bookmarkStart w:id="1512" w:name="_Toc110264965"/>
      <w:bookmarkStart w:id="1513" w:name="_Toc110330411"/>
      <w:bookmarkStart w:id="1514" w:name="_Toc324772221"/>
      <w:bookmarkStart w:id="1515" w:name="_Toc391287354"/>
      <w:bookmarkStart w:id="1516" w:name="_Toc110264748"/>
      <w:bookmarkStart w:id="1517" w:name="_Toc110265201"/>
      <w:bookmarkStart w:id="1518" w:name="_Toc110330472"/>
      <w:bookmarkStart w:id="1519" w:name="_Toc171063152"/>
      <w:r>
        <w:rPr>
          <w:rFonts w:hint="eastAsia"/>
        </w:rPr>
        <w:t>第七章　</w:t>
      </w:r>
      <w:r>
        <w:rPr>
          <w:rStyle w:val="228"/>
          <w:rFonts w:hint="eastAsia"/>
        </w:rPr>
        <w:t>一般合同条款</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pPr>
        <w:pStyle w:val="44"/>
        <w:tabs>
          <w:tab w:val="right" w:leader="dot" w:pos="8303"/>
        </w:tabs>
        <w:jc w:val="center"/>
        <w:rPr>
          <w:rStyle w:val="70"/>
          <w:bCs w:val="0"/>
          <w:iCs/>
          <w:caps w:val="0"/>
        </w:rPr>
      </w:pPr>
      <w:r>
        <w:rPr>
          <w:rStyle w:val="228"/>
          <w:rFonts w:hint="eastAsia"/>
        </w:rPr>
        <w:t>目录</w:t>
      </w:r>
      <w:r>
        <w:rPr>
          <w:rStyle w:val="70"/>
          <w:iCs/>
          <w:sz w:val="22"/>
        </w:rPr>
        <w:fldChar w:fldCharType="begin"/>
      </w:r>
      <w:r>
        <w:rPr>
          <w:rStyle w:val="70"/>
          <w:bCs w:val="0"/>
          <w:iCs/>
          <w:caps w:val="0"/>
          <w:sz w:val="22"/>
        </w:rPr>
        <w:instrText xml:space="preserve"> TOC \o "1-4" \h \z \u </w:instrText>
      </w:r>
      <w:r>
        <w:rPr>
          <w:rStyle w:val="70"/>
          <w:iCs/>
          <w:sz w:val="22"/>
        </w:rPr>
        <w:fldChar w:fldCharType="separate"/>
      </w:r>
    </w:p>
    <w:p>
      <w:pPr>
        <w:pStyle w:val="33"/>
        <w:tabs>
          <w:tab w:val="right" w:leader="dot" w:pos="8303"/>
        </w:tabs>
        <w:rPr>
          <w:rFonts w:asciiTheme="minorHAnsi" w:hAnsiTheme="minorHAnsi" w:eastAsiaTheme="minorEastAsia" w:cstheme="minorBidi"/>
          <w:b w:val="0"/>
          <w:iCs w:val="0"/>
          <w:kern w:val="2"/>
          <w:szCs w:val="22"/>
          <w14:ligatures w14:val="standardContextual"/>
        </w:rPr>
      </w:pPr>
      <w:r>
        <w:fldChar w:fldCharType="begin"/>
      </w:r>
      <w:r>
        <w:instrText xml:space="preserve"> HYPERLINK \l "_Toc171063153" </w:instrText>
      </w:r>
      <w:r>
        <w:fldChar w:fldCharType="separate"/>
      </w:r>
      <w:r>
        <w:rPr>
          <w:rStyle w:val="70"/>
          <w:rFonts w:hint="eastAsia"/>
        </w:rPr>
        <w:t>第一节　总则</w:t>
      </w:r>
      <w:r>
        <w:tab/>
      </w:r>
      <w:r>
        <w:fldChar w:fldCharType="begin"/>
      </w:r>
      <w:r>
        <w:instrText xml:space="preserve"> PAGEREF _Toc171063153 \h </w:instrText>
      </w:r>
      <w:r>
        <w:fldChar w:fldCharType="separate"/>
      </w:r>
      <w:r>
        <w:t>85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"_Toc171063154" </w:instrText>
      </w:r>
      <w:r>
        <w:fldChar w:fldCharType="separate"/>
      </w:r>
      <w:r>
        <w:rPr>
          <w:rStyle w:val="70"/>
        </w:rPr>
        <w:t>1</w:t>
      </w:r>
      <w:r>
        <w:rPr>
          <w:rStyle w:val="70"/>
          <w:rFonts w:hint="eastAsia"/>
        </w:rPr>
        <w:t>　定义</w:t>
      </w:r>
      <w:r>
        <w:tab/>
      </w:r>
      <w:r>
        <w:fldChar w:fldCharType="begin"/>
      </w:r>
      <w:r>
        <w:instrText xml:space="preserve"> PAGEREF _Toc171063154 \h </w:instrText>
      </w:r>
      <w:r>
        <w:fldChar w:fldCharType="separate"/>
      </w:r>
      <w:r>
        <w:t>85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"_Toc171063155" </w:instrText>
      </w:r>
      <w:r>
        <w:fldChar w:fldCharType="separate"/>
      </w:r>
      <w:r>
        <w:rPr>
          <w:rStyle w:val="70"/>
        </w:rPr>
        <w:t>2</w:t>
      </w:r>
      <w:r>
        <w:rPr>
          <w:rStyle w:val="70"/>
          <w:rFonts w:hint="eastAsia"/>
        </w:rPr>
        <w:t>　合同解释</w:t>
      </w:r>
      <w:r>
        <w:tab/>
      </w:r>
      <w:r>
        <w:fldChar w:fldCharType="begin"/>
      </w:r>
      <w:r>
        <w:instrText xml:space="preserve"> PAGEREF _Toc171063155 \h </w:instrText>
      </w:r>
      <w:r>
        <w:fldChar w:fldCharType="separate"/>
      </w:r>
      <w:r>
        <w:t>86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"_Toc171063156" </w:instrText>
      </w:r>
      <w:r>
        <w:fldChar w:fldCharType="separate"/>
      </w:r>
      <w:r>
        <w:rPr>
          <w:rStyle w:val="70"/>
        </w:rPr>
        <w:t>3</w:t>
      </w:r>
      <w:r>
        <w:rPr>
          <w:rStyle w:val="70"/>
          <w:rFonts w:hint="eastAsia"/>
        </w:rPr>
        <w:t>　语言和法律</w:t>
      </w:r>
      <w:r>
        <w:tab/>
      </w:r>
      <w:r>
        <w:fldChar w:fldCharType="begin"/>
      </w:r>
      <w:r>
        <w:instrText xml:space="preserve"> PAGEREF _Toc171063156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"_Toc171063157" </w:instrText>
      </w:r>
      <w:r>
        <w:fldChar w:fldCharType="separate"/>
      </w:r>
      <w:r>
        <w:rPr>
          <w:rStyle w:val="70"/>
        </w:rPr>
        <w:t>4</w:t>
      </w:r>
      <w:r>
        <w:rPr>
          <w:rStyle w:val="70"/>
          <w:rFonts w:hint="eastAsia"/>
        </w:rPr>
        <w:t>　项目监理的职权</w:t>
      </w:r>
      <w:r>
        <w:tab/>
      </w:r>
      <w:r>
        <w:fldChar w:fldCharType="begin"/>
      </w:r>
      <w:r>
        <w:instrText xml:space="preserve"> PAGEREF _Toc171063157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"_Toc171063158" </w:instrText>
      </w:r>
      <w:r>
        <w:fldChar w:fldCharType="separate"/>
      </w:r>
      <w:r>
        <w:rPr>
          <w:rStyle w:val="70"/>
        </w:rPr>
        <w:t>5</w:t>
      </w:r>
      <w:r>
        <w:rPr>
          <w:rStyle w:val="70"/>
          <w:rFonts w:hint="eastAsia"/>
        </w:rPr>
        <w:t>　授权</w:t>
      </w:r>
      <w:r>
        <w:tab/>
      </w:r>
      <w:r>
        <w:fldChar w:fldCharType="begin"/>
      </w:r>
      <w:r>
        <w:instrText xml:space="preserve"> PAGEREF _Toc171063158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"_Toc171063159" </w:instrText>
      </w:r>
      <w:r>
        <w:fldChar w:fldCharType="separate"/>
      </w:r>
      <w:r>
        <w:rPr>
          <w:rStyle w:val="70"/>
        </w:rPr>
        <w:t>6</w:t>
      </w:r>
      <w:r>
        <w:rPr>
          <w:rStyle w:val="70"/>
          <w:rFonts w:hint="eastAsia"/>
        </w:rPr>
        <w:t>　通讯</w:t>
      </w:r>
      <w:r>
        <w:tab/>
      </w:r>
      <w:r>
        <w:fldChar w:fldCharType="begin"/>
      </w:r>
      <w:r>
        <w:instrText xml:space="preserve"> PAGEREF _Toc171063159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"_Toc171063160" </w:instrText>
      </w:r>
      <w:r>
        <w:fldChar w:fldCharType="separate"/>
      </w:r>
      <w:r>
        <w:rPr>
          <w:rStyle w:val="70"/>
        </w:rPr>
        <w:t>7</w:t>
      </w:r>
      <w:r>
        <w:rPr>
          <w:rStyle w:val="70"/>
          <w:rFonts w:hint="eastAsia"/>
        </w:rPr>
        <w:t>　分包</w:t>
      </w:r>
      <w:r>
        <w:tab/>
      </w:r>
      <w:r>
        <w:fldChar w:fldCharType="begin"/>
      </w:r>
      <w:r>
        <w:instrText xml:space="preserve"> PAGEREF _Toc171063160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"_Toc171063161" </w:instrText>
      </w:r>
      <w:r>
        <w:fldChar w:fldCharType="separate"/>
      </w:r>
      <w:r>
        <w:rPr>
          <w:rStyle w:val="70"/>
        </w:rPr>
        <w:t>8</w:t>
      </w:r>
      <w:r>
        <w:rPr>
          <w:rStyle w:val="70"/>
          <w:rFonts w:hint="eastAsia"/>
        </w:rPr>
        <w:t>　其它承包商</w:t>
      </w:r>
      <w:r>
        <w:tab/>
      </w:r>
      <w:r>
        <w:fldChar w:fldCharType="begin"/>
      </w:r>
      <w:r>
        <w:instrText xml:space="preserve"> PAGEREF _Toc171063161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"_Toc171063162" </w:instrText>
      </w:r>
      <w:r>
        <w:fldChar w:fldCharType="separate"/>
      </w:r>
      <w:r>
        <w:rPr>
          <w:rStyle w:val="70"/>
        </w:rPr>
        <w:t>9</w:t>
      </w:r>
      <w:r>
        <w:rPr>
          <w:rStyle w:val="70"/>
          <w:rFonts w:hint="eastAsia"/>
        </w:rPr>
        <w:t>　人员和设备</w:t>
      </w:r>
      <w:r>
        <w:tab/>
      </w:r>
      <w:r>
        <w:fldChar w:fldCharType="begin"/>
      </w:r>
      <w:r>
        <w:instrText xml:space="preserve"> PAGEREF _Toc171063162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"_Toc171063163" </w:instrText>
      </w:r>
      <w:r>
        <w:fldChar w:fldCharType="separate"/>
      </w:r>
      <w:r>
        <w:rPr>
          <w:rStyle w:val="70"/>
        </w:rPr>
        <w:t>10</w:t>
      </w:r>
      <w:r>
        <w:rPr>
          <w:rStyle w:val="70"/>
          <w:rFonts w:hint="eastAsia"/>
        </w:rPr>
        <w:t>　业主和承包商的风险</w:t>
      </w:r>
      <w:r>
        <w:tab/>
      </w:r>
      <w:r>
        <w:fldChar w:fldCharType="begin"/>
      </w:r>
      <w:r>
        <w:instrText xml:space="preserve"> PAGEREF _Toc171063163 \h </w:instrText>
      </w:r>
      <w:r>
        <w:fldChar w:fldCharType="separate"/>
      </w:r>
      <w:r>
        <w:t>87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"_Toc171063164" </w:instrText>
      </w:r>
      <w:r>
        <w:fldChar w:fldCharType="separate"/>
      </w:r>
      <w:r>
        <w:rPr>
          <w:rStyle w:val="70"/>
        </w:rPr>
        <w:t>11</w:t>
      </w:r>
      <w:r>
        <w:rPr>
          <w:rStyle w:val="70"/>
          <w:rFonts w:hint="eastAsia"/>
        </w:rPr>
        <w:t>　业主的风险</w:t>
      </w:r>
      <w:r>
        <w:tab/>
      </w:r>
      <w:r>
        <w:fldChar w:fldCharType="begin"/>
      </w:r>
      <w:r>
        <w:instrText xml:space="preserve"> PAGEREF _Toc171063164 \h </w:instrText>
      </w:r>
      <w:r>
        <w:fldChar w:fldCharType="separate"/>
      </w:r>
      <w:r>
        <w:t>88</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"_Toc171063165" </w:instrText>
      </w:r>
      <w:r>
        <w:fldChar w:fldCharType="separate"/>
      </w:r>
      <w:r>
        <w:rPr>
          <w:rStyle w:val="70"/>
        </w:rPr>
        <w:t>12</w:t>
      </w:r>
      <w:r>
        <w:rPr>
          <w:rStyle w:val="70"/>
          <w:rFonts w:hint="eastAsia"/>
        </w:rPr>
        <w:t>　承包商的风险</w:t>
      </w:r>
      <w:r>
        <w:tab/>
      </w:r>
      <w:r>
        <w:fldChar w:fldCharType="begin"/>
      </w:r>
      <w:r>
        <w:instrText xml:space="preserve"> PAGEREF _Toc171063165 \h </w:instrText>
      </w:r>
      <w:r>
        <w:fldChar w:fldCharType="separate"/>
      </w:r>
      <w:r>
        <w:t>88</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"_Toc171063166" </w:instrText>
      </w:r>
      <w:r>
        <w:fldChar w:fldCharType="separate"/>
      </w:r>
      <w:r>
        <w:rPr>
          <w:rStyle w:val="70"/>
        </w:rPr>
        <w:t>13</w:t>
      </w:r>
      <w:r>
        <w:rPr>
          <w:rStyle w:val="70"/>
          <w:rFonts w:hint="eastAsia"/>
        </w:rPr>
        <w:t>　保障</w:t>
      </w:r>
      <w:r>
        <w:tab/>
      </w:r>
      <w:r>
        <w:fldChar w:fldCharType="begin"/>
      </w:r>
      <w:r>
        <w:instrText xml:space="preserve"> PAGEREF _Toc171063166 \h </w:instrText>
      </w:r>
      <w:r>
        <w:fldChar w:fldCharType="separate"/>
      </w:r>
      <w:r>
        <w:t>88</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"_Toc171063167" </w:instrText>
      </w:r>
      <w:r>
        <w:fldChar w:fldCharType="separate"/>
      </w:r>
      <w:r>
        <w:rPr>
          <w:rStyle w:val="70"/>
        </w:rPr>
        <w:t>14</w:t>
      </w:r>
      <w:r>
        <w:rPr>
          <w:rStyle w:val="70"/>
          <w:rFonts w:hint="eastAsia"/>
        </w:rPr>
        <w:t>　保险</w:t>
      </w:r>
      <w:r>
        <w:tab/>
      </w:r>
      <w:r>
        <w:fldChar w:fldCharType="begin"/>
      </w:r>
      <w:r>
        <w:instrText xml:space="preserve"> PAGEREF _Toc171063167 \h </w:instrText>
      </w:r>
      <w:r>
        <w:fldChar w:fldCharType="separate"/>
      </w:r>
      <w:r>
        <w:t>88</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"_Toc171063168" </w:instrText>
      </w:r>
      <w:r>
        <w:fldChar w:fldCharType="separate"/>
      </w:r>
      <w:r>
        <w:rPr>
          <w:rStyle w:val="70"/>
        </w:rPr>
        <w:t>15</w:t>
      </w:r>
      <w:r>
        <w:rPr>
          <w:rStyle w:val="70"/>
          <w:rFonts w:hint="eastAsia"/>
        </w:rPr>
        <w:t>　现场资料和合同细节</w:t>
      </w:r>
      <w:r>
        <w:tab/>
      </w:r>
      <w:r>
        <w:fldChar w:fldCharType="begin"/>
      </w:r>
      <w:r>
        <w:instrText xml:space="preserve"> PAGEREF _Toc171063168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"_Toc171063169" </w:instrText>
      </w:r>
      <w:r>
        <w:fldChar w:fldCharType="separate"/>
      </w:r>
      <w:r>
        <w:rPr>
          <w:rStyle w:val="70"/>
        </w:rPr>
        <w:t>16</w:t>
      </w:r>
      <w:r>
        <w:rPr>
          <w:rStyle w:val="70"/>
          <w:rFonts w:hint="eastAsia"/>
        </w:rPr>
        <w:t>　承包商实施工程</w:t>
      </w:r>
      <w:r>
        <w:tab/>
      </w:r>
      <w:r>
        <w:fldChar w:fldCharType="begin"/>
      </w:r>
      <w:r>
        <w:instrText xml:space="preserve"> PAGEREF _Toc171063169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"_Toc171063170" </w:instrText>
      </w:r>
      <w:r>
        <w:fldChar w:fldCharType="separate"/>
      </w:r>
      <w:r>
        <w:rPr>
          <w:rStyle w:val="70"/>
        </w:rPr>
        <w:t>17</w:t>
      </w:r>
      <w:r>
        <w:rPr>
          <w:rStyle w:val="70"/>
          <w:rFonts w:hint="eastAsia"/>
        </w:rPr>
        <w:t>　按预定完工日期完成工程</w:t>
      </w:r>
      <w:r>
        <w:tab/>
      </w:r>
      <w:r>
        <w:fldChar w:fldCharType="begin"/>
      </w:r>
      <w:r>
        <w:instrText xml:space="preserve"> PAGEREF _Toc171063170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"_Toc171063171" </w:instrText>
      </w:r>
      <w:r>
        <w:fldChar w:fldCharType="separate"/>
      </w:r>
      <w:r>
        <w:rPr>
          <w:rStyle w:val="70"/>
        </w:rPr>
        <w:t>18</w:t>
      </w:r>
      <w:r>
        <w:rPr>
          <w:rStyle w:val="70"/>
          <w:rFonts w:hint="eastAsia"/>
        </w:rPr>
        <w:t>　项目监理的批准</w:t>
      </w:r>
      <w:r>
        <w:tab/>
      </w:r>
      <w:r>
        <w:fldChar w:fldCharType="begin"/>
      </w:r>
      <w:r>
        <w:instrText xml:space="preserve"> PAGEREF _Toc171063171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"_Toc171063172" </w:instrText>
      </w:r>
      <w:r>
        <w:fldChar w:fldCharType="separate"/>
      </w:r>
      <w:r>
        <w:rPr>
          <w:rStyle w:val="70"/>
        </w:rPr>
        <w:t>19</w:t>
      </w:r>
      <w:r>
        <w:rPr>
          <w:rStyle w:val="70"/>
          <w:rFonts w:hint="eastAsia"/>
        </w:rPr>
        <w:t>　安全和环境保护</w:t>
      </w:r>
      <w:r>
        <w:tab/>
      </w:r>
      <w:r>
        <w:fldChar w:fldCharType="begin"/>
      </w:r>
      <w:r>
        <w:instrText xml:space="preserve"> PAGEREF _Toc171063172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"_Toc171063173" </w:instrText>
      </w:r>
      <w:r>
        <w:fldChar w:fldCharType="separate"/>
      </w:r>
      <w:r>
        <w:rPr>
          <w:rStyle w:val="70"/>
        </w:rPr>
        <w:t>20</w:t>
      </w:r>
      <w:r>
        <w:rPr>
          <w:rStyle w:val="70"/>
          <w:rFonts w:hint="eastAsia"/>
        </w:rPr>
        <w:t>　现场发现</w:t>
      </w:r>
      <w:r>
        <w:tab/>
      </w:r>
      <w:r>
        <w:fldChar w:fldCharType="begin"/>
      </w:r>
      <w:r>
        <w:instrText xml:space="preserve"> PAGEREF _Toc171063173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"_Toc171063174" </w:instrText>
      </w:r>
      <w:r>
        <w:fldChar w:fldCharType="separate"/>
      </w:r>
      <w:r>
        <w:rPr>
          <w:rStyle w:val="70"/>
        </w:rPr>
        <w:t>21</w:t>
      </w:r>
      <w:r>
        <w:rPr>
          <w:rStyle w:val="70"/>
          <w:rFonts w:hint="eastAsia"/>
        </w:rPr>
        <w:t>　现场的占用</w:t>
      </w:r>
      <w:r>
        <w:tab/>
      </w:r>
      <w:r>
        <w:fldChar w:fldCharType="begin"/>
      </w:r>
      <w:r>
        <w:instrText xml:space="preserve"> PAGEREF _Toc171063174 \h </w:instrText>
      </w:r>
      <w:r>
        <w:fldChar w:fldCharType="separate"/>
      </w:r>
      <w:r>
        <w:t>89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"_Toc171063175" </w:instrText>
      </w:r>
      <w:r>
        <w:fldChar w:fldCharType="separate"/>
      </w:r>
      <w:r>
        <w:rPr>
          <w:rStyle w:val="70"/>
        </w:rPr>
        <w:t>22</w:t>
      </w:r>
      <w:r>
        <w:rPr>
          <w:rStyle w:val="70"/>
          <w:rFonts w:hint="eastAsia"/>
        </w:rPr>
        <w:t>　进入现场</w:t>
      </w:r>
      <w:r>
        <w:tab/>
      </w:r>
      <w:r>
        <w:fldChar w:fldCharType="begin"/>
      </w:r>
      <w:r>
        <w:instrText xml:space="preserve"> PAGEREF _Toc171063175 \h </w:instrText>
      </w:r>
      <w:r>
        <w:fldChar w:fldCharType="separate"/>
      </w:r>
      <w:r>
        <w:t>90</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"_Toc171063176" </w:instrText>
      </w:r>
      <w:r>
        <w:fldChar w:fldCharType="separate"/>
      </w:r>
      <w:r>
        <w:rPr>
          <w:rStyle w:val="70"/>
        </w:rPr>
        <w:t>23</w:t>
      </w:r>
      <w:r>
        <w:rPr>
          <w:rStyle w:val="70"/>
          <w:rFonts w:hint="eastAsia"/>
        </w:rPr>
        <w:t>　指示、检查和审计</w:t>
      </w:r>
      <w:r>
        <w:tab/>
      </w:r>
      <w:r>
        <w:fldChar w:fldCharType="begin"/>
      </w:r>
      <w:r>
        <w:instrText xml:space="preserve"> PAGEREF _Toc171063176 \h </w:instrText>
      </w:r>
      <w:r>
        <w:fldChar w:fldCharType="separate"/>
      </w:r>
      <w:r>
        <w:t>90</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"_Toc171063177" </w:instrText>
      </w:r>
      <w:r>
        <w:fldChar w:fldCharType="separate"/>
      </w:r>
      <w:r>
        <w:rPr>
          <w:rStyle w:val="70"/>
        </w:rPr>
        <w:t>24</w:t>
      </w:r>
      <w:r>
        <w:rPr>
          <w:rStyle w:val="70"/>
          <w:rFonts w:hint="eastAsia"/>
        </w:rPr>
        <w:t>　调解员的指定</w:t>
      </w:r>
      <w:r>
        <w:tab/>
      </w:r>
      <w:r>
        <w:fldChar w:fldCharType="begin"/>
      </w:r>
      <w:r>
        <w:instrText xml:space="preserve"> PAGEREF _Toc171063177 \h </w:instrText>
      </w:r>
      <w:r>
        <w:fldChar w:fldCharType="separate"/>
      </w:r>
      <w:r>
        <w:t>90</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"_Toc171063178" </w:instrText>
      </w:r>
      <w:r>
        <w:fldChar w:fldCharType="separate"/>
      </w:r>
      <w:r>
        <w:rPr>
          <w:rStyle w:val="70"/>
        </w:rPr>
        <w:t>25</w:t>
      </w:r>
      <w:r>
        <w:rPr>
          <w:rStyle w:val="70"/>
          <w:rFonts w:hint="eastAsia"/>
        </w:rPr>
        <w:t>　争端的解决程序</w:t>
      </w:r>
      <w:r>
        <w:tab/>
      </w:r>
      <w:r>
        <w:fldChar w:fldCharType="begin"/>
      </w:r>
      <w:r>
        <w:instrText xml:space="preserve"> PAGEREF _Toc171063178 \h </w:instrText>
      </w:r>
      <w:r>
        <w:fldChar w:fldCharType="separate"/>
      </w:r>
      <w:r>
        <w:t>90</w:t>
      </w:r>
      <w:r>
        <w:fldChar w:fldCharType="end"/>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fldChar w:fldCharType="begin"/>
      </w:r>
      <w:r>
        <w:instrText xml:space="preserve"> HYPERLINK \l "_Toc171063179" </w:instrText>
      </w:r>
      <w:r>
        <w:fldChar w:fldCharType="separate"/>
      </w:r>
      <w:r>
        <w:rPr>
          <w:rStyle w:val="70"/>
          <w:rFonts w:hint="eastAsia"/>
        </w:rPr>
        <w:t>第二节　工期管理</w:t>
      </w:r>
      <w:r>
        <w:tab/>
      </w:r>
      <w:r>
        <w:fldChar w:fldCharType="begin"/>
      </w:r>
      <w:r>
        <w:instrText xml:space="preserve"> PAGEREF _Toc171063179 \h </w:instrText>
      </w:r>
      <w:r>
        <w:fldChar w:fldCharType="separate"/>
      </w:r>
      <w:r>
        <w:t>90</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"_Toc171063180" </w:instrText>
      </w:r>
      <w:r>
        <w:fldChar w:fldCharType="separate"/>
      </w:r>
      <w:r>
        <w:rPr>
          <w:rStyle w:val="70"/>
        </w:rPr>
        <w:t>26</w:t>
      </w:r>
      <w:r>
        <w:rPr>
          <w:rStyle w:val="70"/>
          <w:rFonts w:hint="eastAsia"/>
        </w:rPr>
        <w:t>　进度计划</w:t>
      </w:r>
      <w:r>
        <w:tab/>
      </w:r>
      <w:r>
        <w:fldChar w:fldCharType="begin"/>
      </w:r>
      <w:r>
        <w:instrText xml:space="preserve"> PAGEREF _Toc171063180 \h </w:instrText>
      </w:r>
      <w:r>
        <w:fldChar w:fldCharType="separate"/>
      </w:r>
      <w:r>
        <w:t>90</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"_Toc171063181" </w:instrText>
      </w:r>
      <w:r>
        <w:fldChar w:fldCharType="separate"/>
      </w:r>
      <w:r>
        <w:rPr>
          <w:rStyle w:val="70"/>
        </w:rPr>
        <w:t>27</w:t>
      </w:r>
      <w:r>
        <w:rPr>
          <w:rStyle w:val="70"/>
          <w:rFonts w:hint="eastAsia"/>
        </w:rPr>
        <w:t>　预计完工日期的延长</w:t>
      </w:r>
      <w:r>
        <w:tab/>
      </w:r>
      <w:r>
        <w:fldChar w:fldCharType="begin"/>
      </w:r>
      <w:r>
        <w:instrText xml:space="preserve"> PAGEREF _Toc171063181 \h </w:instrText>
      </w:r>
      <w:r>
        <w:fldChar w:fldCharType="separate"/>
      </w:r>
      <w:r>
        <w:t>91</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"_Toc171063182" </w:instrText>
      </w:r>
      <w:r>
        <w:fldChar w:fldCharType="separate"/>
      </w:r>
      <w:r>
        <w:rPr>
          <w:rStyle w:val="70"/>
        </w:rPr>
        <w:t>28</w:t>
      </w:r>
      <w:r>
        <w:rPr>
          <w:rStyle w:val="70"/>
          <w:rFonts w:hint="eastAsia"/>
        </w:rPr>
        <w:t>　加快进度</w:t>
      </w:r>
      <w:r>
        <w:tab/>
      </w:r>
      <w:r>
        <w:fldChar w:fldCharType="begin"/>
      </w:r>
      <w:r>
        <w:instrText xml:space="preserve"> PAGEREF _Toc171063182 \h </w:instrText>
      </w:r>
      <w:r>
        <w:fldChar w:fldCharType="separate"/>
      </w:r>
      <w:r>
        <w:t>91</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"_Toc171063183" </w:instrText>
      </w:r>
      <w:r>
        <w:fldChar w:fldCharType="separate"/>
      </w:r>
      <w:r>
        <w:rPr>
          <w:rStyle w:val="70"/>
        </w:rPr>
        <w:t>29</w:t>
      </w:r>
      <w:r>
        <w:rPr>
          <w:rStyle w:val="70"/>
          <w:rFonts w:hint="eastAsia"/>
        </w:rPr>
        <w:t>　项目监理命令延缓</w:t>
      </w:r>
      <w:r>
        <w:tab/>
      </w:r>
      <w:r>
        <w:fldChar w:fldCharType="begin"/>
      </w:r>
      <w:r>
        <w:instrText xml:space="preserve"> PAGEREF _Toc171063183 \h </w:instrText>
      </w:r>
      <w:r>
        <w:fldChar w:fldCharType="separate"/>
      </w:r>
      <w:r>
        <w:t>91</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"_Toc171063184" </w:instrText>
      </w:r>
      <w:r>
        <w:fldChar w:fldCharType="separate"/>
      </w:r>
      <w:r>
        <w:rPr>
          <w:rStyle w:val="70"/>
        </w:rPr>
        <w:t>30</w:t>
      </w:r>
      <w:r>
        <w:rPr>
          <w:rStyle w:val="70"/>
          <w:rFonts w:hint="eastAsia"/>
        </w:rPr>
        <w:t>　管理会议</w:t>
      </w:r>
      <w:r>
        <w:tab/>
      </w:r>
      <w:r>
        <w:fldChar w:fldCharType="begin"/>
      </w:r>
      <w:r>
        <w:instrText xml:space="preserve"> PAGEREF _Toc171063184 \h </w:instrText>
      </w:r>
      <w:r>
        <w:fldChar w:fldCharType="separate"/>
      </w:r>
      <w:r>
        <w:t>91</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"_Toc171063185" </w:instrText>
      </w:r>
      <w:r>
        <w:fldChar w:fldCharType="separate"/>
      </w:r>
      <w:r>
        <w:rPr>
          <w:rStyle w:val="70"/>
        </w:rPr>
        <w:t>31</w:t>
      </w:r>
      <w:r>
        <w:rPr>
          <w:rStyle w:val="70"/>
          <w:rFonts w:hint="eastAsia"/>
        </w:rPr>
        <w:t>　提前通报</w:t>
      </w:r>
      <w:r>
        <w:tab/>
      </w:r>
      <w:r>
        <w:fldChar w:fldCharType="begin"/>
      </w:r>
      <w:r>
        <w:instrText xml:space="preserve"> PAGEREF _Toc171063185 \h </w:instrText>
      </w:r>
      <w:r>
        <w:fldChar w:fldCharType="separate"/>
      </w:r>
      <w:r>
        <w:t>91</w:t>
      </w:r>
      <w:r>
        <w:fldChar w:fldCharType="end"/>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fldChar w:fldCharType="begin"/>
      </w:r>
      <w:r>
        <w:instrText xml:space="preserve"> HYPERLINK \l "_Toc171063186" </w:instrText>
      </w:r>
      <w:r>
        <w:fldChar w:fldCharType="separate"/>
      </w:r>
      <w:r>
        <w:rPr>
          <w:rStyle w:val="70"/>
          <w:rFonts w:hint="eastAsia"/>
        </w:rPr>
        <w:t>第三节　质量管理</w:t>
      </w:r>
      <w:r>
        <w:tab/>
      </w:r>
      <w:r>
        <w:fldChar w:fldCharType="begin"/>
      </w:r>
      <w:r>
        <w:instrText xml:space="preserve"> PAGEREF _Toc171063186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"_Toc171063187" </w:instrText>
      </w:r>
      <w:r>
        <w:fldChar w:fldCharType="separate"/>
      </w:r>
      <w:r>
        <w:rPr>
          <w:rStyle w:val="70"/>
        </w:rPr>
        <w:t>32</w:t>
      </w:r>
      <w:r>
        <w:rPr>
          <w:rStyle w:val="70"/>
          <w:rFonts w:hint="eastAsia"/>
        </w:rPr>
        <w:t>　鉴别缺陷</w:t>
      </w:r>
      <w:r>
        <w:tab/>
      </w:r>
      <w:r>
        <w:fldChar w:fldCharType="begin"/>
      </w:r>
      <w:r>
        <w:instrText xml:space="preserve"> PAGEREF _Toc171063187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"_Toc171063188" </w:instrText>
      </w:r>
      <w:r>
        <w:fldChar w:fldCharType="separate"/>
      </w:r>
      <w:r>
        <w:rPr>
          <w:rStyle w:val="70"/>
        </w:rPr>
        <w:t>33</w:t>
      </w:r>
      <w:r>
        <w:rPr>
          <w:rStyle w:val="70"/>
          <w:rFonts w:hint="eastAsia"/>
        </w:rPr>
        <w:t>　试验</w:t>
      </w:r>
      <w:r>
        <w:tab/>
      </w:r>
      <w:r>
        <w:fldChar w:fldCharType="begin"/>
      </w:r>
      <w:r>
        <w:instrText xml:space="preserve"> PAGEREF _Toc171063188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"_Toc171063189" </w:instrText>
      </w:r>
      <w:r>
        <w:fldChar w:fldCharType="separate"/>
      </w:r>
      <w:r>
        <w:rPr>
          <w:rStyle w:val="70"/>
        </w:rPr>
        <w:t>34</w:t>
      </w:r>
      <w:r>
        <w:rPr>
          <w:rStyle w:val="70"/>
          <w:rFonts w:hint="eastAsia"/>
        </w:rPr>
        <w:t>　对缺陷的修复</w:t>
      </w:r>
      <w:r>
        <w:tab/>
      </w:r>
      <w:r>
        <w:fldChar w:fldCharType="begin"/>
      </w:r>
      <w:r>
        <w:instrText xml:space="preserve"> PAGEREF _Toc171063189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"_Toc171063190" </w:instrText>
      </w:r>
      <w:r>
        <w:fldChar w:fldCharType="separate"/>
      </w:r>
      <w:r>
        <w:rPr>
          <w:rStyle w:val="70"/>
        </w:rPr>
        <w:t>35</w:t>
      </w:r>
      <w:r>
        <w:rPr>
          <w:rStyle w:val="70"/>
          <w:rFonts w:hint="eastAsia"/>
        </w:rPr>
        <w:t>　未修复的缺陷</w:t>
      </w:r>
      <w:r>
        <w:tab/>
      </w:r>
      <w:r>
        <w:fldChar w:fldCharType="begin"/>
      </w:r>
      <w:r>
        <w:instrText xml:space="preserve"> PAGEREF _Toc171063190 \h </w:instrText>
      </w:r>
      <w:r>
        <w:fldChar w:fldCharType="separate"/>
      </w:r>
      <w:r>
        <w:t>92</w:t>
      </w:r>
      <w:r>
        <w:fldChar w:fldCharType="end"/>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fldChar w:fldCharType="begin"/>
      </w:r>
      <w:r>
        <w:instrText xml:space="preserve"> HYPERLINK \l "_Toc171063191" </w:instrText>
      </w:r>
      <w:r>
        <w:fldChar w:fldCharType="separate"/>
      </w:r>
      <w:r>
        <w:rPr>
          <w:rStyle w:val="70"/>
          <w:rFonts w:hint="eastAsia"/>
        </w:rPr>
        <w:t>第四节　成本管理</w:t>
      </w:r>
      <w:r>
        <w:tab/>
      </w:r>
      <w:r>
        <w:fldChar w:fldCharType="begin"/>
      </w:r>
      <w:r>
        <w:instrText xml:space="preserve"> PAGEREF _Toc171063191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"_Toc171063192" </w:instrText>
      </w:r>
      <w:r>
        <w:fldChar w:fldCharType="separate"/>
      </w:r>
      <w:r>
        <w:rPr>
          <w:rStyle w:val="70"/>
        </w:rPr>
        <w:t>36</w:t>
      </w:r>
      <w:r>
        <w:rPr>
          <w:rStyle w:val="70"/>
          <w:rFonts w:hint="eastAsia"/>
        </w:rPr>
        <w:t>　合同价</w:t>
      </w:r>
      <w:r>
        <w:tab/>
      </w:r>
      <w:r>
        <w:fldChar w:fldCharType="begin"/>
      </w:r>
      <w:r>
        <w:instrText xml:space="preserve"> PAGEREF _Toc171063192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"_Toc171063193" </w:instrText>
      </w:r>
      <w:r>
        <w:fldChar w:fldCharType="separate"/>
      </w:r>
      <w:r>
        <w:rPr>
          <w:rStyle w:val="70"/>
        </w:rPr>
        <w:t>37</w:t>
      </w:r>
      <w:r>
        <w:rPr>
          <w:rStyle w:val="70"/>
          <w:rFonts w:hint="eastAsia"/>
        </w:rPr>
        <w:t>　合同价的变化</w:t>
      </w:r>
      <w:r>
        <w:tab/>
      </w:r>
      <w:r>
        <w:fldChar w:fldCharType="begin"/>
      </w:r>
      <w:r>
        <w:instrText xml:space="preserve"> PAGEREF _Toc171063193 \h </w:instrText>
      </w:r>
      <w:r>
        <w:fldChar w:fldCharType="separate"/>
      </w:r>
      <w:r>
        <w:t>92</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"_Toc171063194" </w:instrText>
      </w:r>
      <w:r>
        <w:fldChar w:fldCharType="separate"/>
      </w:r>
      <w:r>
        <w:rPr>
          <w:rStyle w:val="70"/>
        </w:rPr>
        <w:t>38</w:t>
      </w:r>
      <w:r>
        <w:rPr>
          <w:rStyle w:val="70"/>
          <w:rFonts w:hint="eastAsia"/>
        </w:rPr>
        <w:t>　变更</w:t>
      </w:r>
      <w:r>
        <w:tab/>
      </w:r>
      <w:r>
        <w:fldChar w:fldCharType="begin"/>
      </w:r>
      <w:r>
        <w:instrText xml:space="preserve"> PAGEREF _Toc171063194 \h </w:instrText>
      </w:r>
      <w:r>
        <w:fldChar w:fldCharType="separate"/>
      </w:r>
      <w:r>
        <w:t>93</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"_Toc171063195" </w:instrText>
      </w:r>
      <w:r>
        <w:fldChar w:fldCharType="separate"/>
      </w:r>
      <w:r>
        <w:rPr>
          <w:rStyle w:val="70"/>
        </w:rPr>
        <w:t>39</w:t>
      </w:r>
      <w:r>
        <w:rPr>
          <w:rStyle w:val="70"/>
          <w:rFonts w:hint="eastAsia"/>
        </w:rPr>
        <w:t>　现金流预测</w:t>
      </w:r>
      <w:r>
        <w:tab/>
      </w:r>
      <w:r>
        <w:fldChar w:fldCharType="begin"/>
      </w:r>
      <w:r>
        <w:instrText xml:space="preserve"> PAGEREF _Toc171063195 \h </w:instrText>
      </w:r>
      <w:r>
        <w:fldChar w:fldCharType="separate"/>
      </w:r>
      <w:r>
        <w:t>93</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"_Toc171063196" </w:instrText>
      </w:r>
      <w:r>
        <w:fldChar w:fldCharType="separate"/>
      </w:r>
      <w:r>
        <w:rPr>
          <w:rStyle w:val="70"/>
        </w:rPr>
        <w:t>40</w:t>
      </w:r>
      <w:r>
        <w:rPr>
          <w:rStyle w:val="70"/>
          <w:rFonts w:hint="eastAsia"/>
        </w:rPr>
        <w:t>　支付证书</w:t>
      </w:r>
      <w:r>
        <w:tab/>
      </w:r>
      <w:r>
        <w:fldChar w:fldCharType="begin"/>
      </w:r>
      <w:r>
        <w:instrText xml:space="preserve"> PAGEREF _Toc171063196 \h </w:instrText>
      </w:r>
      <w:r>
        <w:fldChar w:fldCharType="separate"/>
      </w:r>
      <w:r>
        <w:t>93</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"_Toc171063197" </w:instrText>
      </w:r>
      <w:r>
        <w:fldChar w:fldCharType="separate"/>
      </w:r>
      <w:r>
        <w:rPr>
          <w:rStyle w:val="70"/>
        </w:rPr>
        <w:t>41</w:t>
      </w:r>
      <w:r>
        <w:rPr>
          <w:rStyle w:val="70"/>
          <w:rFonts w:hint="eastAsia"/>
        </w:rPr>
        <w:t>　支付</w:t>
      </w:r>
      <w:r>
        <w:tab/>
      </w:r>
      <w:r>
        <w:fldChar w:fldCharType="begin"/>
      </w:r>
      <w:r>
        <w:instrText xml:space="preserve"> PAGEREF _Toc171063197 \h </w:instrText>
      </w:r>
      <w:r>
        <w:fldChar w:fldCharType="separate"/>
      </w:r>
      <w:r>
        <w:t>93</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"_Toc171063198" </w:instrText>
      </w:r>
      <w:r>
        <w:fldChar w:fldCharType="separate"/>
      </w:r>
      <w:r>
        <w:rPr>
          <w:rStyle w:val="70"/>
        </w:rPr>
        <w:t>42</w:t>
      </w:r>
      <w:r>
        <w:rPr>
          <w:rStyle w:val="70"/>
          <w:rFonts w:hint="eastAsia"/>
        </w:rPr>
        <w:t>　补偿事件</w:t>
      </w:r>
      <w:r>
        <w:tab/>
      </w:r>
      <w:r>
        <w:fldChar w:fldCharType="begin"/>
      </w:r>
      <w:r>
        <w:instrText xml:space="preserve"> PAGEREF _Toc171063198 \h </w:instrText>
      </w:r>
      <w:r>
        <w:fldChar w:fldCharType="separate"/>
      </w:r>
      <w:r>
        <w:t>94</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"_Toc171063199" </w:instrText>
      </w:r>
      <w:r>
        <w:fldChar w:fldCharType="separate"/>
      </w:r>
      <w:r>
        <w:rPr>
          <w:rStyle w:val="70"/>
        </w:rPr>
        <w:t>43</w:t>
      </w:r>
      <w:r>
        <w:rPr>
          <w:rStyle w:val="70"/>
          <w:rFonts w:hint="eastAsia"/>
        </w:rPr>
        <w:t>　税费</w:t>
      </w:r>
      <w:r>
        <w:tab/>
      </w:r>
      <w:r>
        <w:fldChar w:fldCharType="begin"/>
      </w:r>
      <w:r>
        <w:instrText xml:space="preserve"> PAGEREF _Toc171063199 \h </w:instrText>
      </w:r>
      <w:r>
        <w:fldChar w:fldCharType="separate"/>
      </w:r>
      <w:r>
        <w:t>94</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"_Toc171063200" </w:instrText>
      </w:r>
      <w:r>
        <w:fldChar w:fldCharType="separate"/>
      </w:r>
      <w:r>
        <w:rPr>
          <w:rStyle w:val="70"/>
        </w:rPr>
        <w:t>44</w:t>
      </w:r>
      <w:r>
        <w:rPr>
          <w:rStyle w:val="70"/>
          <w:rFonts w:hint="eastAsia"/>
        </w:rPr>
        <w:t>　货币</w:t>
      </w:r>
      <w:r>
        <w:tab/>
      </w:r>
      <w:r>
        <w:fldChar w:fldCharType="begin"/>
      </w:r>
      <w:r>
        <w:instrText xml:space="preserve"> PAGEREF _Toc171063200 \h </w:instrText>
      </w:r>
      <w:r>
        <w:fldChar w:fldCharType="separate"/>
      </w:r>
      <w:r>
        <w:t>95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"_Toc171063201" </w:instrText>
      </w:r>
      <w:r>
        <w:fldChar w:fldCharType="separate"/>
      </w:r>
      <w:r>
        <w:rPr>
          <w:rStyle w:val="70"/>
        </w:rPr>
        <w:t>45</w:t>
      </w:r>
      <w:r>
        <w:rPr>
          <w:rStyle w:val="70"/>
          <w:rFonts w:hint="eastAsia"/>
        </w:rPr>
        <w:t>　法律变更</w:t>
      </w:r>
      <w:r>
        <w:tab/>
      </w:r>
      <w:r>
        <w:fldChar w:fldCharType="begin"/>
      </w:r>
      <w:r>
        <w:instrText xml:space="preserve"> PAGEREF _Toc171063201 \h </w:instrText>
      </w:r>
      <w:r>
        <w:fldChar w:fldCharType="separate"/>
      </w:r>
      <w:r>
        <w:t>95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"_Toc171063202" </w:instrText>
      </w:r>
      <w:r>
        <w:fldChar w:fldCharType="separate"/>
      </w:r>
      <w:r>
        <w:rPr>
          <w:rStyle w:val="70"/>
        </w:rPr>
        <w:t>46</w:t>
      </w:r>
      <w:r>
        <w:rPr>
          <w:rStyle w:val="70"/>
          <w:rFonts w:hint="eastAsia"/>
        </w:rPr>
        <w:t>　价格调整</w:t>
      </w:r>
      <w:r>
        <w:tab/>
      </w:r>
      <w:r>
        <w:fldChar w:fldCharType="begin"/>
      </w:r>
      <w:r>
        <w:instrText xml:space="preserve"> PAGEREF _Toc171063202 \h </w:instrText>
      </w:r>
      <w:r>
        <w:fldChar w:fldCharType="separate"/>
      </w:r>
      <w:r>
        <w:t>95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"_Toc171063203" </w:instrText>
      </w:r>
      <w:r>
        <w:fldChar w:fldCharType="separate"/>
      </w:r>
      <w:r>
        <w:rPr>
          <w:rStyle w:val="70"/>
        </w:rPr>
        <w:t>47</w:t>
      </w:r>
      <w:r>
        <w:rPr>
          <w:rStyle w:val="70"/>
          <w:rFonts w:hint="eastAsia"/>
        </w:rPr>
        <w:t>　保留金</w:t>
      </w:r>
      <w:r>
        <w:tab/>
      </w:r>
      <w:r>
        <w:fldChar w:fldCharType="begin"/>
      </w:r>
      <w:r>
        <w:instrText xml:space="preserve"> PAGEREF _Toc171063203 \h </w:instrText>
      </w:r>
      <w:r>
        <w:fldChar w:fldCharType="separate"/>
      </w:r>
      <w:r>
        <w:t>95</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"_Toc171063204" </w:instrText>
      </w:r>
      <w:r>
        <w:fldChar w:fldCharType="separate"/>
      </w:r>
      <w:r>
        <w:rPr>
          <w:rStyle w:val="70"/>
        </w:rPr>
        <w:t>48</w:t>
      </w:r>
      <w:r>
        <w:rPr>
          <w:rStyle w:val="70"/>
          <w:rFonts w:hint="eastAsia"/>
        </w:rPr>
        <w:t>　误期赔偿费</w:t>
      </w:r>
      <w:r>
        <w:tab/>
      </w:r>
      <w:r>
        <w:fldChar w:fldCharType="begin"/>
      </w:r>
      <w:r>
        <w:instrText xml:space="preserve"> PAGEREF _Toc171063204 \h </w:instrText>
      </w:r>
      <w:r>
        <w:fldChar w:fldCharType="separate"/>
      </w:r>
      <w:r>
        <w:t>96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"_Toc171063205" </w:instrText>
      </w:r>
      <w:r>
        <w:fldChar w:fldCharType="separate"/>
      </w:r>
      <w:r>
        <w:rPr>
          <w:rStyle w:val="70"/>
        </w:rPr>
        <w:t>49</w:t>
      </w:r>
      <w:r>
        <w:rPr>
          <w:rStyle w:val="70"/>
          <w:rFonts w:hint="eastAsia"/>
        </w:rPr>
        <w:t>　奖励</w:t>
      </w:r>
      <w:r>
        <w:tab/>
      </w:r>
      <w:r>
        <w:fldChar w:fldCharType="begin"/>
      </w:r>
      <w:r>
        <w:instrText xml:space="preserve"> PAGEREF _Toc171063205 \h </w:instrText>
      </w:r>
      <w:r>
        <w:fldChar w:fldCharType="separate"/>
      </w:r>
      <w:r>
        <w:t>96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"_Toc171063206" </w:instrText>
      </w:r>
      <w:r>
        <w:fldChar w:fldCharType="separate"/>
      </w:r>
      <w:r>
        <w:rPr>
          <w:rStyle w:val="70"/>
        </w:rPr>
        <w:t>50</w:t>
      </w:r>
      <w:r>
        <w:rPr>
          <w:rStyle w:val="70"/>
          <w:rFonts w:hint="eastAsia"/>
        </w:rPr>
        <w:t>　预付款</w:t>
      </w:r>
      <w:r>
        <w:tab/>
      </w:r>
      <w:r>
        <w:fldChar w:fldCharType="begin"/>
      </w:r>
      <w:r>
        <w:instrText xml:space="preserve"> PAGEREF _Toc171063206 \h </w:instrText>
      </w:r>
      <w:r>
        <w:fldChar w:fldCharType="separate"/>
      </w:r>
      <w:r>
        <w:t>96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"_Toc171063207" </w:instrText>
      </w:r>
      <w:r>
        <w:fldChar w:fldCharType="separate"/>
      </w:r>
      <w:r>
        <w:rPr>
          <w:rStyle w:val="70"/>
        </w:rPr>
        <w:t>51</w:t>
      </w:r>
      <w:r>
        <w:rPr>
          <w:rStyle w:val="70"/>
          <w:rFonts w:hint="eastAsia"/>
        </w:rPr>
        <w:t>　保证金</w:t>
      </w:r>
      <w:r>
        <w:tab/>
      </w:r>
      <w:r>
        <w:fldChar w:fldCharType="begin"/>
      </w:r>
      <w:r>
        <w:instrText xml:space="preserve"> PAGEREF _Toc171063207 \h </w:instrText>
      </w:r>
      <w:r>
        <w:fldChar w:fldCharType="separate"/>
      </w:r>
      <w:r>
        <w:t>96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"_Toc171063208" </w:instrText>
      </w:r>
      <w:r>
        <w:fldChar w:fldCharType="separate"/>
      </w:r>
      <w:r>
        <w:rPr>
          <w:rStyle w:val="70"/>
        </w:rPr>
        <w:t>52</w:t>
      </w:r>
      <w:r>
        <w:rPr>
          <w:rStyle w:val="70"/>
          <w:rFonts w:hint="eastAsia"/>
        </w:rPr>
        <w:t>　暂定金</w:t>
      </w:r>
      <w:r>
        <w:tab/>
      </w:r>
      <w:r>
        <w:fldChar w:fldCharType="begin"/>
      </w:r>
      <w:r>
        <w:instrText xml:space="preserve"> PAGEREF _Toc171063208 \h </w:instrText>
      </w:r>
      <w:r>
        <w:fldChar w:fldCharType="separate"/>
      </w:r>
      <w:r>
        <w:t>96</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"_Toc171063209" </w:instrText>
      </w:r>
      <w:r>
        <w:fldChar w:fldCharType="separate"/>
      </w:r>
      <w:r>
        <w:rPr>
          <w:rStyle w:val="70"/>
        </w:rPr>
        <w:t>53</w:t>
      </w:r>
      <w:r>
        <w:rPr>
          <w:rStyle w:val="70"/>
          <w:rFonts w:hint="eastAsia"/>
        </w:rPr>
        <w:t>　计日工</w:t>
      </w:r>
      <w:r>
        <w:tab/>
      </w:r>
      <w:r>
        <w:fldChar w:fldCharType="begin"/>
      </w:r>
      <w:r>
        <w:instrText xml:space="preserve"> PAGEREF _Toc171063209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"_Toc171063210" </w:instrText>
      </w:r>
      <w:r>
        <w:fldChar w:fldCharType="separate"/>
      </w:r>
      <w:r>
        <w:rPr>
          <w:rStyle w:val="70"/>
        </w:rPr>
        <w:t>54</w:t>
      </w:r>
      <w:r>
        <w:rPr>
          <w:rStyle w:val="70"/>
          <w:rFonts w:hint="eastAsia"/>
        </w:rPr>
        <w:t>　修复费用</w:t>
      </w:r>
      <w:r>
        <w:tab/>
      </w:r>
      <w:r>
        <w:fldChar w:fldCharType="begin"/>
      </w:r>
      <w:r>
        <w:instrText xml:space="preserve"> PAGEREF _Toc171063210 \h </w:instrText>
      </w:r>
      <w:r>
        <w:fldChar w:fldCharType="separate"/>
      </w:r>
      <w:r>
        <w:t>97</w:t>
      </w:r>
      <w:r>
        <w:fldChar w:fldCharType="end"/>
      </w:r>
      <w:r>
        <w:fldChar w:fldCharType="end"/>
      </w:r>
    </w:p>
    <w:p>
      <w:pPr>
        <w:pStyle w:val="33"/>
        <w:tabs>
          <w:tab w:val="right" w:leader="dot" w:pos="8303"/>
        </w:tabs>
        <w:rPr>
          <w:rFonts w:asciiTheme="minorHAnsi" w:hAnsiTheme="minorHAnsi" w:eastAsiaTheme="minorEastAsia" w:cstheme="minorBidi"/>
          <w:b w:val="0"/>
          <w:iCs w:val="0"/>
          <w:kern w:val="2"/>
          <w:szCs w:val="22"/>
          <w14:ligatures w14:val="standardContextual"/>
        </w:rPr>
      </w:pPr>
      <w:r>
        <w:fldChar w:fldCharType="begin"/>
      </w:r>
      <w:r>
        <w:instrText xml:space="preserve"> HYPERLINK \l "_Toc171063211" </w:instrText>
      </w:r>
      <w:r>
        <w:fldChar w:fldCharType="separate"/>
      </w:r>
      <w:r>
        <w:rPr>
          <w:rStyle w:val="70"/>
          <w:rFonts w:hint="eastAsia"/>
        </w:rPr>
        <w:t>第五节　完成合同</w:t>
      </w:r>
      <w:r>
        <w:tab/>
      </w:r>
      <w:r>
        <w:fldChar w:fldCharType="begin"/>
      </w:r>
      <w:r>
        <w:instrText xml:space="preserve"> PAGEREF _Toc171063211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"_Toc171063212" </w:instrText>
      </w:r>
      <w:r>
        <w:fldChar w:fldCharType="separate"/>
      </w:r>
      <w:r>
        <w:rPr>
          <w:rStyle w:val="70"/>
        </w:rPr>
        <w:t>55</w:t>
      </w:r>
      <w:r>
        <w:rPr>
          <w:rStyle w:val="70"/>
          <w:rFonts w:hint="eastAsia"/>
        </w:rPr>
        <w:t>　完工</w:t>
      </w:r>
      <w:r>
        <w:tab/>
      </w:r>
      <w:r>
        <w:fldChar w:fldCharType="begin"/>
      </w:r>
      <w:r>
        <w:instrText xml:space="preserve"> PAGEREF _Toc171063212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"_Toc171063213" </w:instrText>
      </w:r>
      <w:r>
        <w:fldChar w:fldCharType="separate"/>
      </w:r>
      <w:r>
        <w:rPr>
          <w:rStyle w:val="70"/>
        </w:rPr>
        <w:t>56</w:t>
      </w:r>
      <w:r>
        <w:rPr>
          <w:rStyle w:val="70"/>
          <w:rFonts w:hint="eastAsia"/>
        </w:rPr>
        <w:t>　验收</w:t>
      </w:r>
      <w:r>
        <w:tab/>
      </w:r>
      <w:r>
        <w:fldChar w:fldCharType="begin"/>
      </w:r>
      <w:r>
        <w:instrText xml:space="preserve"> PAGEREF _Toc171063213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"_Toc171063214" </w:instrText>
      </w:r>
      <w:r>
        <w:fldChar w:fldCharType="separate"/>
      </w:r>
      <w:r>
        <w:rPr>
          <w:rStyle w:val="70"/>
        </w:rPr>
        <w:t>57</w:t>
      </w:r>
      <w:r>
        <w:rPr>
          <w:rStyle w:val="70"/>
          <w:rFonts w:hint="eastAsia"/>
        </w:rPr>
        <w:t>　结算</w:t>
      </w:r>
      <w:r>
        <w:tab/>
      </w:r>
      <w:r>
        <w:fldChar w:fldCharType="begin"/>
      </w:r>
      <w:r>
        <w:instrText xml:space="preserve"> PAGEREF _Toc171063214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"_Toc171063215" </w:instrText>
      </w:r>
      <w:r>
        <w:fldChar w:fldCharType="separate"/>
      </w:r>
      <w:r>
        <w:rPr>
          <w:rStyle w:val="70"/>
        </w:rPr>
        <w:t>58</w:t>
      </w:r>
      <w:r>
        <w:rPr>
          <w:rStyle w:val="70"/>
          <w:rFonts w:hint="eastAsia"/>
        </w:rPr>
        <w:t>　运行和维修手册</w:t>
      </w:r>
      <w:r>
        <w:tab/>
      </w:r>
      <w:r>
        <w:fldChar w:fldCharType="begin"/>
      </w:r>
      <w:r>
        <w:instrText xml:space="preserve"> PAGEREF _Toc171063215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"_Toc171063216" </w:instrText>
      </w:r>
      <w:r>
        <w:fldChar w:fldCharType="separate"/>
      </w:r>
      <w:r>
        <w:rPr>
          <w:rStyle w:val="70"/>
        </w:rPr>
        <w:t>59</w:t>
      </w:r>
      <w:r>
        <w:rPr>
          <w:rStyle w:val="70"/>
          <w:rFonts w:hint="eastAsia"/>
        </w:rPr>
        <w:t>　终止合同</w:t>
      </w:r>
      <w:r>
        <w:tab/>
      </w:r>
      <w:r>
        <w:fldChar w:fldCharType="begin"/>
      </w:r>
      <w:r>
        <w:instrText xml:space="preserve"> PAGEREF _Toc171063216 \h </w:instrText>
      </w:r>
      <w:r>
        <w:fldChar w:fldCharType="separate"/>
      </w:r>
      <w:r>
        <w:t>97</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"_Toc171063217" </w:instrText>
      </w:r>
      <w:r>
        <w:fldChar w:fldCharType="separate"/>
      </w:r>
      <w:r>
        <w:rPr>
          <w:rStyle w:val="70"/>
        </w:rPr>
        <w:t>60</w:t>
      </w:r>
      <w:r>
        <w:rPr>
          <w:rStyle w:val="70"/>
          <w:rFonts w:hint="eastAsia"/>
        </w:rPr>
        <w:t>　禁止行为</w:t>
      </w:r>
      <w:r>
        <w:tab/>
      </w:r>
      <w:r>
        <w:fldChar w:fldCharType="begin"/>
      </w:r>
      <w:r>
        <w:instrText xml:space="preserve"> PAGEREF _Toc171063217 \h </w:instrText>
      </w:r>
      <w:r>
        <w:fldChar w:fldCharType="separate"/>
      </w:r>
      <w:r>
        <w:t>98</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"_Toc171063218" </w:instrText>
      </w:r>
      <w:r>
        <w:fldChar w:fldCharType="separate"/>
      </w:r>
      <w:r>
        <w:rPr>
          <w:rStyle w:val="70"/>
        </w:rPr>
        <w:t>61</w:t>
      </w:r>
      <w:r>
        <w:rPr>
          <w:rStyle w:val="70"/>
          <w:rFonts w:hint="eastAsia"/>
        </w:rPr>
        <w:t>　合同终止时的支付</w:t>
      </w:r>
      <w:r>
        <w:tab/>
      </w:r>
      <w:r>
        <w:fldChar w:fldCharType="begin"/>
      </w:r>
      <w:r>
        <w:instrText xml:space="preserve"> PAGEREF _Toc171063218 \h </w:instrText>
      </w:r>
      <w:r>
        <w:fldChar w:fldCharType="separate"/>
      </w:r>
      <w:r>
        <w:t>99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"_Toc171063219" </w:instrText>
      </w:r>
      <w:r>
        <w:fldChar w:fldCharType="separate"/>
      </w:r>
      <w:r>
        <w:rPr>
          <w:rStyle w:val="70"/>
        </w:rPr>
        <w:t>62</w:t>
      </w:r>
      <w:r>
        <w:rPr>
          <w:rStyle w:val="70"/>
          <w:rFonts w:hint="eastAsia"/>
        </w:rPr>
        <w:t>　财产</w:t>
      </w:r>
      <w:r>
        <w:tab/>
      </w:r>
      <w:r>
        <w:fldChar w:fldCharType="begin"/>
      </w:r>
      <w:r>
        <w:instrText xml:space="preserve"> PAGEREF _Toc171063219 \h </w:instrText>
      </w:r>
      <w:r>
        <w:fldChar w:fldCharType="separate"/>
      </w:r>
      <w:r>
        <w:t>99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"_Toc171063220" </w:instrText>
      </w:r>
      <w:r>
        <w:fldChar w:fldCharType="separate"/>
      </w:r>
      <w:r>
        <w:rPr>
          <w:rStyle w:val="70"/>
        </w:rPr>
        <w:t>63</w:t>
      </w:r>
      <w:r>
        <w:rPr>
          <w:rStyle w:val="70"/>
          <w:rFonts w:hint="eastAsia"/>
        </w:rPr>
        <w:t>　合同解除</w:t>
      </w:r>
      <w:r>
        <w:tab/>
      </w:r>
      <w:r>
        <w:fldChar w:fldCharType="begin"/>
      </w:r>
      <w:r>
        <w:instrText xml:space="preserve"> PAGEREF _Toc171063220 \h </w:instrText>
      </w:r>
      <w:r>
        <w:fldChar w:fldCharType="separate"/>
      </w:r>
      <w:r>
        <w:t>99</w:t>
      </w:r>
      <w:r>
        <w:fldChar w:fldCharType="end"/>
      </w:r>
      <w:r>
        <w:fldChar w:fldCharType="end"/>
      </w:r>
    </w:p>
    <w:p>
      <w:pPr>
        <w:pStyle w:val="45"/>
        <w:tabs>
          <w:tab w:val="right" w:leader="dot" w:pos="8303"/>
        </w:tabs>
        <w:rPr>
          <w:rFonts w:asciiTheme="minorHAnsi" w:hAnsiTheme="minorHAnsi" w:eastAsiaTheme="minorEastAsia" w:cstheme="minorBidi"/>
          <w:kern w:val="2"/>
          <w:sz w:val="22"/>
          <w:szCs w:val="22"/>
          <w14:ligatures w14:val="standardContextual"/>
        </w:rPr>
      </w:pPr>
      <w:r>
        <w:fldChar w:fldCharType="begin"/>
      </w:r>
      <w:r>
        <w:instrText xml:space="preserve"> HYPERLINK \l "_Toc171063221" </w:instrText>
      </w:r>
      <w:r>
        <w:fldChar w:fldCharType="separate"/>
      </w:r>
      <w:r>
        <w:rPr>
          <w:rStyle w:val="70"/>
        </w:rPr>
        <w:t>64</w:t>
      </w:r>
      <w:r>
        <w:rPr>
          <w:rStyle w:val="70"/>
          <w:rFonts w:hint="eastAsia"/>
        </w:rPr>
        <w:t>　停止贷款</w:t>
      </w:r>
      <w:r>
        <w:tab/>
      </w:r>
      <w:r>
        <w:fldChar w:fldCharType="begin"/>
      </w:r>
      <w:r>
        <w:instrText xml:space="preserve"> PAGEREF _Toc171063221 \h </w:instrText>
      </w:r>
      <w:r>
        <w:fldChar w:fldCharType="separate"/>
      </w:r>
      <w:r>
        <w:t>99</w:t>
      </w:r>
      <w:r>
        <w:fldChar w:fldCharType="end"/>
      </w:r>
      <w:r>
        <w:fldChar w:fldCharType="end"/>
      </w:r>
    </w:p>
    <w:p>
      <w:pPr>
        <w:pStyle w:val="52"/>
        <w:tabs>
          <w:tab w:val="right" w:leader="dot" w:pos="8303"/>
        </w:tabs>
        <w:rPr>
          <w:rFonts w:asciiTheme="minorHAnsi" w:hAnsiTheme="minorHAnsi" w:eastAsiaTheme="minorEastAsia" w:cstheme="minorBidi"/>
          <w:smallCaps w:val="0"/>
          <w:kern w:val="2"/>
          <w:sz w:val="22"/>
          <w:szCs w:val="22"/>
          <w14:ligatures w14:val="standardContextual"/>
        </w:rPr>
      </w:pPr>
      <w:r>
        <w:fldChar w:fldCharType="begin"/>
      </w:r>
      <w:r>
        <w:instrText xml:space="preserve"> HYPERLINK \l "_Toc171063222" </w:instrText>
      </w:r>
      <w:r>
        <w:fldChar w:fldCharType="separate"/>
      </w:r>
      <w:r>
        <w:rPr>
          <w:rStyle w:val="70"/>
          <w:rFonts w:hint="eastAsia"/>
        </w:rPr>
        <w:t>第八章　特殊合同条款</w:t>
      </w:r>
      <w:r>
        <w:tab/>
      </w:r>
      <w:r>
        <w:fldChar w:fldCharType="begin"/>
      </w:r>
      <w:r>
        <w:instrText xml:space="preserve"> PAGEREF _Toc171063222 \h </w:instrText>
      </w:r>
      <w:r>
        <w:fldChar w:fldCharType="separate"/>
      </w:r>
      <w:r>
        <w:t>103</w:t>
      </w:r>
      <w:r>
        <w:fldChar w:fldCharType="end"/>
      </w:r>
      <w:r>
        <w:fldChar w:fldCharType="end"/>
      </w:r>
    </w:p>
    <w:p>
      <w:pPr>
        <w:pStyle w:val="52"/>
        <w:tabs>
          <w:tab w:val="right" w:leader="dot" w:pos="8303"/>
        </w:tabs>
        <w:rPr>
          <w:rFonts w:asciiTheme="minorHAnsi" w:hAnsiTheme="minorHAnsi" w:eastAsiaTheme="minorEastAsia" w:cstheme="minorBidi"/>
          <w:smallCaps w:val="0"/>
          <w:kern w:val="2"/>
          <w:sz w:val="22"/>
          <w:szCs w:val="22"/>
          <w14:ligatures w14:val="standardContextual"/>
        </w:rPr>
      </w:pPr>
      <w:r>
        <w:fldChar w:fldCharType="begin"/>
      </w:r>
      <w:r>
        <w:instrText xml:space="preserve"> HYPERLINK \l "_Toc171063223" </w:instrText>
      </w:r>
      <w:r>
        <w:fldChar w:fldCharType="separate"/>
      </w:r>
      <w:r>
        <w:rPr>
          <w:rStyle w:val="70"/>
          <w:rFonts w:hint="eastAsia"/>
        </w:rPr>
        <w:t>第九章　合同格式</w:t>
      </w:r>
      <w:r>
        <w:tab/>
      </w:r>
      <w:r>
        <w:fldChar w:fldCharType="begin"/>
      </w:r>
      <w:r>
        <w:instrText xml:space="preserve"> PAGEREF _Toc171063223 \h </w:instrText>
      </w:r>
      <w:r>
        <w:fldChar w:fldCharType="separate"/>
      </w:r>
      <w:r>
        <w:t>109</w:t>
      </w:r>
      <w:r>
        <w:fldChar w:fldCharType="end"/>
      </w:r>
      <w:r>
        <w:fldChar w:fldCharType="end"/>
      </w:r>
    </w:p>
    <w:p>
      <w:pPr>
        <w:ind w:firstLine="482"/>
        <w:jc w:val="center"/>
        <w:textAlignment w:val="auto"/>
        <w:rPr>
          <w:b/>
          <w:sz w:val="24"/>
          <w:szCs w:val="24"/>
        </w:rPr>
      </w:pPr>
      <w:r>
        <w:rPr>
          <w:b/>
          <w:sz w:val="24"/>
          <w:szCs w:val="24"/>
        </w:rPr>
        <w:fldChar w:fldCharType="end"/>
      </w:r>
    </w:p>
    <w:p>
      <w:pPr>
        <w:textAlignment w:val="auto"/>
        <w:sectPr>
          <w:headerReference r:id="rId22"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4"/>
      </w:pPr>
      <w:bookmarkStart w:id="1520" w:name="_Toc110265202"/>
      <w:bookmarkStart w:id="1521" w:name="_Toc110264503"/>
      <w:bookmarkStart w:id="1522" w:name="_Toc110264966"/>
      <w:bookmarkStart w:id="1523" w:name="_Toc324772005"/>
      <w:bookmarkStart w:id="1524" w:name="_Toc110264802"/>
      <w:bookmarkStart w:id="1525" w:name="_Toc171063153"/>
      <w:bookmarkStart w:id="1526" w:name="_Toc104482487"/>
      <w:bookmarkStart w:id="1527" w:name="_Toc110268538"/>
      <w:bookmarkStart w:id="1528" w:name="_Toc391287355"/>
      <w:bookmarkStart w:id="1529" w:name="_Toc110264749"/>
      <w:bookmarkStart w:id="1530" w:name="_Toc110272072"/>
      <w:r>
        <w:rPr>
          <w:rFonts w:hint="eastAsia"/>
        </w:rPr>
        <w:t>第一节　总则</w:t>
      </w:r>
      <w:bookmarkEnd w:id="1520"/>
      <w:bookmarkEnd w:id="1521"/>
      <w:bookmarkEnd w:id="1522"/>
      <w:bookmarkEnd w:id="1523"/>
      <w:bookmarkEnd w:id="1524"/>
      <w:bookmarkEnd w:id="1525"/>
      <w:bookmarkEnd w:id="1526"/>
      <w:bookmarkEnd w:id="1527"/>
      <w:bookmarkEnd w:id="1528"/>
      <w:bookmarkEnd w:id="1529"/>
      <w:bookmarkEnd w:id="1530"/>
    </w:p>
    <w:p>
      <w:pPr>
        <w:pStyle w:val="5"/>
      </w:pPr>
      <w:bookmarkStart w:id="1531" w:name="_Toc104482488"/>
      <w:bookmarkStart w:id="1532" w:name="_Toc324772006"/>
      <w:bookmarkStart w:id="1533" w:name="_Toc391287356"/>
      <w:bookmarkStart w:id="1534" w:name="_Toc171063154"/>
      <w:r>
        <w:t>1　定义</w:t>
      </w:r>
      <w:bookmarkEnd w:id="1531"/>
      <w:bookmarkEnd w:id="1532"/>
      <w:bookmarkEnd w:id="1533"/>
      <w:bookmarkEnd w:id="1534"/>
    </w:p>
    <w:p>
      <w:pPr>
        <w:tabs>
          <w:tab w:val="left" w:pos="4605"/>
        </w:tabs>
        <w:suppressAutoHyphens/>
        <w:spacing w:before="120" w:after="120"/>
        <w:ind w:firstLine="420" w:firstLineChars="200"/>
        <w:textAlignment w:val="auto"/>
        <w:rPr>
          <w:szCs w:val="21"/>
        </w:rPr>
      </w:pPr>
      <w:r>
        <w:rPr>
          <w:rFonts w:hint="eastAsia"/>
          <w:szCs w:val="21"/>
        </w:rPr>
        <w:t>1.1　下列词汇和术语具有如下的含意：</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）“中标合同额”是指业主所发中标通知书中载明的，用以实施并完成工程以及修复缺陷的金额。</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）“单项工程价单”是指作为总价合同投标文件组成部分的，包括工程施工、安装、调试及试运行的报价单，其包含每项施工活动的单项总价，用于进行变更、成果评估及补偿事件估价的依据。</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）“调解员”是指由业主和承包商根据本</w:t>
      </w:r>
      <w:r>
        <w:rPr>
          <w:szCs w:val="21"/>
        </w:rPr>
        <w:t>一般合同条款</w:t>
      </w:r>
      <w:r>
        <w:rPr>
          <w:rFonts w:hint="eastAsia"/>
          <w:szCs w:val="21"/>
        </w:rPr>
        <w:t>第24条的规定共同指定的，负责解决争端的人员。</w:t>
      </w:r>
    </w:p>
    <w:p>
      <w:pPr>
        <w:spacing w:before="120" w:after="120" w:line="240" w:lineRule="atLeast"/>
        <w:ind w:left="936" w:hanging="576"/>
        <w:jc w:val="left"/>
        <w:textAlignment w:val="auto"/>
        <w:rPr>
          <w:szCs w:val="21"/>
        </w:rPr>
      </w:pPr>
      <w:r>
        <w:rPr>
          <w:rFonts w:hint="eastAsia"/>
          <w:szCs w:val="21"/>
        </w:rPr>
        <w:t>（4）“工程量清单”是指作为投标文件组成部分的，已经标价并填写完整的工程量清单。</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）“补偿事件”是指本</w:t>
      </w:r>
      <w:r>
        <w:rPr>
          <w:szCs w:val="21"/>
        </w:rPr>
        <w:t>一般合同条款</w:t>
      </w:r>
      <w:r>
        <w:rPr>
          <w:rFonts w:hint="eastAsia"/>
          <w:szCs w:val="21"/>
        </w:rPr>
        <w:t>第</w:t>
      </w:r>
      <w:r>
        <w:rPr>
          <w:szCs w:val="21"/>
        </w:rPr>
        <w:t>42</w:t>
      </w:r>
      <w:r>
        <w:rPr>
          <w:rFonts w:hint="eastAsia"/>
          <w:szCs w:val="21"/>
        </w:rPr>
        <w:t>条中所定义的事件。</w:t>
      </w:r>
    </w:p>
    <w:p>
      <w:pPr>
        <w:spacing w:before="120" w:after="120" w:line="240" w:lineRule="atLeast"/>
        <w:ind w:left="936" w:hanging="576"/>
        <w:jc w:val="left"/>
        <w:textAlignment w:val="auto"/>
        <w:rPr>
          <w:szCs w:val="21"/>
        </w:rPr>
      </w:pPr>
      <w:r>
        <w:rPr>
          <w:rFonts w:hint="eastAsia"/>
          <w:szCs w:val="21"/>
        </w:rPr>
        <w:t>（</w:t>
      </w:r>
      <w:r>
        <w:rPr>
          <w:szCs w:val="21"/>
        </w:rPr>
        <w:t>6</w:t>
      </w:r>
      <w:r>
        <w:rPr>
          <w:rFonts w:hint="eastAsia"/>
          <w:szCs w:val="21"/>
        </w:rPr>
        <w:t>）“完工日”是指项目监理根据本</w:t>
      </w:r>
      <w:r>
        <w:rPr>
          <w:szCs w:val="21"/>
        </w:rPr>
        <w:t>一般合同条款</w:t>
      </w:r>
      <w:r>
        <w:rPr>
          <w:rFonts w:hint="eastAsia"/>
          <w:szCs w:val="21"/>
        </w:rPr>
        <w:t>第</w:t>
      </w:r>
      <w:r>
        <w:rPr>
          <w:szCs w:val="21"/>
        </w:rPr>
        <w:t>54.1</w:t>
      </w:r>
      <w:r>
        <w:rPr>
          <w:rFonts w:hint="eastAsia"/>
          <w:szCs w:val="21"/>
        </w:rPr>
        <w:t>款证明的本工程完工日。</w:t>
      </w:r>
    </w:p>
    <w:p>
      <w:pPr>
        <w:spacing w:before="120" w:after="120" w:line="240" w:lineRule="atLeast"/>
        <w:ind w:left="936" w:hanging="576"/>
        <w:jc w:val="left"/>
        <w:textAlignment w:val="auto"/>
        <w:rPr>
          <w:szCs w:val="21"/>
        </w:rPr>
      </w:pPr>
      <w:r>
        <w:rPr>
          <w:rFonts w:hint="eastAsia"/>
          <w:szCs w:val="21"/>
        </w:rPr>
        <w:t>（</w:t>
      </w:r>
      <w:r>
        <w:rPr>
          <w:szCs w:val="21"/>
        </w:rPr>
        <w:t>7</w:t>
      </w:r>
      <w:r>
        <w:rPr>
          <w:rFonts w:hint="eastAsia"/>
          <w:szCs w:val="21"/>
        </w:rPr>
        <w:t>）“合同”是指业主与承包商之间为本工程的实施、完成和维护所订立的合同，由本</w:t>
      </w:r>
      <w:r>
        <w:rPr>
          <w:szCs w:val="21"/>
        </w:rPr>
        <w:t>一般合同条款</w:t>
      </w:r>
      <w:r>
        <w:rPr>
          <w:rFonts w:hint="eastAsia"/>
          <w:szCs w:val="21"/>
        </w:rPr>
        <w:t>第</w:t>
      </w:r>
      <w:r>
        <w:rPr>
          <w:szCs w:val="21"/>
        </w:rPr>
        <w:t>2.3</w:t>
      </w:r>
      <w:r>
        <w:rPr>
          <w:rFonts w:hint="eastAsia"/>
          <w:szCs w:val="21"/>
        </w:rPr>
        <w:t>款所列的文件组成。</w:t>
      </w:r>
    </w:p>
    <w:p>
      <w:pPr>
        <w:spacing w:before="120" w:after="120" w:line="240" w:lineRule="atLeast"/>
        <w:ind w:left="936" w:hanging="576"/>
        <w:jc w:val="left"/>
        <w:textAlignment w:val="auto"/>
        <w:rPr>
          <w:szCs w:val="21"/>
        </w:rPr>
      </w:pPr>
      <w:r>
        <w:rPr>
          <w:rFonts w:hint="eastAsia"/>
          <w:szCs w:val="21"/>
        </w:rPr>
        <w:t>（8）“承包商”是指其投标文件已为业主所接受并负责实施工程的一方。</w:t>
      </w:r>
    </w:p>
    <w:p>
      <w:pPr>
        <w:spacing w:before="120" w:after="120" w:line="240" w:lineRule="atLeast"/>
        <w:ind w:left="936" w:hanging="576"/>
        <w:jc w:val="left"/>
        <w:textAlignment w:val="auto"/>
        <w:rPr>
          <w:szCs w:val="21"/>
        </w:rPr>
      </w:pPr>
      <w:r>
        <w:rPr>
          <w:rFonts w:hint="eastAsia"/>
          <w:szCs w:val="21"/>
        </w:rPr>
        <w:t>（</w:t>
      </w:r>
      <w:r>
        <w:rPr>
          <w:szCs w:val="21"/>
        </w:rPr>
        <w:t>9</w:t>
      </w:r>
      <w:r>
        <w:rPr>
          <w:rFonts w:hint="eastAsia"/>
          <w:szCs w:val="21"/>
        </w:rPr>
        <w:t>）“承包商的投标文件”是指由承包商编制并提交给业主的投标文件。</w:t>
      </w:r>
    </w:p>
    <w:p>
      <w:pPr>
        <w:spacing w:before="120" w:after="120" w:line="240" w:lineRule="atLeast"/>
        <w:ind w:left="936" w:hanging="576"/>
        <w:jc w:val="left"/>
        <w:textAlignment w:val="auto"/>
        <w:rPr>
          <w:szCs w:val="21"/>
        </w:rPr>
      </w:pPr>
      <w:r>
        <w:rPr>
          <w:rFonts w:hint="eastAsia"/>
          <w:szCs w:val="21"/>
        </w:rPr>
        <w:t>（</w:t>
      </w:r>
      <w:r>
        <w:rPr>
          <w:szCs w:val="21"/>
        </w:rPr>
        <w:t>10</w:t>
      </w:r>
      <w:r>
        <w:rPr>
          <w:rFonts w:hint="eastAsia"/>
          <w:szCs w:val="21"/>
        </w:rPr>
        <w:t>）“合同价”是指中标通知书载明的，并于其后根据合同进行调整的价款。</w:t>
      </w:r>
    </w:p>
    <w:p>
      <w:pPr>
        <w:spacing w:before="120" w:after="120" w:line="240" w:lineRule="atLeast"/>
        <w:ind w:left="936" w:hanging="576"/>
        <w:jc w:val="left"/>
        <w:textAlignment w:val="auto"/>
        <w:rPr>
          <w:szCs w:val="21"/>
        </w:rPr>
      </w:pPr>
      <w:r>
        <w:rPr>
          <w:rFonts w:hint="eastAsia"/>
          <w:szCs w:val="21"/>
        </w:rPr>
        <w:t>（</w:t>
      </w:r>
      <w:r>
        <w:rPr>
          <w:szCs w:val="21"/>
        </w:rPr>
        <w:t>11</w:t>
      </w:r>
      <w:r>
        <w:rPr>
          <w:rFonts w:hint="eastAsia"/>
          <w:szCs w:val="21"/>
        </w:rPr>
        <w:t>）“日</w:t>
      </w:r>
      <w:r>
        <w:rPr>
          <w:szCs w:val="21"/>
        </w:rPr>
        <w:t>(</w:t>
      </w:r>
      <w:r>
        <w:rPr>
          <w:rFonts w:hint="eastAsia"/>
          <w:szCs w:val="21"/>
        </w:rPr>
        <w:t>或天</w:t>
      </w:r>
      <w:r>
        <w:rPr>
          <w:szCs w:val="21"/>
        </w:rPr>
        <w:t>)</w:t>
      </w:r>
      <w:r>
        <w:rPr>
          <w:rFonts w:hint="eastAsia"/>
          <w:szCs w:val="21"/>
        </w:rPr>
        <w:t>、月”是指日历日。月：是指日历月。</w:t>
      </w:r>
    </w:p>
    <w:p>
      <w:pPr>
        <w:spacing w:before="120" w:after="120" w:line="240" w:lineRule="atLeast"/>
        <w:ind w:left="936" w:hanging="576"/>
        <w:jc w:val="left"/>
        <w:textAlignment w:val="auto"/>
        <w:rPr>
          <w:szCs w:val="21"/>
        </w:rPr>
      </w:pPr>
      <w:r>
        <w:rPr>
          <w:rFonts w:hint="eastAsia"/>
          <w:szCs w:val="21"/>
        </w:rPr>
        <w:t>（</w:t>
      </w:r>
      <w:r>
        <w:rPr>
          <w:szCs w:val="21"/>
        </w:rPr>
        <w:t>12</w:t>
      </w:r>
      <w:r>
        <w:rPr>
          <w:rFonts w:hint="eastAsia"/>
          <w:szCs w:val="21"/>
        </w:rPr>
        <w:t>）“计日工”是指在对相关的材料和设施进行支付之外，就承包商在变更的工程中所投入的雇员和施工机械按时间计价，并进行支付的工作。</w:t>
      </w:r>
    </w:p>
    <w:p>
      <w:pPr>
        <w:spacing w:before="120" w:after="120" w:line="240" w:lineRule="atLeast"/>
        <w:ind w:left="936" w:hanging="576"/>
        <w:jc w:val="left"/>
        <w:textAlignment w:val="auto"/>
        <w:rPr>
          <w:szCs w:val="21"/>
        </w:rPr>
      </w:pPr>
      <w:r>
        <w:rPr>
          <w:rFonts w:hint="eastAsia"/>
          <w:szCs w:val="21"/>
        </w:rPr>
        <w:t>（</w:t>
      </w:r>
      <w:r>
        <w:rPr>
          <w:szCs w:val="21"/>
        </w:rPr>
        <w:t>13</w:t>
      </w:r>
      <w:r>
        <w:rPr>
          <w:rFonts w:hint="eastAsia"/>
          <w:szCs w:val="21"/>
        </w:rPr>
        <w:t>）“缺陷”是指任一未按合同要求完成的工程部分。</w:t>
      </w:r>
    </w:p>
    <w:p>
      <w:pPr>
        <w:spacing w:before="120" w:after="120" w:line="240" w:lineRule="atLeast"/>
        <w:ind w:left="936" w:hanging="576"/>
        <w:jc w:val="left"/>
        <w:textAlignment w:val="auto"/>
        <w:rPr>
          <w:szCs w:val="21"/>
        </w:rPr>
      </w:pPr>
      <w:r>
        <w:rPr>
          <w:rFonts w:hint="eastAsia"/>
          <w:szCs w:val="21"/>
        </w:rPr>
        <w:t>（</w:t>
      </w:r>
      <w:r>
        <w:rPr>
          <w:szCs w:val="21"/>
        </w:rPr>
        <w:t>14</w:t>
      </w:r>
      <w:r>
        <w:rPr>
          <w:rFonts w:hint="eastAsia"/>
          <w:szCs w:val="21"/>
        </w:rPr>
        <w:t>）“缺陷责任证书”是指承包商修正缺陷后项目监理所签发的证书。</w:t>
      </w:r>
    </w:p>
    <w:p>
      <w:pPr>
        <w:spacing w:before="120" w:after="120" w:line="240" w:lineRule="atLeast"/>
        <w:ind w:left="936" w:hanging="576"/>
        <w:jc w:val="left"/>
        <w:textAlignment w:val="auto"/>
        <w:rPr>
          <w:szCs w:val="21"/>
        </w:rPr>
      </w:pPr>
      <w:r>
        <w:rPr>
          <w:rFonts w:hint="eastAsia"/>
          <w:szCs w:val="21"/>
        </w:rPr>
        <w:t>（</w:t>
      </w:r>
      <w:r>
        <w:rPr>
          <w:szCs w:val="21"/>
        </w:rPr>
        <w:t>15</w:t>
      </w:r>
      <w:r>
        <w:rPr>
          <w:rFonts w:hint="eastAsia"/>
          <w:szCs w:val="21"/>
        </w:rPr>
        <w:t>）“缺陷责任期”是指在</w:t>
      </w:r>
      <w:r>
        <w:rPr>
          <w:b/>
          <w:szCs w:val="21"/>
        </w:rPr>
        <w:t>特殊合同条款</w:t>
      </w:r>
      <w:r>
        <w:rPr>
          <w:szCs w:val="21"/>
        </w:rPr>
        <w:t>第34.1</w:t>
      </w:r>
      <w:r>
        <w:rPr>
          <w:rFonts w:hint="eastAsia"/>
          <w:szCs w:val="21"/>
        </w:rPr>
        <w:t>款中指明的，自工程完工日开始计算的一个期间。</w:t>
      </w:r>
    </w:p>
    <w:p>
      <w:pPr>
        <w:spacing w:before="120" w:after="120" w:line="240" w:lineRule="atLeast"/>
        <w:ind w:left="936" w:hanging="576"/>
        <w:jc w:val="left"/>
        <w:textAlignment w:val="auto"/>
        <w:rPr>
          <w:szCs w:val="21"/>
        </w:rPr>
      </w:pPr>
      <w:r>
        <w:rPr>
          <w:rFonts w:hint="eastAsia"/>
          <w:szCs w:val="21"/>
        </w:rPr>
        <w:t>（</w:t>
      </w:r>
      <w:r>
        <w:rPr>
          <w:szCs w:val="21"/>
        </w:rPr>
        <w:t>16</w:t>
      </w:r>
      <w:r>
        <w:rPr>
          <w:rFonts w:hint="eastAsia"/>
          <w:szCs w:val="21"/>
        </w:rPr>
        <w:t>）“图纸”是指作为合同组成部分的图纸，以及由业主（或代表业主）发出的，根据合同规定增加或修改的图纸，包括项目监理为实施本合同而提供或批准的计算书及其它技术资料。</w:t>
      </w:r>
    </w:p>
    <w:p>
      <w:pPr>
        <w:spacing w:before="120" w:after="120" w:line="240" w:lineRule="atLeast"/>
        <w:ind w:left="936" w:hanging="576"/>
        <w:jc w:val="left"/>
        <w:textAlignment w:val="auto"/>
        <w:rPr>
          <w:szCs w:val="21"/>
        </w:rPr>
      </w:pPr>
      <w:r>
        <w:rPr>
          <w:rFonts w:hint="eastAsia"/>
          <w:szCs w:val="21"/>
        </w:rPr>
        <w:t>（</w:t>
      </w:r>
      <w:r>
        <w:rPr>
          <w:szCs w:val="21"/>
        </w:rPr>
        <w:t>17</w:t>
      </w:r>
      <w:r>
        <w:rPr>
          <w:rFonts w:hint="eastAsia"/>
          <w:szCs w:val="21"/>
        </w:rPr>
        <w:t>）“业主”是指本特殊合同条款定义的，雇用承包商实施本工程的一方。</w:t>
      </w:r>
    </w:p>
    <w:p>
      <w:pPr>
        <w:spacing w:before="120" w:after="120" w:line="240" w:lineRule="atLeast"/>
        <w:ind w:left="936" w:hanging="576"/>
        <w:jc w:val="left"/>
        <w:textAlignment w:val="auto"/>
        <w:rPr>
          <w:szCs w:val="21"/>
        </w:rPr>
      </w:pPr>
      <w:r>
        <w:rPr>
          <w:rFonts w:hint="eastAsia"/>
          <w:szCs w:val="21"/>
        </w:rPr>
        <w:t>（</w:t>
      </w:r>
      <w:r>
        <w:rPr>
          <w:szCs w:val="21"/>
        </w:rPr>
        <w:t>18</w:t>
      </w:r>
      <w:r>
        <w:rPr>
          <w:rFonts w:hint="eastAsia"/>
          <w:szCs w:val="21"/>
        </w:rPr>
        <w:t>）“施工机械”是指承包商带入现场用于施工的机械、运输设备和施工器具。</w:t>
      </w:r>
    </w:p>
    <w:p>
      <w:pPr>
        <w:spacing w:before="120" w:after="120" w:line="240" w:lineRule="atLeast"/>
        <w:ind w:left="936" w:hanging="576"/>
        <w:jc w:val="left"/>
        <w:textAlignment w:val="auto"/>
        <w:rPr>
          <w:szCs w:val="21"/>
        </w:rPr>
      </w:pPr>
      <w:r>
        <w:rPr>
          <w:rFonts w:hint="eastAsia"/>
          <w:szCs w:val="21"/>
        </w:rPr>
        <w:t>（1</w:t>
      </w:r>
      <w:r>
        <w:rPr>
          <w:szCs w:val="21"/>
        </w:rPr>
        <w:t>9</w:t>
      </w:r>
      <w:r>
        <w:rPr>
          <w:rFonts w:hint="eastAsia"/>
          <w:szCs w:val="21"/>
        </w:rPr>
        <w:t>）“不可抗力”是指超出合同双方的控制能力的，在订立合同时不能合理预见，合同双方对其发生不能合理避免或克服的，不能归咎于另一方的事件或情形。</w:t>
      </w:r>
    </w:p>
    <w:p>
      <w:pPr>
        <w:spacing w:before="120" w:after="120" w:line="240" w:lineRule="atLeast"/>
        <w:ind w:left="936" w:hanging="576"/>
        <w:jc w:val="left"/>
        <w:textAlignment w:val="auto"/>
        <w:rPr>
          <w:szCs w:val="21"/>
        </w:rPr>
      </w:pPr>
      <w:r>
        <w:rPr>
          <w:rFonts w:hint="eastAsia"/>
          <w:szCs w:val="21"/>
        </w:rPr>
        <w:t>（</w:t>
      </w:r>
      <w:r>
        <w:rPr>
          <w:szCs w:val="21"/>
        </w:rPr>
        <w:t>20</w:t>
      </w:r>
      <w:r>
        <w:rPr>
          <w:rFonts w:hint="eastAsia"/>
          <w:szCs w:val="21"/>
        </w:rPr>
        <w:t>）“采用书面形式”或“书面</w:t>
      </w:r>
      <w:r>
        <w:rPr>
          <w:szCs w:val="21"/>
        </w:rPr>
        <w:t>”</w:t>
      </w:r>
      <w:r>
        <w:rPr>
          <w:rFonts w:hint="eastAsia"/>
          <w:szCs w:val="21"/>
        </w:rPr>
        <w:t>是指通过手写、打字、印刷或电子方式形成的永久记录。</w:t>
      </w:r>
    </w:p>
    <w:p>
      <w:pPr>
        <w:spacing w:before="120" w:after="120" w:line="240" w:lineRule="atLeast"/>
        <w:ind w:left="936" w:hanging="576"/>
        <w:jc w:val="left"/>
        <w:textAlignment w:val="auto"/>
        <w:rPr>
          <w:szCs w:val="21"/>
        </w:rPr>
      </w:pPr>
      <w:r>
        <w:rPr>
          <w:rFonts w:hint="eastAsia"/>
          <w:szCs w:val="21"/>
        </w:rPr>
        <w:t>（</w:t>
      </w:r>
      <w:r>
        <w:rPr>
          <w:szCs w:val="21"/>
        </w:rPr>
        <w:t>21</w:t>
      </w:r>
      <w:r>
        <w:rPr>
          <w:rFonts w:hint="eastAsia"/>
          <w:szCs w:val="21"/>
        </w:rPr>
        <w:t>）“初始合同价”指业主发出的中标通知书载明的合同价。</w:t>
      </w:r>
    </w:p>
    <w:p>
      <w:pPr>
        <w:spacing w:before="120" w:after="120" w:line="240" w:lineRule="atLeast"/>
        <w:ind w:left="936" w:hanging="576"/>
        <w:jc w:val="left"/>
        <w:textAlignment w:val="auto"/>
        <w:rPr>
          <w:szCs w:val="21"/>
        </w:rPr>
      </w:pPr>
      <w:r>
        <w:rPr>
          <w:rFonts w:hint="eastAsia"/>
          <w:szCs w:val="21"/>
        </w:rPr>
        <w:t>（</w:t>
      </w:r>
      <w:r>
        <w:rPr>
          <w:szCs w:val="21"/>
        </w:rPr>
        <w:t>22</w:t>
      </w:r>
      <w:r>
        <w:rPr>
          <w:rFonts w:hint="eastAsia"/>
          <w:szCs w:val="21"/>
        </w:rPr>
        <w:t>）“预计完工日”是指要求承包商完成工程的日期。预计完工日在</w:t>
      </w:r>
      <w:r>
        <w:rPr>
          <w:b/>
          <w:szCs w:val="21"/>
        </w:rPr>
        <w:t>特殊合同条款</w:t>
      </w:r>
      <w:r>
        <w:rPr>
          <w:rFonts w:hint="eastAsia"/>
          <w:szCs w:val="21"/>
        </w:rPr>
        <w:t>中规定，且只能在获得业主事前批准的情况下，由项目监理通过发出延期证书或加速施工令来更改。</w:t>
      </w:r>
    </w:p>
    <w:p>
      <w:pPr>
        <w:spacing w:before="120" w:after="120" w:line="240" w:lineRule="atLeast"/>
        <w:ind w:left="936" w:hanging="576"/>
        <w:jc w:val="left"/>
        <w:textAlignment w:val="auto"/>
        <w:rPr>
          <w:rFonts w:cs="Arial"/>
          <w:b/>
          <w:bCs/>
          <w:iCs/>
          <w:spacing w:val="-2"/>
          <w:kern w:val="28"/>
          <w:szCs w:val="21"/>
        </w:rPr>
      </w:pPr>
      <w:r>
        <w:rPr>
          <w:rFonts w:hint="eastAsia"/>
          <w:szCs w:val="21"/>
        </w:rPr>
        <w:t>（</w:t>
      </w:r>
      <w:r>
        <w:rPr>
          <w:szCs w:val="21"/>
        </w:rPr>
        <w:t>23</w:t>
      </w:r>
      <w:r>
        <w:rPr>
          <w:rFonts w:hint="eastAsia"/>
          <w:szCs w:val="21"/>
        </w:rPr>
        <w:t>）“中标通知”是指由业主签发的，对投标函表示正式接受的通知书，包括所附的由双方同意并签署的备忘录。如果中标通知书不存在，则“中标通知”意指合同协议书，发出或收到中标通知的日期是指合同协议书签署日期。</w:t>
      </w:r>
    </w:p>
    <w:p>
      <w:pPr>
        <w:spacing w:before="120" w:after="120" w:line="240" w:lineRule="atLeast"/>
        <w:ind w:left="936" w:hanging="576"/>
        <w:jc w:val="left"/>
        <w:textAlignment w:val="auto"/>
        <w:rPr>
          <w:szCs w:val="21"/>
        </w:rPr>
      </w:pPr>
      <w:r>
        <w:rPr>
          <w:rFonts w:hint="eastAsia"/>
          <w:szCs w:val="21"/>
        </w:rPr>
        <w:t>（</w:t>
      </w:r>
      <w:r>
        <w:rPr>
          <w:szCs w:val="21"/>
        </w:rPr>
        <w:t>24</w:t>
      </w:r>
      <w:r>
        <w:rPr>
          <w:rFonts w:hint="eastAsia"/>
          <w:szCs w:val="21"/>
        </w:rPr>
        <w:t>）“材料”是指承包商用于本工程的所有材料，包括消耗性材料。</w:t>
      </w:r>
    </w:p>
    <w:p>
      <w:pPr>
        <w:spacing w:before="120" w:after="120" w:line="240" w:lineRule="atLeast"/>
        <w:ind w:left="936" w:hanging="576"/>
        <w:jc w:val="left"/>
        <w:textAlignment w:val="auto"/>
        <w:rPr>
          <w:szCs w:val="21"/>
        </w:rPr>
      </w:pPr>
      <w:r>
        <w:rPr>
          <w:rFonts w:hint="eastAsia"/>
          <w:szCs w:val="21"/>
        </w:rPr>
        <w:t>（</w:t>
      </w:r>
      <w:r>
        <w:rPr>
          <w:szCs w:val="21"/>
        </w:rPr>
        <w:t>25</w:t>
      </w:r>
      <w:r>
        <w:rPr>
          <w:rFonts w:hint="eastAsia"/>
          <w:szCs w:val="21"/>
        </w:rPr>
        <w:t>）“设施”是指一个构成本工程的具备机械、电气、化工或生物功能的某一单项工程或构筑物。</w:t>
      </w:r>
    </w:p>
    <w:p>
      <w:pPr>
        <w:spacing w:before="120" w:after="120" w:line="240" w:lineRule="atLeast"/>
        <w:ind w:left="936" w:hanging="576"/>
        <w:jc w:val="left"/>
        <w:textAlignment w:val="auto"/>
        <w:rPr>
          <w:rFonts w:cs="Arial"/>
          <w:b/>
          <w:szCs w:val="21"/>
        </w:rPr>
      </w:pPr>
      <w:r>
        <w:rPr>
          <w:rFonts w:hint="eastAsia"/>
          <w:szCs w:val="21"/>
        </w:rPr>
        <w:t>（</w:t>
      </w:r>
      <w:r>
        <w:rPr>
          <w:szCs w:val="21"/>
        </w:rPr>
        <w:t>26</w:t>
      </w:r>
      <w:r>
        <w:rPr>
          <w:rFonts w:hint="eastAsia"/>
          <w:szCs w:val="21"/>
        </w:rPr>
        <w:t>）“项目监理”是指</w:t>
      </w:r>
      <w:r>
        <w:rPr>
          <w:b/>
          <w:szCs w:val="21"/>
        </w:rPr>
        <w:t>特殊合同条款</w:t>
      </w:r>
      <w:r>
        <w:rPr>
          <w:rFonts w:hint="eastAsia"/>
          <w:szCs w:val="21"/>
        </w:rPr>
        <w:t>中指定的、独立于业主的人员或机构（或由业主指定并书面通知承包商的、代替项目监理的人员或机构）。项目监理由业主任命，负责监督工程实施和管理合同 。</w:t>
      </w:r>
    </w:p>
    <w:p>
      <w:pPr>
        <w:spacing w:before="120" w:after="120" w:line="240" w:lineRule="atLeast"/>
        <w:ind w:left="936" w:hanging="576"/>
        <w:jc w:val="left"/>
        <w:textAlignment w:val="auto"/>
        <w:rPr>
          <w:szCs w:val="21"/>
        </w:rPr>
      </w:pPr>
      <w:r>
        <w:rPr>
          <w:rFonts w:hint="eastAsia"/>
          <w:szCs w:val="21"/>
        </w:rPr>
        <w:t>（</w:t>
      </w:r>
      <w:r>
        <w:rPr>
          <w:szCs w:val="21"/>
        </w:rPr>
        <w:t>27</w:t>
      </w:r>
      <w:r>
        <w:rPr>
          <w:rFonts w:hint="eastAsia"/>
          <w:szCs w:val="21"/>
        </w:rPr>
        <w:t>）“保留金”是指根据一般合同条款第</w:t>
      </w:r>
      <w:r>
        <w:rPr>
          <w:szCs w:val="21"/>
        </w:rPr>
        <w:t>46.1</w:t>
      </w:r>
      <w:r>
        <w:rPr>
          <w:rFonts w:hint="eastAsia"/>
          <w:szCs w:val="21"/>
        </w:rPr>
        <w:t>款规定由业主逐次暂扣，并根据一般合同条款第</w:t>
      </w:r>
      <w:r>
        <w:rPr>
          <w:szCs w:val="21"/>
        </w:rPr>
        <w:t>46.2</w:t>
      </w:r>
      <w:r>
        <w:rPr>
          <w:rFonts w:hint="eastAsia"/>
          <w:szCs w:val="21"/>
        </w:rPr>
        <w:t>款支付的合同款项。</w:t>
      </w:r>
    </w:p>
    <w:p>
      <w:pPr>
        <w:spacing w:before="120" w:after="120" w:line="240" w:lineRule="atLeast"/>
        <w:ind w:left="936" w:hanging="576"/>
        <w:jc w:val="left"/>
        <w:textAlignment w:val="auto"/>
        <w:rPr>
          <w:szCs w:val="21"/>
        </w:rPr>
      </w:pPr>
      <w:r>
        <w:rPr>
          <w:rFonts w:hint="eastAsia"/>
          <w:szCs w:val="21"/>
        </w:rPr>
        <w:t>（</w:t>
      </w:r>
      <w:r>
        <w:rPr>
          <w:szCs w:val="21"/>
        </w:rPr>
        <w:t>28</w:t>
      </w:r>
      <w:r>
        <w:rPr>
          <w:rFonts w:hint="eastAsia"/>
          <w:szCs w:val="21"/>
        </w:rPr>
        <w:t>）“现场”是指</w:t>
      </w:r>
      <w:r>
        <w:rPr>
          <w:b/>
          <w:szCs w:val="21"/>
        </w:rPr>
        <w:t>特殊合同条款</w:t>
      </w:r>
      <w:r>
        <w:rPr>
          <w:rFonts w:hint="eastAsia"/>
          <w:szCs w:val="21"/>
        </w:rPr>
        <w:t>中所指定为现场的区域。</w:t>
      </w:r>
    </w:p>
    <w:p>
      <w:pPr>
        <w:spacing w:before="120" w:after="120" w:line="240" w:lineRule="atLeast"/>
        <w:ind w:left="936" w:hanging="576"/>
        <w:jc w:val="left"/>
        <w:textAlignment w:val="auto"/>
        <w:rPr>
          <w:szCs w:val="21"/>
        </w:rPr>
      </w:pPr>
      <w:r>
        <w:rPr>
          <w:rFonts w:hint="eastAsia"/>
          <w:szCs w:val="21"/>
        </w:rPr>
        <w:t>（</w:t>
      </w:r>
      <w:r>
        <w:rPr>
          <w:szCs w:val="21"/>
        </w:rPr>
        <w:t>39</w:t>
      </w:r>
      <w:r>
        <w:rPr>
          <w:rFonts w:hint="eastAsia"/>
          <w:szCs w:val="21"/>
        </w:rPr>
        <w:t>）“现场调查报告”是指招标文件中关于施工现场地上和地下状况的描述和解释性文件。</w:t>
      </w:r>
    </w:p>
    <w:p>
      <w:pPr>
        <w:spacing w:before="120" w:after="120" w:line="240" w:lineRule="atLeast"/>
        <w:ind w:left="936" w:hanging="576"/>
        <w:jc w:val="left"/>
        <w:textAlignment w:val="auto"/>
        <w:rPr>
          <w:szCs w:val="21"/>
        </w:rPr>
      </w:pPr>
      <w:r>
        <w:rPr>
          <w:rFonts w:hint="eastAsia"/>
          <w:szCs w:val="21"/>
        </w:rPr>
        <w:t>（</w:t>
      </w:r>
      <w:r>
        <w:rPr>
          <w:szCs w:val="21"/>
        </w:rPr>
        <w:t>30</w:t>
      </w:r>
      <w:r>
        <w:rPr>
          <w:rFonts w:hint="eastAsia"/>
          <w:szCs w:val="21"/>
        </w:rPr>
        <w:t>）“技术规范”是指合同中包含的本工程的技术规格或规程和由项目监理作出或批准的任何修改或补充。</w:t>
      </w:r>
    </w:p>
    <w:p>
      <w:pPr>
        <w:spacing w:before="120" w:after="120" w:line="240" w:lineRule="atLeast"/>
        <w:ind w:left="936" w:hanging="576"/>
        <w:jc w:val="left"/>
        <w:textAlignment w:val="auto"/>
        <w:rPr>
          <w:szCs w:val="21"/>
        </w:rPr>
      </w:pPr>
      <w:r>
        <w:rPr>
          <w:rFonts w:hint="eastAsia"/>
          <w:szCs w:val="21"/>
        </w:rPr>
        <w:t>（</w:t>
      </w:r>
      <w:r>
        <w:rPr>
          <w:szCs w:val="21"/>
        </w:rPr>
        <w:t>31</w:t>
      </w:r>
      <w:r>
        <w:rPr>
          <w:rFonts w:hint="eastAsia"/>
          <w:szCs w:val="21"/>
        </w:rPr>
        <w:t>）“开工日期”是指在</w:t>
      </w:r>
      <w:r>
        <w:rPr>
          <w:b/>
          <w:szCs w:val="21"/>
        </w:rPr>
        <w:t>特殊合同条款</w:t>
      </w:r>
      <w:r>
        <w:rPr>
          <w:rFonts w:hint="eastAsia"/>
          <w:szCs w:val="21"/>
        </w:rPr>
        <w:t>中规定的，承包商须开始实施本工程的最晚日期。该日期不一定就是现场占用日期。</w:t>
      </w:r>
    </w:p>
    <w:p>
      <w:pPr>
        <w:spacing w:before="120" w:after="120" w:line="240" w:lineRule="atLeast"/>
        <w:ind w:left="936" w:hanging="576"/>
        <w:jc w:val="left"/>
        <w:textAlignment w:val="auto"/>
        <w:rPr>
          <w:szCs w:val="21"/>
        </w:rPr>
      </w:pPr>
      <w:r>
        <w:rPr>
          <w:rFonts w:hint="eastAsia"/>
          <w:szCs w:val="21"/>
        </w:rPr>
        <w:t>（</w:t>
      </w:r>
      <w:r>
        <w:rPr>
          <w:szCs w:val="21"/>
        </w:rPr>
        <w:t>32</w:t>
      </w:r>
      <w:r>
        <w:rPr>
          <w:rFonts w:hint="eastAsia"/>
          <w:szCs w:val="21"/>
        </w:rPr>
        <w:t>）“分包人”是指与承包商订立了分包合同以实施本合同项下工程中部分工程（包括现场内工程）的人或实体。</w:t>
      </w:r>
    </w:p>
    <w:p>
      <w:pPr>
        <w:spacing w:before="120" w:after="120" w:line="240" w:lineRule="atLeast"/>
        <w:ind w:left="936" w:hanging="576"/>
        <w:jc w:val="left"/>
        <w:textAlignment w:val="auto"/>
        <w:rPr>
          <w:szCs w:val="21"/>
        </w:rPr>
      </w:pPr>
      <w:r>
        <w:rPr>
          <w:rFonts w:hint="eastAsia"/>
          <w:szCs w:val="21"/>
        </w:rPr>
        <w:t>（</w:t>
      </w:r>
      <w:r>
        <w:rPr>
          <w:szCs w:val="21"/>
        </w:rPr>
        <w:t>33</w:t>
      </w:r>
      <w:r>
        <w:rPr>
          <w:rFonts w:hint="eastAsia"/>
          <w:szCs w:val="21"/>
        </w:rPr>
        <w:t>）“临时工程”是指为永久工程施工或安装所需，并由承包商设计、施工、安装并拆除的工程。</w:t>
      </w:r>
    </w:p>
    <w:p>
      <w:pPr>
        <w:spacing w:before="120" w:after="120" w:line="240" w:lineRule="atLeast"/>
        <w:ind w:left="936" w:hanging="576"/>
        <w:jc w:val="left"/>
        <w:textAlignment w:val="auto"/>
        <w:rPr>
          <w:szCs w:val="21"/>
        </w:rPr>
      </w:pPr>
      <w:r>
        <w:rPr>
          <w:rFonts w:hint="eastAsia"/>
          <w:szCs w:val="21"/>
        </w:rPr>
        <w:t>（</w:t>
      </w:r>
      <w:r>
        <w:rPr>
          <w:szCs w:val="21"/>
        </w:rPr>
        <w:t>34</w:t>
      </w:r>
      <w:r>
        <w:rPr>
          <w:rFonts w:hint="eastAsia"/>
          <w:szCs w:val="21"/>
        </w:rPr>
        <w:t>）“变更”是指由项目监理发出的修改工程的指令。</w:t>
      </w:r>
    </w:p>
    <w:p>
      <w:pPr>
        <w:spacing w:before="120" w:after="120" w:line="240" w:lineRule="atLeast"/>
        <w:ind w:left="936" w:hanging="576"/>
        <w:jc w:val="left"/>
        <w:textAlignment w:val="auto"/>
        <w:rPr>
          <w:szCs w:val="21"/>
        </w:rPr>
      </w:pPr>
      <w:r>
        <w:rPr>
          <w:rFonts w:hint="eastAsia"/>
          <w:szCs w:val="21"/>
        </w:rPr>
        <w:t>（</w:t>
      </w:r>
      <w:r>
        <w:rPr>
          <w:szCs w:val="21"/>
        </w:rPr>
        <w:t>35</w:t>
      </w:r>
      <w:r>
        <w:rPr>
          <w:rFonts w:hint="eastAsia"/>
          <w:szCs w:val="21"/>
        </w:rPr>
        <w:t>）“工程”是指</w:t>
      </w:r>
      <w:r>
        <w:rPr>
          <w:b/>
          <w:szCs w:val="21"/>
        </w:rPr>
        <w:t>特殊合同条款</w:t>
      </w:r>
      <w:r>
        <w:rPr>
          <w:rFonts w:hint="eastAsia"/>
          <w:szCs w:val="21"/>
        </w:rPr>
        <w:t>中规定的，要求承包商施工、安装并移交给业主的永久工程。</w:t>
      </w:r>
    </w:p>
    <w:p>
      <w:pPr>
        <w:pStyle w:val="5"/>
      </w:pPr>
      <w:bookmarkStart w:id="1535" w:name="_Toc391287357"/>
      <w:bookmarkStart w:id="1536" w:name="_Toc171063155"/>
      <w:bookmarkStart w:id="1537" w:name="_Toc104482489"/>
      <w:bookmarkStart w:id="1538" w:name="_Toc324772007"/>
      <w:r>
        <w:t>2</w:t>
      </w:r>
      <w:r>
        <w:rPr>
          <w:rFonts w:hint="eastAsia"/>
        </w:rPr>
        <w:t>　合同解释</w:t>
      </w:r>
      <w:bookmarkEnd w:id="1535"/>
      <w:bookmarkEnd w:id="1536"/>
      <w:bookmarkEnd w:id="1537"/>
      <w:bookmarkEnd w:id="1538"/>
    </w:p>
    <w:p>
      <w:pPr>
        <w:tabs>
          <w:tab w:val="left" w:pos="1080"/>
        </w:tabs>
        <w:suppressAutoHyphens/>
        <w:spacing w:before="120" w:after="120" w:line="240" w:lineRule="atLeast"/>
        <w:ind w:firstLine="420" w:firstLineChars="200"/>
        <w:textAlignment w:val="auto"/>
        <w:rPr>
          <w:szCs w:val="21"/>
        </w:rPr>
      </w:pPr>
      <w:r>
        <w:rPr>
          <w:szCs w:val="21"/>
        </w:rPr>
        <w:t>2.1</w:t>
      </w:r>
      <w:r>
        <w:rPr>
          <w:rFonts w:hint="eastAsia"/>
          <w:b/>
          <w:szCs w:val="21"/>
        </w:rPr>
        <w:t>　</w:t>
      </w:r>
      <w:r>
        <w:rPr>
          <w:rFonts w:hint="eastAsia"/>
          <w:szCs w:val="21"/>
        </w:rPr>
        <w:t>标题无解释意义。除另有专门定义外，合同中的文字意义均为中文的通常释义。项目监理须对关于本</w:t>
      </w:r>
      <w:r>
        <w:rPr>
          <w:szCs w:val="21"/>
        </w:rPr>
        <w:t>一般合同条款</w:t>
      </w:r>
      <w:r>
        <w:rPr>
          <w:rFonts w:hint="eastAsia"/>
          <w:szCs w:val="21"/>
        </w:rPr>
        <w:t>的质疑予以澄清。</w:t>
      </w:r>
    </w:p>
    <w:p>
      <w:pPr>
        <w:tabs>
          <w:tab w:val="left" w:pos="1080"/>
        </w:tabs>
        <w:suppressAutoHyphens/>
        <w:spacing w:before="120" w:after="120" w:line="240" w:lineRule="atLeast"/>
        <w:ind w:firstLine="420" w:firstLineChars="200"/>
        <w:textAlignment w:val="auto"/>
        <w:rPr>
          <w:szCs w:val="21"/>
        </w:rPr>
      </w:pPr>
      <w:r>
        <w:rPr>
          <w:szCs w:val="21"/>
        </w:rPr>
        <w:t>2.2</w:t>
      </w:r>
      <w:r>
        <w:rPr>
          <w:rFonts w:hint="eastAsia"/>
          <w:szCs w:val="21"/>
        </w:rPr>
        <w:t>　如果在</w:t>
      </w:r>
      <w:r>
        <w:rPr>
          <w:b/>
          <w:szCs w:val="21"/>
        </w:rPr>
        <w:t>特殊合同条款</w:t>
      </w:r>
      <w:r>
        <w:rPr>
          <w:rFonts w:hint="eastAsia"/>
          <w:szCs w:val="21"/>
        </w:rPr>
        <w:t>中规定了分部工程的中间完工日期，则本一般合同条款中涉及的工程、完工日期和预计完工日期（除全部工程的完工日期和预计完工日期外）的相关规定也适用于本工程的任何分部工程。</w:t>
      </w:r>
    </w:p>
    <w:p>
      <w:pPr>
        <w:tabs>
          <w:tab w:val="left" w:pos="1080"/>
        </w:tabs>
        <w:suppressAutoHyphens/>
        <w:spacing w:before="120" w:after="120" w:line="240" w:lineRule="atLeast"/>
        <w:ind w:firstLine="420" w:firstLineChars="200"/>
        <w:textAlignment w:val="auto"/>
        <w:rPr>
          <w:szCs w:val="21"/>
        </w:rPr>
      </w:pPr>
      <w:r>
        <w:rPr>
          <w:szCs w:val="21"/>
        </w:rPr>
        <w:t>2.3</w:t>
      </w:r>
      <w:r>
        <w:rPr>
          <w:rFonts w:hint="eastAsia"/>
          <w:szCs w:val="21"/>
        </w:rPr>
        <w:t>　组成合同的文件应按下述优先顺序解释 ：</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）合同协议书；</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）中标通知；</w:t>
      </w:r>
    </w:p>
    <w:p>
      <w:pPr>
        <w:spacing w:before="120" w:after="120" w:line="240" w:lineRule="atLeast"/>
        <w:ind w:left="936" w:hanging="576"/>
        <w:jc w:val="left"/>
        <w:textAlignment w:val="auto"/>
        <w:rPr>
          <w:szCs w:val="21"/>
        </w:rPr>
      </w:pPr>
      <w:r>
        <w:rPr>
          <w:rFonts w:hint="eastAsia"/>
          <w:szCs w:val="21"/>
        </w:rPr>
        <w:t>（3）承包商的投标文件；</w:t>
      </w:r>
    </w:p>
    <w:p>
      <w:pPr>
        <w:spacing w:before="120" w:after="120" w:line="240" w:lineRule="atLeast"/>
        <w:ind w:left="936" w:hanging="576"/>
        <w:jc w:val="left"/>
        <w:textAlignment w:val="auto"/>
        <w:rPr>
          <w:szCs w:val="21"/>
        </w:rPr>
      </w:pPr>
      <w:r>
        <w:rPr>
          <w:rFonts w:hint="eastAsia"/>
          <w:szCs w:val="21"/>
        </w:rPr>
        <w:t>（4）</w:t>
      </w:r>
      <w:r>
        <w:rPr>
          <w:szCs w:val="21"/>
        </w:rPr>
        <w:t>特殊合同条款</w:t>
      </w:r>
      <w:r>
        <w:rPr>
          <w:rFonts w:hint="eastAsia"/>
          <w:szCs w:val="21"/>
        </w:rPr>
        <w:t>；</w:t>
      </w:r>
    </w:p>
    <w:p>
      <w:pPr>
        <w:spacing w:before="120" w:after="120" w:line="240" w:lineRule="atLeast"/>
        <w:ind w:left="936" w:hanging="576"/>
        <w:jc w:val="left"/>
        <w:textAlignment w:val="auto"/>
        <w:rPr>
          <w:szCs w:val="21"/>
        </w:rPr>
      </w:pPr>
      <w:r>
        <w:rPr>
          <w:rFonts w:hint="eastAsia"/>
          <w:szCs w:val="21"/>
        </w:rPr>
        <w:t>（5）</w:t>
      </w:r>
      <w:r>
        <w:rPr>
          <w:szCs w:val="21"/>
        </w:rPr>
        <w:t>一般合同条款</w:t>
      </w:r>
      <w:r>
        <w:rPr>
          <w:rFonts w:hint="eastAsia"/>
          <w:szCs w:val="21"/>
        </w:rPr>
        <w:t>；</w:t>
      </w:r>
    </w:p>
    <w:p>
      <w:pPr>
        <w:spacing w:before="120" w:after="120" w:line="240" w:lineRule="atLeast"/>
        <w:ind w:left="936" w:hanging="576"/>
        <w:jc w:val="left"/>
        <w:textAlignment w:val="auto"/>
        <w:rPr>
          <w:szCs w:val="21"/>
        </w:rPr>
      </w:pPr>
      <w:r>
        <w:rPr>
          <w:rFonts w:hint="eastAsia"/>
          <w:szCs w:val="21"/>
        </w:rPr>
        <w:t>（6）技术规范；</w:t>
      </w:r>
    </w:p>
    <w:p>
      <w:pPr>
        <w:spacing w:before="120" w:after="120" w:line="240" w:lineRule="atLeast"/>
        <w:ind w:left="936" w:hanging="576"/>
        <w:jc w:val="left"/>
        <w:textAlignment w:val="auto"/>
        <w:rPr>
          <w:szCs w:val="21"/>
        </w:rPr>
      </w:pPr>
      <w:r>
        <w:rPr>
          <w:rFonts w:hint="eastAsia"/>
          <w:szCs w:val="21"/>
        </w:rPr>
        <w:t>（7）图纸；</w:t>
      </w:r>
    </w:p>
    <w:p>
      <w:pPr>
        <w:spacing w:before="120" w:after="120" w:line="240" w:lineRule="atLeast"/>
        <w:ind w:left="936" w:hanging="576"/>
        <w:jc w:val="left"/>
        <w:textAlignment w:val="auto"/>
        <w:rPr>
          <w:szCs w:val="21"/>
        </w:rPr>
      </w:pPr>
      <w:r>
        <w:rPr>
          <w:rFonts w:hint="eastAsia"/>
          <w:szCs w:val="21"/>
        </w:rPr>
        <w:t>（8）已标价的工程量清单</w:t>
      </w:r>
      <w:r>
        <w:footnoteReference w:id="1"/>
      </w:r>
      <w:r>
        <w:rPr>
          <w:rFonts w:hint="eastAsia"/>
          <w:szCs w:val="21"/>
        </w:rPr>
        <w:t>；</w:t>
      </w:r>
    </w:p>
    <w:p>
      <w:pPr>
        <w:spacing w:before="120" w:after="120" w:line="240" w:lineRule="atLeast"/>
        <w:ind w:left="936" w:hanging="576"/>
        <w:jc w:val="left"/>
        <w:textAlignment w:val="auto"/>
        <w:rPr>
          <w:szCs w:val="21"/>
        </w:rPr>
      </w:pPr>
      <w:r>
        <w:rPr>
          <w:rFonts w:hint="eastAsia"/>
          <w:szCs w:val="21"/>
        </w:rPr>
        <w:t>（9）</w:t>
      </w:r>
      <w:r>
        <w:rPr>
          <w:szCs w:val="21"/>
        </w:rPr>
        <w:t>特殊合同条款</w:t>
      </w:r>
      <w:r>
        <w:rPr>
          <w:rFonts w:hint="eastAsia"/>
          <w:szCs w:val="21"/>
        </w:rPr>
        <w:t>中所列的组成本合同的其它文件。</w:t>
      </w:r>
    </w:p>
    <w:p>
      <w:pPr>
        <w:pStyle w:val="5"/>
      </w:pPr>
      <w:bookmarkStart w:id="1539" w:name="_Toc324772008"/>
      <w:bookmarkStart w:id="1540" w:name="_Toc104482490"/>
      <w:bookmarkStart w:id="1541" w:name="_Toc171063156"/>
      <w:bookmarkStart w:id="1542" w:name="_Toc391287358"/>
      <w:r>
        <w:t>3　语言和法律</w:t>
      </w:r>
      <w:bookmarkEnd w:id="1539"/>
      <w:bookmarkEnd w:id="1540"/>
      <w:bookmarkEnd w:id="1541"/>
      <w:bookmarkEnd w:id="1542"/>
    </w:p>
    <w:p>
      <w:pPr>
        <w:tabs>
          <w:tab w:val="left" w:pos="2160"/>
        </w:tabs>
        <w:suppressAutoHyphens/>
        <w:spacing w:before="120" w:after="120" w:line="240" w:lineRule="atLeast"/>
        <w:ind w:left="420"/>
        <w:textAlignment w:val="auto"/>
        <w:rPr>
          <w:szCs w:val="21"/>
        </w:rPr>
      </w:pPr>
      <w:r>
        <w:rPr>
          <w:szCs w:val="21"/>
        </w:rPr>
        <w:t>3.1</w:t>
      </w:r>
      <w:r>
        <w:rPr>
          <w:rFonts w:hint="eastAsia"/>
          <w:szCs w:val="21"/>
        </w:rPr>
        <w:t>　本合同所使用的语言为中文。本合同适用法律为中华人民共和国现行法律。</w:t>
      </w:r>
    </w:p>
    <w:p>
      <w:pPr>
        <w:pStyle w:val="5"/>
      </w:pPr>
      <w:bookmarkStart w:id="1543" w:name="_Toc104482491"/>
      <w:bookmarkStart w:id="1544" w:name="_Toc324772009"/>
      <w:bookmarkStart w:id="1545" w:name="_Toc171063157"/>
      <w:bookmarkStart w:id="1546" w:name="_Toc391287359"/>
      <w:r>
        <w:rPr>
          <w:rFonts w:hint="eastAsia"/>
        </w:rPr>
        <w:t>4　项目监理的职权</w:t>
      </w:r>
      <w:bookmarkEnd w:id="1543"/>
      <w:bookmarkEnd w:id="1544"/>
      <w:bookmarkEnd w:id="1545"/>
      <w:bookmarkEnd w:id="1546"/>
    </w:p>
    <w:p>
      <w:pPr>
        <w:tabs>
          <w:tab w:val="left" w:pos="1080"/>
        </w:tabs>
        <w:suppressAutoHyphens/>
        <w:spacing w:before="120" w:after="120" w:line="240" w:lineRule="atLeast"/>
        <w:ind w:firstLine="420" w:firstLineChars="200"/>
        <w:textAlignment w:val="auto"/>
        <w:rPr>
          <w:szCs w:val="21"/>
        </w:rPr>
      </w:pPr>
      <w:r>
        <w:rPr>
          <w:szCs w:val="21"/>
        </w:rPr>
        <w:t>4.1</w:t>
      </w:r>
      <w:r>
        <w:rPr>
          <w:rFonts w:hint="eastAsia"/>
          <w:szCs w:val="21"/>
        </w:rPr>
        <w:t>　项目监理应行使本合同中明确规定的或暗示的权力。但如果合同条款或业主对项目监理的权力有限制时，项目监理在行使某些特定权力前应征得业主的批准或同意。在任何情况下，除非合同另有明确规定，项目监理无权解除承包商的任何合同义务。</w:t>
      </w:r>
    </w:p>
    <w:p>
      <w:pPr>
        <w:tabs>
          <w:tab w:val="left" w:pos="2160"/>
        </w:tabs>
        <w:spacing w:before="120" w:after="120" w:line="240" w:lineRule="atLeast"/>
        <w:ind w:firstLine="420" w:firstLineChars="200"/>
        <w:textAlignment w:val="auto"/>
        <w:rPr>
          <w:szCs w:val="21"/>
        </w:rPr>
      </w:pPr>
      <w:r>
        <w:rPr>
          <w:szCs w:val="21"/>
        </w:rPr>
        <w:t>4.2</w:t>
      </w:r>
      <w:r>
        <w:rPr>
          <w:rFonts w:hint="eastAsia"/>
          <w:szCs w:val="21"/>
        </w:rPr>
        <w:t>　项目监理应就</w:t>
      </w:r>
      <w:r>
        <w:rPr>
          <w:rFonts w:hint="eastAsia" w:cs="宋体"/>
          <w:szCs w:val="21"/>
        </w:rPr>
        <w:t>承包商</w:t>
      </w:r>
      <w:r>
        <w:rPr>
          <w:rFonts w:hint="eastAsia"/>
          <w:szCs w:val="21"/>
        </w:rPr>
        <w:t>对</w:t>
      </w:r>
      <w:r>
        <w:rPr>
          <w:b/>
          <w:szCs w:val="21"/>
        </w:rPr>
        <w:t>特殊合同条款</w:t>
      </w:r>
      <w:r>
        <w:rPr>
          <w:rFonts w:hint="eastAsia"/>
          <w:szCs w:val="21"/>
        </w:rPr>
        <w:t>的质疑予以澄清。</w:t>
      </w:r>
    </w:p>
    <w:p>
      <w:pPr>
        <w:tabs>
          <w:tab w:val="left" w:pos="2160"/>
        </w:tabs>
        <w:spacing w:before="120" w:after="120" w:line="240" w:lineRule="atLeast"/>
        <w:ind w:firstLine="420" w:firstLineChars="200"/>
        <w:textAlignment w:val="auto"/>
        <w:rPr>
          <w:szCs w:val="21"/>
        </w:rPr>
      </w:pPr>
      <w:r>
        <w:rPr>
          <w:szCs w:val="21"/>
        </w:rPr>
        <w:t>4.3</w:t>
      </w:r>
      <w:r>
        <w:rPr>
          <w:rFonts w:hint="eastAsia" w:cs="宋体"/>
          <w:szCs w:val="21"/>
        </w:rPr>
        <w:t>　项目监理在采取下列行动前应事先征得业主的批准：</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）根据本</w:t>
      </w:r>
      <w:r>
        <w:rPr>
          <w:szCs w:val="21"/>
        </w:rPr>
        <w:t>一般合同条款</w:t>
      </w:r>
      <w:r>
        <w:rPr>
          <w:rFonts w:hint="eastAsia"/>
          <w:szCs w:val="21"/>
        </w:rPr>
        <w:t>第</w:t>
      </w:r>
      <w:r>
        <w:rPr>
          <w:szCs w:val="21"/>
        </w:rPr>
        <w:t>7条批准分包本工程的任何部分；</w:t>
      </w:r>
    </w:p>
    <w:p>
      <w:pPr>
        <w:spacing w:before="120" w:after="120" w:line="240" w:lineRule="atLeast"/>
        <w:ind w:left="936" w:hanging="576"/>
        <w:jc w:val="left"/>
        <w:textAlignment w:val="auto"/>
        <w:rPr>
          <w:szCs w:val="21"/>
        </w:rPr>
      </w:pPr>
      <w:r>
        <w:rPr>
          <w:szCs w:val="21"/>
        </w:rPr>
        <w:t>（2）根据本一般合同条款第37</w:t>
      </w:r>
      <w:r>
        <w:rPr>
          <w:rFonts w:hint="eastAsia"/>
          <w:szCs w:val="21"/>
        </w:rPr>
        <w:t>条</w:t>
      </w:r>
      <w:r>
        <w:rPr>
          <w:szCs w:val="21"/>
        </w:rPr>
        <w:t>对计量合同</w:t>
      </w:r>
      <w:r>
        <w:rPr>
          <w:rFonts w:hint="eastAsia"/>
          <w:szCs w:val="21"/>
        </w:rPr>
        <w:t>中</w:t>
      </w:r>
      <w:r>
        <w:rPr>
          <w:szCs w:val="21"/>
        </w:rPr>
        <w:t>的</w:t>
      </w:r>
      <w:r>
        <w:rPr>
          <w:rFonts w:hint="eastAsia"/>
          <w:szCs w:val="21"/>
        </w:rPr>
        <w:t>额外</w:t>
      </w:r>
      <w:r>
        <w:rPr>
          <w:szCs w:val="21"/>
        </w:rPr>
        <w:t>费用作出（合格）</w:t>
      </w:r>
      <w:r>
        <w:rPr>
          <w:rFonts w:hint="eastAsia"/>
          <w:szCs w:val="21"/>
        </w:rPr>
        <w:t>签</w:t>
      </w:r>
      <w:r>
        <w:rPr>
          <w:szCs w:val="21"/>
        </w:rPr>
        <w:t>证；</w:t>
      </w:r>
    </w:p>
    <w:p>
      <w:pPr>
        <w:spacing w:before="120" w:after="120" w:line="240" w:lineRule="atLeast"/>
        <w:ind w:left="936" w:hanging="576"/>
        <w:jc w:val="left"/>
        <w:textAlignment w:val="auto"/>
        <w:rPr>
          <w:szCs w:val="21"/>
        </w:rPr>
      </w:pPr>
      <w:r>
        <w:rPr>
          <w:szCs w:val="21"/>
        </w:rPr>
        <w:t>（3）根据本一般合同条款第26、27、28和29条确定工期延长；以及</w:t>
      </w:r>
    </w:p>
    <w:p>
      <w:pPr>
        <w:spacing w:before="120" w:after="120" w:line="240" w:lineRule="atLeast"/>
        <w:ind w:left="936" w:hanging="576"/>
        <w:jc w:val="left"/>
        <w:textAlignment w:val="auto"/>
        <w:rPr>
          <w:szCs w:val="21"/>
        </w:rPr>
      </w:pPr>
      <w:r>
        <w:rPr>
          <w:szCs w:val="21"/>
        </w:rPr>
        <w:t>（4）根据本一般合同条款第42.3款和第38.3款确</w:t>
      </w:r>
      <w:r>
        <w:rPr>
          <w:rFonts w:hint="eastAsia"/>
          <w:szCs w:val="21"/>
        </w:rPr>
        <w:t>定费率或单价。</w:t>
      </w:r>
    </w:p>
    <w:p>
      <w:pPr>
        <w:pStyle w:val="5"/>
      </w:pPr>
      <w:bookmarkStart w:id="1547" w:name="_Toc324772010"/>
      <w:bookmarkStart w:id="1548" w:name="_Toc391287360"/>
      <w:bookmarkStart w:id="1549" w:name="_Toc104482492"/>
      <w:bookmarkStart w:id="1550" w:name="_Toc171063158"/>
      <w:r>
        <w:t>5</w:t>
      </w:r>
      <w:r>
        <w:rPr>
          <w:rFonts w:hint="eastAsia"/>
        </w:rPr>
        <w:t>　</w:t>
      </w:r>
      <w:r>
        <w:t>授权</w:t>
      </w:r>
      <w:bookmarkEnd w:id="1547"/>
      <w:bookmarkEnd w:id="1548"/>
      <w:bookmarkEnd w:id="1549"/>
      <w:bookmarkEnd w:id="1550"/>
    </w:p>
    <w:p>
      <w:pPr>
        <w:tabs>
          <w:tab w:val="left" w:pos="2160"/>
        </w:tabs>
        <w:spacing w:before="120" w:after="120" w:line="240" w:lineRule="atLeast"/>
        <w:ind w:firstLine="420" w:firstLineChars="200"/>
        <w:textAlignment w:val="auto"/>
        <w:rPr>
          <w:szCs w:val="21"/>
        </w:rPr>
      </w:pPr>
      <w:r>
        <w:rPr>
          <w:szCs w:val="21"/>
        </w:rPr>
        <w:t>5.1</w:t>
      </w:r>
      <w:r>
        <w:rPr>
          <w:rFonts w:hint="eastAsia"/>
          <w:b/>
          <w:szCs w:val="21"/>
        </w:rPr>
        <w:t>　</w:t>
      </w:r>
      <w:r>
        <w:rPr>
          <w:rFonts w:hint="eastAsia"/>
          <w:szCs w:val="21"/>
        </w:rPr>
        <w:t>除非在</w:t>
      </w:r>
      <w:r>
        <w:rPr>
          <w:b/>
          <w:szCs w:val="21"/>
        </w:rPr>
        <w:t>特殊合同条款</w:t>
      </w:r>
      <w:r>
        <w:rPr>
          <w:rFonts w:hint="eastAsia"/>
          <w:szCs w:val="21"/>
        </w:rPr>
        <w:t>中另有规定</w:t>
      </w:r>
      <w:r>
        <w:rPr>
          <w:rFonts w:hint="eastAsia"/>
          <w:b/>
          <w:szCs w:val="21"/>
        </w:rPr>
        <w:t>，</w:t>
      </w:r>
      <w:r>
        <w:rPr>
          <w:rFonts w:hint="eastAsia"/>
          <w:szCs w:val="21"/>
        </w:rPr>
        <w:t>项目监理可以在通知承包商后，授权调解员之外的其它人员代行其部分或全部职权，并且在通知承包商后也可以撤消此类授权。</w:t>
      </w:r>
    </w:p>
    <w:p>
      <w:pPr>
        <w:pStyle w:val="5"/>
      </w:pPr>
      <w:bookmarkStart w:id="1551" w:name="_Toc171063159"/>
      <w:bookmarkStart w:id="1552" w:name="_Toc104482493"/>
      <w:bookmarkStart w:id="1553" w:name="_Toc391287361"/>
      <w:bookmarkStart w:id="1554" w:name="_Toc324772011"/>
      <w:r>
        <w:rPr>
          <w:rFonts w:hint="eastAsia"/>
        </w:rPr>
        <w:t>6　通讯</w:t>
      </w:r>
      <w:bookmarkEnd w:id="1551"/>
      <w:bookmarkEnd w:id="1552"/>
      <w:bookmarkEnd w:id="1553"/>
      <w:bookmarkEnd w:id="1554"/>
    </w:p>
    <w:p>
      <w:pPr>
        <w:tabs>
          <w:tab w:val="left" w:pos="2160"/>
        </w:tabs>
        <w:suppressAutoHyphens/>
        <w:spacing w:before="120" w:after="120" w:line="240" w:lineRule="atLeast"/>
        <w:ind w:firstLine="420" w:firstLineChars="200"/>
        <w:textAlignment w:val="auto"/>
        <w:rPr>
          <w:szCs w:val="21"/>
        </w:rPr>
      </w:pPr>
      <w:r>
        <w:rPr>
          <w:szCs w:val="21"/>
        </w:rPr>
        <w:t>6.1　</w:t>
      </w:r>
      <w:r>
        <w:rPr>
          <w:rFonts w:hint="eastAsia"/>
          <w:szCs w:val="21"/>
        </w:rPr>
        <w:t>合同各方之间涉及合同条款的通讯仅在以书面形式进行时方视为有效，通知只有在送达对方时方视为有效。</w:t>
      </w:r>
    </w:p>
    <w:p>
      <w:pPr>
        <w:pStyle w:val="5"/>
      </w:pPr>
      <w:bookmarkStart w:id="1555" w:name="_Toc324772012"/>
      <w:bookmarkStart w:id="1556" w:name="_Toc171063160"/>
      <w:bookmarkStart w:id="1557" w:name="_Toc391287362"/>
      <w:bookmarkStart w:id="1558" w:name="_Toc104482494"/>
      <w:r>
        <w:rPr>
          <w:rFonts w:hint="eastAsia"/>
        </w:rPr>
        <w:t>7　分包</w:t>
      </w:r>
      <w:bookmarkEnd w:id="1555"/>
      <w:bookmarkEnd w:id="1556"/>
      <w:bookmarkEnd w:id="1557"/>
      <w:bookmarkEnd w:id="1558"/>
    </w:p>
    <w:p>
      <w:pPr>
        <w:tabs>
          <w:tab w:val="left" w:pos="2160"/>
        </w:tabs>
        <w:suppressAutoHyphens/>
        <w:spacing w:before="120" w:after="120" w:line="240" w:lineRule="atLeast"/>
        <w:ind w:firstLine="420" w:firstLineChars="200"/>
        <w:textAlignment w:val="auto"/>
        <w:rPr>
          <w:szCs w:val="21"/>
        </w:rPr>
      </w:pPr>
      <w:r>
        <w:rPr>
          <w:rFonts w:hint="eastAsia"/>
          <w:szCs w:val="21"/>
        </w:rPr>
        <w:t>7.1　承包商可以在项目监理批准后分包工程，但在任何条件下均不得转让合同。分包不改变承包商的义务。</w:t>
      </w:r>
    </w:p>
    <w:p>
      <w:pPr>
        <w:pStyle w:val="5"/>
      </w:pPr>
      <w:bookmarkStart w:id="1559" w:name="_Toc104482495"/>
      <w:bookmarkStart w:id="1560" w:name="_Toc324772013"/>
      <w:bookmarkStart w:id="1561" w:name="_Toc171063161"/>
      <w:bookmarkStart w:id="1562" w:name="_Toc391287363"/>
      <w:r>
        <w:rPr>
          <w:rFonts w:hint="eastAsia"/>
        </w:rPr>
        <w:t>8　其它承包商</w:t>
      </w:r>
      <w:bookmarkEnd w:id="1559"/>
      <w:bookmarkEnd w:id="1560"/>
      <w:bookmarkEnd w:id="1561"/>
      <w:bookmarkEnd w:id="1562"/>
    </w:p>
    <w:p>
      <w:pPr>
        <w:tabs>
          <w:tab w:val="left" w:pos="2160"/>
        </w:tabs>
        <w:suppressAutoHyphens/>
        <w:spacing w:before="120" w:after="120" w:line="240" w:lineRule="atLeast"/>
        <w:ind w:firstLine="420" w:firstLineChars="200"/>
        <w:textAlignment w:val="auto"/>
        <w:rPr>
          <w:szCs w:val="21"/>
        </w:rPr>
      </w:pPr>
      <w:r>
        <w:rPr>
          <w:rFonts w:hint="eastAsia"/>
          <w:szCs w:val="21"/>
        </w:rPr>
        <w:t>8.1　在</w:t>
      </w:r>
      <w:r>
        <w:rPr>
          <w:b/>
          <w:szCs w:val="21"/>
        </w:rPr>
        <w:t>特殊合同条款</w:t>
      </w:r>
      <w:r>
        <w:rPr>
          <w:rFonts w:hint="eastAsia"/>
          <w:szCs w:val="21"/>
        </w:rPr>
        <w:t>的其它承包商进度表中给出的日期内，承包商应同其它承包商、公共机构、公用部门和业主协作并共用现场，且承包商应向该进度表中所述各方提供该进度表中所述的设施和服务。业主可以通过项目监理随时修改其它承包商进度表，并将其修改通知承包商。</w:t>
      </w:r>
    </w:p>
    <w:p>
      <w:pPr>
        <w:pStyle w:val="5"/>
      </w:pPr>
      <w:bookmarkStart w:id="1563" w:name="_Toc391287364"/>
      <w:bookmarkStart w:id="1564" w:name="_Toc104482496"/>
      <w:bookmarkStart w:id="1565" w:name="_Toc324772014"/>
      <w:bookmarkStart w:id="1566" w:name="_Toc171063162"/>
      <w:r>
        <w:rPr>
          <w:rFonts w:hint="eastAsia"/>
        </w:rPr>
        <w:t>9　人员和设备</w:t>
      </w:r>
      <w:bookmarkEnd w:id="1563"/>
      <w:bookmarkEnd w:id="1564"/>
      <w:bookmarkEnd w:id="1565"/>
      <w:bookmarkEnd w:id="1566"/>
    </w:p>
    <w:p>
      <w:pPr>
        <w:suppressAutoHyphens/>
        <w:spacing w:before="120" w:after="120" w:line="240" w:lineRule="atLeast"/>
        <w:ind w:firstLine="420" w:firstLineChars="200"/>
        <w:textAlignment w:val="auto"/>
        <w:rPr>
          <w:szCs w:val="21"/>
        </w:rPr>
      </w:pPr>
      <w:r>
        <w:rPr>
          <w:rFonts w:hint="eastAsia"/>
          <w:szCs w:val="21"/>
        </w:rPr>
        <w:t>9.1　承包商应雇用其投标文件中所述的关键人员和设备，或项目监理批准的其它人员和设备以实施本工程。关键人员和设备的替换只有在其资历和性能方面相当或优于原投标文件中所提议的关键人员和设备时，并经项目监理批准方可进行。</w:t>
      </w:r>
    </w:p>
    <w:p>
      <w:pPr>
        <w:tabs>
          <w:tab w:val="left" w:pos="2160"/>
        </w:tabs>
        <w:suppressAutoHyphens/>
        <w:spacing w:before="120" w:after="120" w:line="240" w:lineRule="atLeast"/>
        <w:ind w:firstLine="420" w:firstLineChars="200"/>
        <w:textAlignment w:val="auto"/>
        <w:rPr>
          <w:szCs w:val="21"/>
        </w:rPr>
      </w:pPr>
      <w:r>
        <w:rPr>
          <w:rFonts w:hint="eastAsia"/>
          <w:szCs w:val="21"/>
        </w:rPr>
        <w:t>9.2　如果项目监理说明原因要求承包商将其某一职员或工人调离，承包商应确保此人在七（7）天之内被调离现场，并使其不得再与本合同的工作发生联系。</w:t>
      </w:r>
    </w:p>
    <w:p>
      <w:pPr>
        <w:pStyle w:val="5"/>
      </w:pPr>
      <w:bookmarkStart w:id="1567" w:name="_Toc104482497"/>
      <w:bookmarkStart w:id="1568" w:name="_Toc171063163"/>
      <w:bookmarkStart w:id="1569" w:name="_Toc324772015"/>
      <w:bookmarkStart w:id="1570" w:name="_Toc391287365"/>
      <w:r>
        <w:rPr>
          <w:rFonts w:hint="eastAsia"/>
        </w:rPr>
        <w:t>10　业主和承包商的风险</w:t>
      </w:r>
      <w:bookmarkEnd w:id="1567"/>
      <w:bookmarkEnd w:id="1568"/>
      <w:bookmarkEnd w:id="1569"/>
      <w:bookmarkEnd w:id="1570"/>
    </w:p>
    <w:p>
      <w:pPr>
        <w:tabs>
          <w:tab w:val="left" w:pos="2160"/>
        </w:tabs>
        <w:suppressAutoHyphens/>
        <w:spacing w:before="120" w:after="120" w:line="240" w:lineRule="atLeast"/>
        <w:ind w:firstLine="420" w:firstLineChars="200"/>
        <w:textAlignment w:val="auto"/>
        <w:rPr>
          <w:szCs w:val="21"/>
        </w:rPr>
      </w:pPr>
      <w:r>
        <w:rPr>
          <w:rFonts w:hint="eastAsia"/>
          <w:szCs w:val="21"/>
        </w:rPr>
        <w:t>10.1　业主将承担本合同中规定由业主承担的风险；承包商应承担本合同中规定由承包商承担的风险。</w:t>
      </w:r>
    </w:p>
    <w:p>
      <w:pPr>
        <w:pStyle w:val="5"/>
      </w:pPr>
      <w:bookmarkStart w:id="1571" w:name="_Toc104482498"/>
      <w:bookmarkStart w:id="1572" w:name="_Toc324772016"/>
      <w:bookmarkStart w:id="1573" w:name="_Toc171063164"/>
      <w:bookmarkStart w:id="1574" w:name="_Toc391287366"/>
      <w:r>
        <w:rPr>
          <w:rFonts w:hint="eastAsia"/>
        </w:rPr>
        <w:t>11　业主的风险</w:t>
      </w:r>
      <w:bookmarkEnd w:id="1571"/>
      <w:bookmarkEnd w:id="1572"/>
      <w:bookmarkEnd w:id="1573"/>
      <w:bookmarkEnd w:id="1574"/>
    </w:p>
    <w:p>
      <w:pPr>
        <w:suppressAutoHyphens/>
        <w:spacing w:before="120" w:after="120" w:line="240" w:lineRule="atLeast"/>
        <w:ind w:firstLine="420" w:firstLineChars="200"/>
        <w:textAlignment w:val="auto"/>
        <w:rPr>
          <w:szCs w:val="21"/>
        </w:rPr>
      </w:pPr>
      <w:r>
        <w:rPr>
          <w:rFonts w:hint="eastAsia"/>
          <w:szCs w:val="21"/>
        </w:rPr>
        <w:t>11.1　自开工日起至签发缺陷责任证书之日止，业主的风险为：</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）由于下述原因造成的人员伤亡或财产（工程、设施、材料及施工机械除外）的损失或损坏的风险：</w:t>
      </w:r>
    </w:p>
    <w:p>
      <w:pPr>
        <w:suppressAutoHyphens/>
        <w:spacing w:before="120" w:after="120" w:line="240" w:lineRule="atLeast"/>
        <w:ind w:firstLine="420" w:firstLineChars="200"/>
        <w:textAlignment w:val="auto"/>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为工程实施本身或为了工程实施的目的而使用或占用现场，并且此种做法为实施工程所不可避免时，或</w:t>
      </w:r>
    </w:p>
    <w:p>
      <w:pPr>
        <w:suppressAutoHyphens/>
        <w:spacing w:before="120" w:after="120" w:line="240" w:lineRule="atLeast"/>
        <w:ind w:firstLine="420" w:firstLineChars="200"/>
        <w:textAlignment w:val="auto"/>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业主或其雇员或与其有合同关系的人员（除承包商外）的疏忽、失职或对合法权益的侵害。</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）由于业主或业主负责的设计错误，或不可抗力对工程、设施、材料和施工机械造成损害的风险。</w:t>
      </w:r>
    </w:p>
    <w:p>
      <w:pPr>
        <w:suppressAutoHyphens/>
        <w:spacing w:before="120" w:after="120" w:line="240" w:lineRule="atLeast"/>
        <w:ind w:firstLine="420" w:firstLineChars="200"/>
        <w:textAlignment w:val="auto"/>
        <w:rPr>
          <w:szCs w:val="21"/>
        </w:rPr>
      </w:pPr>
      <w:r>
        <w:rPr>
          <w:rFonts w:hint="eastAsia"/>
          <w:szCs w:val="21"/>
        </w:rPr>
        <w:t>11.2　从完工日起至签发缺陷责任证书之日止，工程、设施和材料的损失或损坏是业主的风险，但由于下述原因造成的损失或损坏除外：</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）在工程完工日前已存在的缺陷；</w:t>
      </w:r>
    </w:p>
    <w:p>
      <w:pPr>
        <w:spacing w:before="120" w:after="120" w:line="240" w:lineRule="atLeast"/>
        <w:ind w:left="936" w:hanging="576"/>
        <w:jc w:val="left"/>
        <w:textAlignment w:val="auto"/>
        <w:rPr>
          <w:szCs w:val="21"/>
        </w:rPr>
      </w:pPr>
      <w:r>
        <w:rPr>
          <w:rFonts w:hint="eastAsia"/>
          <w:szCs w:val="21"/>
        </w:rPr>
        <w:t>（2）工程完工日期之前发生的事故，而该事故本身并非业主的风险；或</w:t>
      </w:r>
    </w:p>
    <w:p>
      <w:pPr>
        <w:spacing w:before="120" w:after="120" w:line="240" w:lineRule="atLeast"/>
        <w:ind w:left="936" w:hanging="576"/>
        <w:jc w:val="left"/>
        <w:textAlignment w:val="auto"/>
        <w:rPr>
          <w:szCs w:val="21"/>
        </w:rPr>
      </w:pPr>
      <w:r>
        <w:rPr>
          <w:rFonts w:hint="eastAsia"/>
          <w:szCs w:val="21"/>
        </w:rPr>
        <w:t>（3）完工日期之后承包商在现场的活动。</w:t>
      </w:r>
    </w:p>
    <w:p>
      <w:pPr>
        <w:pStyle w:val="5"/>
      </w:pPr>
      <w:bookmarkStart w:id="1575" w:name="_Toc171063165"/>
      <w:bookmarkStart w:id="1576" w:name="_Toc104482499"/>
      <w:bookmarkStart w:id="1577" w:name="_Toc324772017"/>
      <w:bookmarkStart w:id="1578" w:name="_Toc391287367"/>
      <w:r>
        <w:rPr>
          <w:rFonts w:hint="eastAsia"/>
        </w:rPr>
        <w:t>12　承包商的风险</w:t>
      </w:r>
      <w:bookmarkEnd w:id="1575"/>
      <w:bookmarkEnd w:id="1576"/>
      <w:bookmarkEnd w:id="1577"/>
      <w:bookmarkEnd w:id="1578"/>
    </w:p>
    <w:p>
      <w:pPr>
        <w:tabs>
          <w:tab w:val="left" w:pos="2160"/>
        </w:tabs>
        <w:spacing w:before="120" w:after="120"/>
        <w:ind w:firstLine="420" w:firstLineChars="200"/>
        <w:textAlignment w:val="auto"/>
        <w:rPr>
          <w:szCs w:val="21"/>
        </w:rPr>
      </w:pPr>
      <w:r>
        <w:rPr>
          <w:szCs w:val="21"/>
        </w:rPr>
        <w:t>12.1</w:t>
      </w:r>
      <w:r>
        <w:rPr>
          <w:rFonts w:hint="eastAsia"/>
          <w:szCs w:val="21"/>
        </w:rPr>
        <w:t>　自开工日起至签发缺陷责任证书之日止，人员伤亡以和财产（包括但不限于，工程、设备、材料和施工机械）损失或损害，凡不属于业主风险的均为承包商的风险。</w:t>
      </w:r>
    </w:p>
    <w:p>
      <w:pPr>
        <w:pStyle w:val="5"/>
      </w:pPr>
      <w:bookmarkStart w:id="1579" w:name="_Toc324772018"/>
      <w:bookmarkStart w:id="1580" w:name="_Toc104482500"/>
      <w:bookmarkStart w:id="1581" w:name="_Toc171063166"/>
      <w:bookmarkStart w:id="1582" w:name="_Toc391287368"/>
      <w:r>
        <w:rPr>
          <w:rFonts w:hint="eastAsia"/>
        </w:rPr>
        <w:t>13　保障</w:t>
      </w:r>
      <w:bookmarkEnd w:id="1579"/>
      <w:bookmarkEnd w:id="1580"/>
      <w:bookmarkEnd w:id="1581"/>
      <w:bookmarkEnd w:id="1582"/>
    </w:p>
    <w:p>
      <w:pPr>
        <w:tabs>
          <w:tab w:val="left" w:pos="2160"/>
        </w:tabs>
        <w:spacing w:before="120" w:after="120"/>
        <w:ind w:firstLine="420" w:firstLineChars="200"/>
        <w:textAlignment w:val="auto"/>
        <w:rPr>
          <w:szCs w:val="21"/>
        </w:rPr>
      </w:pPr>
      <w:r>
        <w:rPr>
          <w:rFonts w:hint="eastAsia"/>
          <w:szCs w:val="21"/>
        </w:rPr>
        <w:t>13.1　合同各方须保障合同另一方免于承担因自己的行为或疏忽而造成的损失、额外费用、以及任何因财产损失或损害、人员伤害和死亡而提出的索赔。</w:t>
      </w:r>
    </w:p>
    <w:p>
      <w:pPr>
        <w:suppressAutoHyphens/>
        <w:spacing w:before="120" w:after="120"/>
        <w:ind w:firstLine="420" w:firstLineChars="200"/>
        <w:textAlignment w:val="auto"/>
        <w:rPr>
          <w:szCs w:val="21"/>
        </w:rPr>
      </w:pPr>
      <w:r>
        <w:rPr>
          <w:rFonts w:hint="eastAsia"/>
          <w:szCs w:val="21"/>
        </w:rPr>
        <w:t>13.2　要求保障的一方须采取一切合理措施以减少可能发生的损失或损害。</w:t>
      </w:r>
    </w:p>
    <w:p>
      <w:pPr>
        <w:suppressAutoHyphens/>
        <w:spacing w:before="120" w:after="120"/>
        <w:ind w:firstLine="420" w:firstLineChars="200"/>
        <w:textAlignment w:val="auto"/>
        <w:rPr>
          <w:szCs w:val="21"/>
        </w:rPr>
      </w:pPr>
      <w:r>
        <w:rPr>
          <w:rFonts w:hint="eastAsia"/>
          <w:szCs w:val="21"/>
        </w:rPr>
        <w:t>13.3　承包商</w:t>
      </w:r>
      <w:r>
        <w:rPr>
          <w:rFonts w:hint="eastAsia" w:cs="宋体"/>
          <w:szCs w:val="21"/>
        </w:rPr>
        <w:t>应保障业主免于承担其因移动施工现场之外的施工机械或临时工程造成损害而引起的索赔。</w:t>
      </w:r>
    </w:p>
    <w:p>
      <w:pPr>
        <w:pStyle w:val="5"/>
      </w:pPr>
      <w:bookmarkStart w:id="1583" w:name="_Toc391287369"/>
      <w:bookmarkStart w:id="1584" w:name="_Toc171063167"/>
      <w:bookmarkStart w:id="1585" w:name="_Toc324772019"/>
      <w:bookmarkStart w:id="1586" w:name="_Toc104482501"/>
      <w:r>
        <w:rPr>
          <w:rFonts w:hint="eastAsia"/>
        </w:rPr>
        <w:t>14　保险</w:t>
      </w:r>
      <w:bookmarkEnd w:id="1583"/>
      <w:bookmarkEnd w:id="1584"/>
      <w:bookmarkEnd w:id="1585"/>
      <w:bookmarkEnd w:id="1586"/>
    </w:p>
    <w:p>
      <w:pPr>
        <w:suppressAutoHyphens/>
        <w:spacing w:before="120" w:after="120"/>
        <w:ind w:firstLine="420" w:firstLineChars="200"/>
        <w:textAlignment w:val="auto"/>
        <w:rPr>
          <w:szCs w:val="21"/>
        </w:rPr>
      </w:pPr>
      <w:r>
        <w:rPr>
          <w:rFonts w:hint="eastAsia"/>
          <w:szCs w:val="21"/>
        </w:rPr>
        <w:t>14.1　承包商应以业主和承包商的共同名义，以适当的数额和免赔额对自开工之日起至缺陷责任期结束之日止的合同履行过程中发生的工程、设施、材料、施工机械、财产（除上述财产外）的损失或损害，以及人员伤亡等风险提供保险。为满足本条款要求，承包商应提供下列保险，保险的金额和免赔额应使业主感到满意：</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）工程和承包商设备保险；</w:t>
      </w:r>
    </w:p>
    <w:p>
      <w:pPr>
        <w:spacing w:before="120" w:after="120" w:line="240" w:lineRule="atLeast"/>
        <w:ind w:left="936" w:hanging="576"/>
        <w:jc w:val="left"/>
        <w:textAlignment w:val="auto"/>
        <w:rPr>
          <w:szCs w:val="21"/>
        </w:rPr>
      </w:pPr>
      <w:r>
        <w:rPr>
          <w:rFonts w:hint="eastAsia"/>
          <w:szCs w:val="21"/>
        </w:rPr>
        <w:t>（2）人员伤亡和财产损失保险；</w:t>
      </w:r>
    </w:p>
    <w:p>
      <w:pPr>
        <w:spacing w:before="120" w:after="120" w:line="240" w:lineRule="atLeast"/>
        <w:ind w:left="936" w:hanging="576"/>
        <w:jc w:val="left"/>
        <w:textAlignment w:val="auto"/>
        <w:rPr>
          <w:szCs w:val="21"/>
        </w:rPr>
      </w:pPr>
      <w:r>
        <w:rPr>
          <w:rFonts w:hint="eastAsia"/>
          <w:szCs w:val="21"/>
        </w:rPr>
        <w:t>（3）承包商雇佣人员保险；以及</w:t>
      </w:r>
    </w:p>
    <w:p>
      <w:pPr>
        <w:spacing w:before="120" w:after="120" w:line="240" w:lineRule="atLeast"/>
        <w:ind w:left="936" w:hanging="576"/>
        <w:jc w:val="left"/>
        <w:textAlignment w:val="auto"/>
        <w:rPr>
          <w:szCs w:val="21"/>
        </w:rPr>
      </w:pPr>
      <w:r>
        <w:rPr>
          <w:rFonts w:hint="eastAsia"/>
          <w:szCs w:val="21"/>
        </w:rPr>
        <w:t>（4）</w:t>
      </w:r>
      <w:r>
        <w:rPr>
          <w:b/>
          <w:bCs/>
          <w:szCs w:val="21"/>
        </w:rPr>
        <w:t>特殊合同条款</w:t>
      </w:r>
      <w:r>
        <w:rPr>
          <w:rFonts w:hint="eastAsia"/>
          <w:szCs w:val="21"/>
        </w:rPr>
        <w:t>中规定的其它险种。</w:t>
      </w:r>
    </w:p>
    <w:p>
      <w:pPr>
        <w:suppressAutoHyphens/>
        <w:spacing w:before="120" w:after="120"/>
        <w:ind w:firstLine="420" w:firstLineChars="200"/>
        <w:textAlignment w:val="auto"/>
        <w:rPr>
          <w:szCs w:val="21"/>
        </w:rPr>
      </w:pPr>
      <w:r>
        <w:rPr>
          <w:rFonts w:hint="eastAsia"/>
          <w:szCs w:val="21"/>
        </w:rPr>
        <w:t>14.2　在开工日期十四（14）天之前，承包商应向项目监理提交保险单和保险凭证以取得项目监理的批准。所有保险均</w:t>
      </w:r>
      <w:r>
        <w:rPr>
          <w:rFonts w:hint="eastAsia" w:cs="宋体"/>
          <w:szCs w:val="21"/>
        </w:rPr>
        <w:t>应以</w:t>
      </w:r>
      <w:r>
        <w:rPr>
          <w:rFonts w:hint="eastAsia"/>
          <w:szCs w:val="21"/>
        </w:rPr>
        <w:t>人民币对所发生的损失或损害提供赔偿。</w:t>
      </w:r>
    </w:p>
    <w:p>
      <w:pPr>
        <w:suppressAutoHyphens/>
        <w:spacing w:before="120" w:after="120"/>
        <w:ind w:firstLine="420" w:firstLineChars="200"/>
        <w:textAlignment w:val="auto"/>
        <w:rPr>
          <w:szCs w:val="21"/>
        </w:rPr>
      </w:pPr>
      <w:r>
        <w:rPr>
          <w:rFonts w:hint="eastAsia"/>
          <w:szCs w:val="21"/>
        </w:rPr>
        <w:t>14.3　如果承包商未能提供所要求的保险单和保险凭证，业主可以办理本应由承包商提供的保险，并从对承包商的应付款项中扣回业主所支付的保险费；如果没有应付款额，则已支付的保险费将成为承包商的到期欠款。</w:t>
      </w:r>
    </w:p>
    <w:p>
      <w:pPr>
        <w:suppressAutoHyphens/>
        <w:spacing w:before="120" w:after="120"/>
        <w:ind w:firstLine="420" w:firstLineChars="200"/>
        <w:textAlignment w:val="auto"/>
        <w:rPr>
          <w:szCs w:val="21"/>
        </w:rPr>
      </w:pPr>
      <w:r>
        <w:rPr>
          <w:rFonts w:hint="eastAsia"/>
          <w:szCs w:val="21"/>
        </w:rPr>
        <w:t>14.4　未经项目监理批准不得改变保险条款。</w:t>
      </w:r>
    </w:p>
    <w:p>
      <w:pPr>
        <w:suppressAutoHyphens/>
        <w:spacing w:before="120" w:after="120"/>
        <w:ind w:firstLine="420" w:firstLineChars="200"/>
        <w:textAlignment w:val="auto"/>
        <w:rPr>
          <w:szCs w:val="21"/>
        </w:rPr>
      </w:pPr>
      <w:r>
        <w:rPr>
          <w:rFonts w:hint="eastAsia"/>
          <w:szCs w:val="21"/>
        </w:rPr>
        <w:t>14.5　合同双方须遵守保险条款。</w:t>
      </w:r>
    </w:p>
    <w:p>
      <w:pPr>
        <w:pStyle w:val="5"/>
      </w:pPr>
      <w:bookmarkStart w:id="1587" w:name="_Toc391287370"/>
      <w:bookmarkStart w:id="1588" w:name="_Toc171063168"/>
      <w:bookmarkStart w:id="1589" w:name="_Toc324772020"/>
      <w:bookmarkStart w:id="1590" w:name="_Toc104482502"/>
      <w:r>
        <w:rPr>
          <w:rFonts w:hint="eastAsia"/>
        </w:rPr>
        <w:t>15　现场资料和合同细节</w:t>
      </w:r>
      <w:bookmarkEnd w:id="1587"/>
      <w:bookmarkEnd w:id="1588"/>
      <w:bookmarkEnd w:id="1589"/>
      <w:bookmarkEnd w:id="1590"/>
    </w:p>
    <w:p>
      <w:pPr>
        <w:suppressAutoHyphens/>
        <w:spacing w:before="120" w:after="120"/>
        <w:ind w:firstLine="420" w:firstLineChars="200"/>
        <w:textAlignment w:val="auto"/>
        <w:rPr>
          <w:szCs w:val="21"/>
        </w:rPr>
      </w:pPr>
      <w:r>
        <w:rPr>
          <w:rFonts w:hint="eastAsia"/>
          <w:szCs w:val="21"/>
        </w:rPr>
        <w:t>15.1　承包商被视为已对</w:t>
      </w:r>
      <w:r>
        <w:rPr>
          <w:b/>
          <w:szCs w:val="21"/>
        </w:rPr>
        <w:t>特殊合同条款</w:t>
      </w:r>
      <w:r>
        <w:rPr>
          <w:rFonts w:hint="eastAsia"/>
          <w:szCs w:val="21"/>
        </w:rPr>
        <w:t>中所提及的现场资料进行了审查，并已获得承包商可能得到的任何补充资料。</w:t>
      </w:r>
    </w:p>
    <w:p>
      <w:pPr>
        <w:suppressAutoHyphens/>
        <w:spacing w:before="120" w:after="120"/>
        <w:ind w:firstLine="420" w:firstLineChars="200"/>
        <w:textAlignment w:val="auto"/>
        <w:rPr>
          <w:szCs w:val="21"/>
        </w:rPr>
      </w:pPr>
      <w:r>
        <w:rPr>
          <w:rFonts w:hint="eastAsia"/>
          <w:szCs w:val="21"/>
        </w:rPr>
        <w:t>15.2　承包商应为合同细节保密。在未经业主或项目监理事先书面同意的条件下，承包商不得将合同细节或合同的任何部分在任何交易或技术文件或其它场合公布或披露。如果因履行合同的需要必须进行公布或披露而产生争议时，应提交业主作出最终裁决。</w:t>
      </w:r>
    </w:p>
    <w:p>
      <w:pPr>
        <w:pStyle w:val="5"/>
      </w:pPr>
      <w:bookmarkStart w:id="1591" w:name="_Toc171063169"/>
      <w:bookmarkStart w:id="1592" w:name="_Toc104482503"/>
      <w:bookmarkStart w:id="1593" w:name="_Toc324772021"/>
      <w:bookmarkStart w:id="1594" w:name="_Toc391287371"/>
      <w:r>
        <w:rPr>
          <w:rFonts w:hint="eastAsia"/>
        </w:rPr>
        <w:t>16　承包商实施工程</w:t>
      </w:r>
      <w:bookmarkEnd w:id="1591"/>
      <w:bookmarkEnd w:id="1592"/>
      <w:bookmarkEnd w:id="1593"/>
      <w:bookmarkEnd w:id="1594"/>
    </w:p>
    <w:p>
      <w:pPr>
        <w:suppressAutoHyphens/>
        <w:spacing w:before="120" w:after="120"/>
        <w:ind w:firstLine="420" w:firstLineChars="200"/>
        <w:textAlignment w:val="auto"/>
        <w:rPr>
          <w:szCs w:val="21"/>
        </w:rPr>
      </w:pPr>
      <w:r>
        <w:rPr>
          <w:rFonts w:hint="eastAsia"/>
          <w:szCs w:val="21"/>
        </w:rPr>
        <w:t>16.1　承包商应按技术规范和</w:t>
      </w:r>
      <w:r>
        <w:rPr>
          <w:rFonts w:hint="eastAsia" w:cs="宋体"/>
          <w:szCs w:val="21"/>
        </w:rPr>
        <w:t>图纸</w:t>
      </w:r>
      <w:r>
        <w:rPr>
          <w:rFonts w:hint="eastAsia"/>
          <w:szCs w:val="21"/>
        </w:rPr>
        <w:t>的要求进行本工程的施工和安装。</w:t>
      </w:r>
    </w:p>
    <w:p>
      <w:pPr>
        <w:pStyle w:val="5"/>
      </w:pPr>
      <w:bookmarkStart w:id="1595" w:name="_Toc171063170"/>
      <w:bookmarkStart w:id="1596" w:name="_Toc324772022"/>
      <w:bookmarkStart w:id="1597" w:name="_Toc104482504"/>
      <w:bookmarkStart w:id="1598" w:name="_Toc391287372"/>
      <w:r>
        <w:rPr>
          <w:rFonts w:hint="eastAsia"/>
        </w:rPr>
        <w:t>17　按预定完工日期完成工程</w:t>
      </w:r>
      <w:bookmarkEnd w:id="1595"/>
      <w:bookmarkEnd w:id="1596"/>
      <w:bookmarkEnd w:id="1597"/>
      <w:bookmarkEnd w:id="1598"/>
    </w:p>
    <w:p>
      <w:pPr>
        <w:suppressAutoHyphens/>
        <w:spacing w:before="120" w:after="120"/>
        <w:ind w:firstLine="420" w:firstLineChars="200"/>
        <w:textAlignment w:val="auto"/>
        <w:rPr>
          <w:szCs w:val="21"/>
        </w:rPr>
      </w:pPr>
      <w:r>
        <w:rPr>
          <w:rFonts w:hint="eastAsia"/>
          <w:szCs w:val="21"/>
        </w:rPr>
        <w:t>17.1　承包商应在规定的开工日开始按其提交并经项目监理批准更新过的进度计划进行施工，并在预计完工日前完成本工程。</w:t>
      </w:r>
    </w:p>
    <w:p>
      <w:pPr>
        <w:pStyle w:val="5"/>
      </w:pPr>
      <w:bookmarkStart w:id="1599" w:name="_Toc324772023"/>
      <w:bookmarkStart w:id="1600" w:name="_Toc171063171"/>
      <w:bookmarkStart w:id="1601" w:name="_Toc104482505"/>
      <w:bookmarkStart w:id="1602" w:name="_Toc391287373"/>
      <w:r>
        <w:rPr>
          <w:rFonts w:hint="eastAsia"/>
        </w:rPr>
        <w:t>18　项目监理的批准</w:t>
      </w:r>
      <w:bookmarkEnd w:id="1599"/>
      <w:bookmarkEnd w:id="1600"/>
      <w:bookmarkEnd w:id="1601"/>
      <w:bookmarkEnd w:id="1602"/>
    </w:p>
    <w:p>
      <w:pPr>
        <w:suppressAutoHyphens/>
        <w:spacing w:before="120" w:after="120"/>
        <w:ind w:right="-72"/>
        <w:textAlignment w:val="auto"/>
        <w:rPr>
          <w:szCs w:val="21"/>
        </w:rPr>
      </w:pPr>
      <w:r>
        <w:rPr>
          <w:rFonts w:hint="eastAsia"/>
          <w:szCs w:val="21"/>
        </w:rPr>
        <w:t>18.1　承包商应将临时工程的图纸和规范提交项目监理审核批准。</w:t>
      </w:r>
    </w:p>
    <w:p>
      <w:pPr>
        <w:suppressAutoHyphens/>
        <w:spacing w:before="120" w:after="120"/>
        <w:ind w:firstLine="420" w:firstLineChars="200"/>
        <w:textAlignment w:val="auto"/>
        <w:rPr>
          <w:szCs w:val="21"/>
        </w:rPr>
      </w:pPr>
      <w:r>
        <w:rPr>
          <w:rFonts w:hint="eastAsia"/>
          <w:szCs w:val="21"/>
        </w:rPr>
        <w:t>18.2　承包商应对临时工程的设计负责。</w:t>
      </w:r>
    </w:p>
    <w:p>
      <w:pPr>
        <w:suppressAutoHyphens/>
        <w:spacing w:before="120" w:after="120"/>
        <w:ind w:firstLine="420" w:firstLineChars="200"/>
        <w:textAlignment w:val="auto"/>
        <w:rPr>
          <w:szCs w:val="21"/>
        </w:rPr>
      </w:pPr>
      <w:r>
        <w:rPr>
          <w:rFonts w:hint="eastAsia"/>
          <w:szCs w:val="21"/>
        </w:rPr>
        <w:t>18.3　项目监理的批准不改变承包商对临时工程的设计所承担的责任。</w:t>
      </w:r>
    </w:p>
    <w:p>
      <w:pPr>
        <w:suppressAutoHyphens/>
        <w:spacing w:before="120" w:after="120"/>
        <w:ind w:firstLine="420" w:firstLineChars="200"/>
        <w:textAlignment w:val="auto"/>
        <w:rPr>
          <w:szCs w:val="21"/>
        </w:rPr>
      </w:pPr>
      <w:r>
        <w:rPr>
          <w:rFonts w:hint="eastAsia"/>
          <w:szCs w:val="21"/>
        </w:rPr>
        <w:t>18.4　承包商应在必要时就其临时工程的设计征得有关第三方的批准。</w:t>
      </w:r>
    </w:p>
    <w:p>
      <w:pPr>
        <w:suppressAutoHyphens/>
        <w:spacing w:before="120" w:after="120"/>
        <w:ind w:firstLine="420" w:firstLineChars="200"/>
        <w:textAlignment w:val="auto"/>
        <w:rPr>
          <w:szCs w:val="21"/>
        </w:rPr>
      </w:pPr>
      <w:r>
        <w:rPr>
          <w:rFonts w:hint="eastAsia"/>
          <w:szCs w:val="21"/>
        </w:rPr>
        <w:t>18.5　承包商为临时工程或</w:t>
      </w:r>
      <w:r>
        <w:rPr>
          <w:rFonts w:hint="eastAsia" w:cs="宋体"/>
          <w:szCs w:val="21"/>
        </w:rPr>
        <w:t>永久</w:t>
      </w:r>
      <w:r>
        <w:rPr>
          <w:rFonts w:hint="eastAsia"/>
          <w:szCs w:val="21"/>
        </w:rPr>
        <w:t>工程所设计的全部图纸，在使用前应获得项目监理的批准。</w:t>
      </w:r>
    </w:p>
    <w:p>
      <w:pPr>
        <w:pStyle w:val="5"/>
      </w:pPr>
      <w:bookmarkStart w:id="1603" w:name="_Toc104482506"/>
      <w:bookmarkStart w:id="1604" w:name="_Toc171063172"/>
      <w:bookmarkStart w:id="1605" w:name="_Toc324772024"/>
      <w:bookmarkStart w:id="1606" w:name="_Toc391287374"/>
      <w:r>
        <w:rPr>
          <w:rFonts w:hint="eastAsia"/>
        </w:rPr>
        <w:t>19　安全和环境保护</w:t>
      </w:r>
      <w:bookmarkEnd w:id="1603"/>
      <w:bookmarkEnd w:id="1604"/>
      <w:bookmarkEnd w:id="1605"/>
      <w:bookmarkEnd w:id="1606"/>
    </w:p>
    <w:p>
      <w:pPr>
        <w:suppressAutoHyphens/>
        <w:spacing w:before="120" w:after="120"/>
        <w:ind w:firstLine="420" w:firstLineChars="200"/>
        <w:textAlignment w:val="auto"/>
        <w:rPr>
          <w:szCs w:val="21"/>
        </w:rPr>
      </w:pPr>
      <w:r>
        <w:rPr>
          <w:rFonts w:hint="eastAsia"/>
          <w:szCs w:val="21"/>
        </w:rPr>
        <w:t>19.1　承包商应对现场全部作业的安全负责。</w:t>
      </w:r>
    </w:p>
    <w:p>
      <w:pPr>
        <w:suppressAutoHyphens/>
        <w:spacing w:before="120" w:after="120"/>
        <w:ind w:firstLine="420" w:firstLineChars="200"/>
        <w:textAlignment w:val="auto"/>
        <w:rPr>
          <w:szCs w:val="21"/>
        </w:rPr>
      </w:pPr>
      <w:r>
        <w:rPr>
          <w:rFonts w:hint="eastAsia"/>
          <w:szCs w:val="21"/>
        </w:rPr>
        <w:t>19.2　承包商应根据有关的</w:t>
      </w:r>
      <w:r>
        <w:rPr>
          <w:rFonts w:hint="eastAsia" w:cs="宋体"/>
          <w:szCs w:val="21"/>
        </w:rPr>
        <w:t>环境保护</w:t>
      </w:r>
      <w:r>
        <w:rPr>
          <w:rFonts w:hint="eastAsia"/>
          <w:szCs w:val="21"/>
        </w:rPr>
        <w:t>法规采取一切合理的措施来保护现场和邻近区域的环境，以避免由于其施工活动或作业所产成的污染、噪声或其它问题，从而对人员或公私财产造成损失或损害。</w:t>
      </w:r>
    </w:p>
    <w:p>
      <w:pPr>
        <w:suppressAutoHyphens/>
        <w:spacing w:before="120" w:after="120"/>
        <w:ind w:firstLine="420" w:firstLineChars="200"/>
        <w:textAlignment w:val="auto"/>
        <w:rPr>
          <w:szCs w:val="21"/>
        </w:rPr>
      </w:pPr>
      <w:r>
        <w:rPr>
          <w:szCs w:val="21"/>
        </w:rPr>
        <w:t xml:space="preserve">19.3 </w:t>
      </w:r>
      <w:r>
        <w:rPr>
          <w:rFonts w:hint="eastAsia"/>
          <w:szCs w:val="21"/>
        </w:rPr>
        <w:t>承包商应向项目监理提交其环境-社会-健康-安全管理策略和实施计划并在该环境-社会-健康-安全管理策略和实施计划，获得批准后实施该策略和计划。</w:t>
      </w:r>
    </w:p>
    <w:p>
      <w:pPr>
        <w:pStyle w:val="5"/>
      </w:pPr>
      <w:bookmarkStart w:id="1607" w:name="_Toc324772025"/>
      <w:bookmarkStart w:id="1608" w:name="_Toc391287375"/>
      <w:bookmarkStart w:id="1609" w:name="_Toc171063173"/>
      <w:bookmarkStart w:id="1610" w:name="_Toc104482507"/>
      <w:r>
        <w:rPr>
          <w:rFonts w:hint="eastAsia"/>
        </w:rPr>
        <w:t>20　现场发现</w:t>
      </w:r>
      <w:bookmarkEnd w:id="1607"/>
      <w:bookmarkEnd w:id="1608"/>
      <w:bookmarkEnd w:id="1609"/>
      <w:bookmarkEnd w:id="1610"/>
    </w:p>
    <w:p>
      <w:pPr>
        <w:suppressAutoHyphens/>
        <w:spacing w:before="120" w:after="120"/>
        <w:ind w:firstLine="420" w:firstLineChars="200"/>
        <w:textAlignment w:val="auto"/>
        <w:rPr>
          <w:szCs w:val="21"/>
        </w:rPr>
      </w:pPr>
      <w:r>
        <w:rPr>
          <w:rFonts w:hint="eastAsia"/>
          <w:szCs w:val="21"/>
        </w:rPr>
        <w:t>20.1　在工程现场意外发现的具有历史意义或重大价值或其它价值的任何物品均为国家的财产。承包商应将其发现立即通知项目</w:t>
      </w:r>
      <w:r>
        <w:rPr>
          <w:rFonts w:hint="eastAsia" w:cs="宋体"/>
          <w:szCs w:val="21"/>
        </w:rPr>
        <w:t>监理，</w:t>
      </w:r>
      <w:r>
        <w:rPr>
          <w:rFonts w:hint="eastAsia"/>
          <w:szCs w:val="21"/>
        </w:rPr>
        <w:t>并执行项目监理有关处理这些发现的指示。</w:t>
      </w:r>
    </w:p>
    <w:p>
      <w:pPr>
        <w:pStyle w:val="5"/>
      </w:pPr>
      <w:bookmarkStart w:id="1611" w:name="_Toc324772026"/>
      <w:bookmarkStart w:id="1612" w:name="_Toc391287376"/>
      <w:bookmarkStart w:id="1613" w:name="_Toc171063174"/>
      <w:bookmarkStart w:id="1614" w:name="_Toc104482508"/>
      <w:r>
        <w:rPr>
          <w:rFonts w:hint="eastAsia"/>
        </w:rPr>
        <w:t>21　现场的占用</w:t>
      </w:r>
      <w:bookmarkEnd w:id="1611"/>
      <w:bookmarkEnd w:id="1612"/>
      <w:bookmarkEnd w:id="1613"/>
      <w:bookmarkEnd w:id="1614"/>
    </w:p>
    <w:p>
      <w:pPr>
        <w:suppressAutoHyphens/>
        <w:spacing w:before="120" w:after="120"/>
        <w:ind w:firstLine="420" w:firstLineChars="200"/>
        <w:textAlignment w:val="auto"/>
        <w:rPr>
          <w:szCs w:val="21"/>
        </w:rPr>
      </w:pPr>
      <w:r>
        <w:rPr>
          <w:rFonts w:hint="eastAsia"/>
          <w:szCs w:val="21"/>
        </w:rPr>
        <w:t>21.1　业主将向承包商提供现场的各个部分。如果业主未能按</w:t>
      </w:r>
      <w:r>
        <w:rPr>
          <w:b/>
          <w:szCs w:val="21"/>
        </w:rPr>
        <w:t>特殊合同条款</w:t>
      </w:r>
      <w:r>
        <w:rPr>
          <w:rFonts w:hint="eastAsia"/>
          <w:szCs w:val="21"/>
        </w:rPr>
        <w:t>中规定的日期提供相应的现场部分，则视为业主延误了与该部分现场相关的施工作业的开始。此种延误应视为补偿事件。</w:t>
      </w:r>
    </w:p>
    <w:p>
      <w:pPr>
        <w:pStyle w:val="5"/>
      </w:pPr>
      <w:bookmarkStart w:id="1615" w:name="_Toc324772027"/>
      <w:bookmarkStart w:id="1616" w:name="_Toc171063175"/>
      <w:bookmarkStart w:id="1617" w:name="_Toc104482509"/>
      <w:bookmarkStart w:id="1618" w:name="_Toc391287377"/>
      <w:r>
        <w:rPr>
          <w:rFonts w:hint="eastAsia"/>
        </w:rPr>
        <w:t>22　进入现场</w:t>
      </w:r>
      <w:bookmarkEnd w:id="1615"/>
      <w:bookmarkEnd w:id="1616"/>
      <w:bookmarkEnd w:id="1617"/>
      <w:bookmarkEnd w:id="1618"/>
    </w:p>
    <w:p>
      <w:pPr>
        <w:suppressAutoHyphens/>
        <w:spacing w:before="120" w:after="120"/>
        <w:ind w:firstLine="420" w:firstLineChars="200"/>
        <w:textAlignment w:val="auto"/>
        <w:rPr>
          <w:szCs w:val="21"/>
        </w:rPr>
      </w:pPr>
      <w:r>
        <w:rPr>
          <w:rFonts w:hint="eastAsia"/>
          <w:szCs w:val="21"/>
        </w:rPr>
        <w:t>22.1　承包商应允许项目监理和项目监理授权的任何人进入现场和与实施本合同有关的任何地点。</w:t>
      </w:r>
    </w:p>
    <w:p>
      <w:pPr>
        <w:pStyle w:val="5"/>
      </w:pPr>
      <w:bookmarkStart w:id="1619" w:name="_Toc104482510"/>
      <w:bookmarkStart w:id="1620" w:name="_Toc324772028"/>
      <w:bookmarkStart w:id="1621" w:name="_Toc391287378"/>
      <w:bookmarkStart w:id="1622" w:name="_Toc171063176"/>
      <w:r>
        <w:rPr>
          <w:rFonts w:hint="eastAsia"/>
        </w:rPr>
        <w:t>23　指示、检查和审计</w:t>
      </w:r>
      <w:bookmarkEnd w:id="1619"/>
      <w:bookmarkEnd w:id="1620"/>
      <w:bookmarkEnd w:id="1621"/>
      <w:bookmarkEnd w:id="1622"/>
    </w:p>
    <w:p>
      <w:pPr>
        <w:suppressAutoHyphens/>
        <w:spacing w:before="120" w:after="120"/>
        <w:ind w:firstLine="420" w:firstLineChars="200"/>
        <w:textAlignment w:val="auto"/>
        <w:rPr>
          <w:szCs w:val="21"/>
        </w:rPr>
      </w:pPr>
      <w:r>
        <w:rPr>
          <w:rFonts w:hint="eastAsia"/>
          <w:szCs w:val="21"/>
        </w:rPr>
        <w:t>23.1　承包商应执行项目监理发出的符合中国适用法律的全部指示。</w:t>
      </w:r>
    </w:p>
    <w:p>
      <w:pPr>
        <w:suppressAutoHyphens/>
        <w:spacing w:before="120" w:after="120"/>
        <w:ind w:firstLine="420" w:firstLineChars="200"/>
        <w:textAlignment w:val="auto"/>
        <w:rPr>
          <w:szCs w:val="21"/>
        </w:rPr>
      </w:pPr>
      <w:r>
        <w:rPr>
          <w:rFonts w:hint="eastAsia"/>
          <w:szCs w:val="21"/>
        </w:rPr>
        <w:t>23.2　承包商应允许亚投行和/或其指定的人员检查现场以及承包商与履行本合同有关的帐户和记录，并保证其分包商或分包咨询顾问也允许亚投行和/或其指定的人员检查现场以及分包商或分包咨询顾问与履行本合同有关的帐户和记录，在亚投行或中国政府有关部门要求时，接受由亚投行或中国政府有关部门指定的审计人员对此类帐户和记录</w:t>
      </w:r>
      <w:r>
        <w:rPr>
          <w:szCs w:val="21"/>
        </w:rPr>
        <w:t>进行审计。在此提请承包商</w:t>
      </w:r>
      <w:r>
        <w:rPr>
          <w:rFonts w:hint="eastAsia"/>
          <w:szCs w:val="21"/>
        </w:rPr>
        <w:t>、分包商以及分包咨询顾问</w:t>
      </w:r>
      <w:r>
        <w:rPr>
          <w:szCs w:val="21"/>
        </w:rPr>
        <w:t>注意本一般合同条款第58.1款</w:t>
      </w:r>
      <w:r>
        <w:rPr>
          <w:rFonts w:hint="eastAsia"/>
          <w:szCs w:val="21"/>
        </w:rPr>
        <w:t>的规定</w:t>
      </w:r>
      <w:r>
        <w:rPr>
          <w:szCs w:val="21"/>
        </w:rPr>
        <w:t>，</w:t>
      </w:r>
      <w:r>
        <w:rPr>
          <w:rFonts w:hint="eastAsia"/>
          <w:szCs w:val="21"/>
        </w:rPr>
        <w:t>除其它规定外，禁止或实质上妨碍亚投行或中国政府有关部门行使本条款规定的检查和审计的任何行为，将会导致本合同的终止。承包商应将与本合同相关的文</w:t>
      </w:r>
      <w:r>
        <w:rPr>
          <w:szCs w:val="21"/>
        </w:rPr>
        <w:t>件和记录</w:t>
      </w:r>
      <w:r>
        <w:rPr>
          <w:rFonts w:hint="eastAsia"/>
          <w:szCs w:val="21"/>
        </w:rPr>
        <w:t>在</w:t>
      </w:r>
      <w:r>
        <w:rPr>
          <w:szCs w:val="21"/>
        </w:rPr>
        <w:t>工程完工后</w:t>
      </w:r>
      <w:r>
        <w:rPr>
          <w:rFonts w:hint="eastAsia"/>
          <w:szCs w:val="21"/>
        </w:rPr>
        <w:t>继续</w:t>
      </w:r>
      <w:r>
        <w:rPr>
          <w:szCs w:val="21"/>
        </w:rPr>
        <w:t>保留3年。承包商</w:t>
      </w:r>
      <w:r>
        <w:rPr>
          <w:rFonts w:hint="eastAsia"/>
          <w:szCs w:val="21"/>
        </w:rPr>
        <w:t>应提供所需的文件，以证明其不存在欺诈、串通、胁迫或腐败等禁止行为，并要求其熟悉本合同的雇员或代理对亚投行或中国政府有关部门就本合同提出的质疑作出答复。</w:t>
      </w:r>
    </w:p>
    <w:p>
      <w:pPr>
        <w:pStyle w:val="5"/>
      </w:pPr>
      <w:bookmarkStart w:id="1623" w:name="_Toc324772029"/>
      <w:bookmarkStart w:id="1624" w:name="_Toc171063177"/>
      <w:bookmarkStart w:id="1625" w:name="_Toc104482511"/>
      <w:bookmarkStart w:id="1626" w:name="_Toc391287379"/>
      <w:r>
        <w:rPr>
          <w:rFonts w:hint="eastAsia"/>
        </w:rPr>
        <w:t>24　调解员的指定</w:t>
      </w:r>
      <w:bookmarkEnd w:id="1623"/>
      <w:bookmarkEnd w:id="1624"/>
      <w:bookmarkEnd w:id="1625"/>
      <w:bookmarkEnd w:id="1626"/>
    </w:p>
    <w:p>
      <w:pPr>
        <w:suppressAutoHyphens/>
        <w:spacing w:before="120" w:after="120"/>
        <w:ind w:firstLine="420" w:firstLineChars="200"/>
        <w:textAlignment w:val="auto"/>
        <w:rPr>
          <w:szCs w:val="21"/>
        </w:rPr>
      </w:pPr>
      <w:r>
        <w:rPr>
          <w:rFonts w:hint="eastAsia"/>
          <w:szCs w:val="21"/>
        </w:rPr>
        <w:t>24.1　</w:t>
      </w:r>
      <w:r>
        <w:rPr>
          <w:rFonts w:hint="eastAsia"/>
          <w:color w:val="000000"/>
          <w:szCs w:val="21"/>
        </w:rPr>
        <w:t>调解员应由承包商和</w:t>
      </w:r>
      <w:r>
        <w:rPr>
          <w:rFonts w:hint="eastAsia" w:cs="宋体"/>
          <w:szCs w:val="21"/>
        </w:rPr>
        <w:t>业主</w:t>
      </w:r>
      <w:r>
        <w:rPr>
          <w:rFonts w:hint="eastAsia"/>
          <w:color w:val="000000"/>
          <w:szCs w:val="21"/>
        </w:rPr>
        <w:t>在业主发出中标通知时共同指定。如果承包商在收到中标通知时不同意指定的调解员，其可要求由</w:t>
      </w:r>
      <w:r>
        <w:rPr>
          <w:b/>
          <w:color w:val="000000"/>
          <w:szCs w:val="21"/>
        </w:rPr>
        <w:t>特殊合同条款</w:t>
      </w:r>
      <w:r>
        <w:rPr>
          <w:rFonts w:hint="eastAsia"/>
          <w:color w:val="000000"/>
          <w:szCs w:val="21"/>
        </w:rPr>
        <w:t>中规定的指派机</w:t>
      </w:r>
      <w:r>
        <w:rPr>
          <w:color w:val="000000"/>
          <w:szCs w:val="21"/>
        </w:rPr>
        <w:t>构在收到</w:t>
      </w:r>
      <w:r>
        <w:rPr>
          <w:rFonts w:hint="eastAsia"/>
          <w:color w:val="000000"/>
          <w:szCs w:val="21"/>
        </w:rPr>
        <w:t>其要求</w:t>
      </w:r>
      <w:r>
        <w:rPr>
          <w:color w:val="000000"/>
          <w:szCs w:val="21"/>
        </w:rPr>
        <w:t>后的14天内指定调解员。</w:t>
      </w:r>
    </w:p>
    <w:p>
      <w:pPr>
        <w:suppressAutoHyphens/>
        <w:spacing w:before="120" w:after="120"/>
        <w:ind w:firstLine="420" w:firstLineChars="200"/>
        <w:textAlignment w:val="auto"/>
        <w:rPr>
          <w:szCs w:val="21"/>
        </w:rPr>
      </w:pPr>
      <w:r>
        <w:rPr>
          <w:rFonts w:hint="eastAsia"/>
          <w:szCs w:val="21"/>
        </w:rPr>
        <w:t>24.2</w:t>
      </w:r>
      <w:r>
        <w:rPr>
          <w:rFonts w:hint="eastAsia"/>
          <w:color w:val="000000"/>
          <w:szCs w:val="21"/>
        </w:rPr>
        <w:t>　如果调解员辞职或去世，或业主与承包商一致认为调解员未能按合同规定发挥作用，应由业主和承包商共同指定新的调解员。如果业主和承包商未能就新调解员的</w:t>
      </w:r>
      <w:r>
        <w:rPr>
          <w:color w:val="000000"/>
          <w:szCs w:val="21"/>
        </w:rPr>
        <w:t>人选在三十</w:t>
      </w:r>
      <w:r>
        <w:rPr>
          <w:rFonts w:hint="eastAsia"/>
          <w:color w:val="000000"/>
          <w:szCs w:val="21"/>
        </w:rPr>
        <w:t>（</w:t>
      </w:r>
      <w:r>
        <w:rPr>
          <w:color w:val="000000"/>
          <w:szCs w:val="21"/>
        </w:rPr>
        <w:t>30</w:t>
      </w:r>
      <w:r>
        <w:rPr>
          <w:rFonts w:hint="eastAsia"/>
          <w:color w:val="000000"/>
          <w:szCs w:val="21"/>
        </w:rPr>
        <w:t>）</w:t>
      </w:r>
      <w:r>
        <w:rPr>
          <w:color w:val="000000"/>
          <w:szCs w:val="21"/>
        </w:rPr>
        <w:t>天内取得一致意见，合同任</w:t>
      </w:r>
      <w:r>
        <w:rPr>
          <w:rFonts w:hint="eastAsia"/>
          <w:color w:val="000000"/>
          <w:szCs w:val="21"/>
        </w:rPr>
        <w:t>何</w:t>
      </w:r>
      <w:r>
        <w:rPr>
          <w:color w:val="000000"/>
          <w:szCs w:val="21"/>
        </w:rPr>
        <w:t>一</w:t>
      </w:r>
      <w:r>
        <w:rPr>
          <w:szCs w:val="21"/>
        </w:rPr>
        <w:t>方</w:t>
      </w:r>
      <w:r>
        <w:rPr>
          <w:rFonts w:hint="eastAsia"/>
          <w:szCs w:val="21"/>
        </w:rPr>
        <w:t>均</w:t>
      </w:r>
      <w:r>
        <w:rPr>
          <w:szCs w:val="21"/>
        </w:rPr>
        <w:t>可</w:t>
      </w:r>
      <w:r>
        <w:rPr>
          <w:rFonts w:hint="eastAsia"/>
          <w:szCs w:val="21"/>
        </w:rPr>
        <w:t>要求</w:t>
      </w:r>
      <w:r>
        <w:rPr>
          <w:szCs w:val="21"/>
        </w:rPr>
        <w:t>由</w:t>
      </w:r>
      <w:r>
        <w:rPr>
          <w:b/>
          <w:szCs w:val="21"/>
        </w:rPr>
        <w:t>特殊合同条款</w:t>
      </w:r>
      <w:r>
        <w:rPr>
          <w:szCs w:val="21"/>
        </w:rPr>
        <w:t>中规定的指派机构在接到</w:t>
      </w:r>
      <w:r>
        <w:rPr>
          <w:rFonts w:hint="eastAsia"/>
          <w:szCs w:val="21"/>
        </w:rPr>
        <w:t>其要求</w:t>
      </w:r>
      <w:r>
        <w:rPr>
          <w:szCs w:val="21"/>
        </w:rPr>
        <w:t>后的十四</w:t>
      </w:r>
      <w:r>
        <w:rPr>
          <w:rFonts w:hint="eastAsia"/>
          <w:szCs w:val="21"/>
        </w:rPr>
        <w:t>（</w:t>
      </w:r>
      <w:r>
        <w:rPr>
          <w:szCs w:val="21"/>
        </w:rPr>
        <w:t>14</w:t>
      </w:r>
      <w:r>
        <w:rPr>
          <w:rFonts w:hint="eastAsia"/>
          <w:szCs w:val="21"/>
        </w:rPr>
        <w:t>）</w:t>
      </w:r>
      <w:r>
        <w:rPr>
          <w:szCs w:val="21"/>
        </w:rPr>
        <w:t>天</w:t>
      </w:r>
      <w:r>
        <w:rPr>
          <w:rFonts w:hint="eastAsia"/>
          <w:szCs w:val="21"/>
        </w:rPr>
        <w:t>内指定新的调解员。</w:t>
      </w:r>
    </w:p>
    <w:p>
      <w:pPr>
        <w:pStyle w:val="5"/>
      </w:pPr>
      <w:bookmarkStart w:id="1627" w:name="_Toc171063178"/>
      <w:bookmarkStart w:id="1628" w:name="_Toc391287380"/>
      <w:bookmarkStart w:id="1629" w:name="_Toc324772030"/>
      <w:bookmarkStart w:id="1630" w:name="_Toc104482512"/>
      <w:r>
        <w:rPr>
          <w:rFonts w:hint="eastAsia"/>
        </w:rPr>
        <w:t>25　争端的解决程序</w:t>
      </w:r>
      <w:bookmarkEnd w:id="1627"/>
      <w:bookmarkEnd w:id="1628"/>
      <w:bookmarkEnd w:id="1629"/>
      <w:bookmarkEnd w:id="1630"/>
    </w:p>
    <w:p>
      <w:pPr>
        <w:suppressAutoHyphens/>
        <w:spacing w:before="120" w:after="120"/>
        <w:ind w:firstLine="420" w:firstLineChars="200"/>
        <w:textAlignment w:val="auto"/>
        <w:rPr>
          <w:szCs w:val="21"/>
        </w:rPr>
      </w:pPr>
      <w:r>
        <w:rPr>
          <w:rFonts w:hint="eastAsia"/>
          <w:szCs w:val="21"/>
        </w:rPr>
        <w:t>25.1</w:t>
      </w:r>
      <w:r>
        <w:rPr>
          <w:rFonts w:hint="eastAsia"/>
          <w:color w:val="000000"/>
          <w:szCs w:val="21"/>
        </w:rPr>
        <w:t>　如果承包商认为项目监理作出的决定超出了合同赋予项目监</w:t>
      </w:r>
      <w:r>
        <w:rPr>
          <w:color w:val="000000"/>
          <w:szCs w:val="21"/>
        </w:rPr>
        <w:t>理的权力或所做决定有误，其</w:t>
      </w:r>
      <w:r>
        <w:rPr>
          <w:rFonts w:hint="eastAsia"/>
          <w:color w:val="000000"/>
          <w:szCs w:val="21"/>
        </w:rPr>
        <w:t>应</w:t>
      </w:r>
      <w:r>
        <w:rPr>
          <w:color w:val="000000"/>
          <w:szCs w:val="21"/>
        </w:rPr>
        <w:t>在收到项目监理所作决定后的十四</w:t>
      </w:r>
      <w:r>
        <w:rPr>
          <w:rFonts w:hint="eastAsia"/>
          <w:color w:val="000000"/>
          <w:szCs w:val="21"/>
        </w:rPr>
        <w:t>（</w:t>
      </w:r>
      <w:r>
        <w:rPr>
          <w:color w:val="000000"/>
          <w:szCs w:val="21"/>
        </w:rPr>
        <w:t>14</w:t>
      </w:r>
      <w:r>
        <w:rPr>
          <w:rFonts w:hint="eastAsia"/>
          <w:color w:val="000000"/>
          <w:szCs w:val="21"/>
        </w:rPr>
        <w:t>）</w:t>
      </w:r>
      <w:r>
        <w:rPr>
          <w:color w:val="000000"/>
          <w:szCs w:val="21"/>
        </w:rPr>
        <w:t>天内</w:t>
      </w:r>
      <w:r>
        <w:rPr>
          <w:rFonts w:hint="eastAsia"/>
          <w:color w:val="000000"/>
          <w:szCs w:val="21"/>
        </w:rPr>
        <w:t>向</w:t>
      </w:r>
      <w:r>
        <w:rPr>
          <w:color w:val="000000"/>
          <w:szCs w:val="21"/>
        </w:rPr>
        <w:t>调解员</w:t>
      </w:r>
      <w:r>
        <w:rPr>
          <w:rFonts w:hint="eastAsia"/>
          <w:color w:val="000000"/>
          <w:szCs w:val="21"/>
        </w:rPr>
        <w:t>提交有关</w:t>
      </w:r>
      <w:r>
        <w:rPr>
          <w:color w:val="000000"/>
          <w:szCs w:val="21"/>
        </w:rPr>
        <w:t>该</w:t>
      </w:r>
      <w:r>
        <w:rPr>
          <w:rFonts w:hint="eastAsia"/>
          <w:color w:val="000000"/>
          <w:szCs w:val="21"/>
        </w:rPr>
        <w:t>决定的争端通知</w:t>
      </w:r>
      <w:r>
        <w:rPr>
          <w:color w:val="000000"/>
          <w:szCs w:val="21"/>
        </w:rPr>
        <w:t>。</w:t>
      </w:r>
    </w:p>
    <w:p>
      <w:pPr>
        <w:suppressAutoHyphens/>
        <w:spacing w:before="120" w:after="120"/>
        <w:ind w:firstLine="420" w:firstLineChars="200"/>
        <w:textAlignment w:val="auto"/>
        <w:rPr>
          <w:szCs w:val="21"/>
        </w:rPr>
      </w:pPr>
      <w:r>
        <w:rPr>
          <w:szCs w:val="21"/>
        </w:rPr>
        <w:t>25.2　调解员</w:t>
      </w:r>
      <w:r>
        <w:rPr>
          <w:rFonts w:hint="eastAsia"/>
          <w:szCs w:val="21"/>
        </w:rPr>
        <w:t>应</w:t>
      </w:r>
      <w:r>
        <w:rPr>
          <w:szCs w:val="21"/>
        </w:rPr>
        <w:t>在收到有关争端通知后二十八</w:t>
      </w:r>
      <w:r>
        <w:rPr>
          <w:rFonts w:hint="eastAsia"/>
          <w:szCs w:val="21"/>
        </w:rPr>
        <w:t>（</w:t>
      </w:r>
      <w:r>
        <w:rPr>
          <w:szCs w:val="21"/>
        </w:rPr>
        <w:t>28</w:t>
      </w:r>
      <w:r>
        <w:rPr>
          <w:rFonts w:hint="eastAsia"/>
          <w:szCs w:val="21"/>
        </w:rPr>
        <w:t>）</w:t>
      </w:r>
      <w:r>
        <w:rPr>
          <w:szCs w:val="21"/>
        </w:rPr>
        <w:t>天内作出书面决定。</w:t>
      </w:r>
    </w:p>
    <w:p>
      <w:pPr>
        <w:suppressAutoHyphens/>
        <w:spacing w:before="120" w:after="120"/>
        <w:ind w:firstLine="420" w:firstLineChars="200"/>
        <w:textAlignment w:val="auto"/>
        <w:rPr>
          <w:szCs w:val="21"/>
        </w:rPr>
      </w:pPr>
      <w:r>
        <w:rPr>
          <w:szCs w:val="21"/>
        </w:rPr>
        <w:t>25.3　不论调解员所作</w:t>
      </w:r>
      <w:r>
        <w:rPr>
          <w:rFonts w:hint="eastAsia"/>
          <w:szCs w:val="21"/>
        </w:rPr>
        <w:t>的</w:t>
      </w:r>
      <w:r>
        <w:rPr>
          <w:szCs w:val="21"/>
        </w:rPr>
        <w:t>决定如何，均须按照</w:t>
      </w:r>
      <w:r>
        <w:rPr>
          <w:b/>
          <w:szCs w:val="21"/>
        </w:rPr>
        <w:t>特殊合同条款</w:t>
      </w:r>
      <w:r>
        <w:rPr>
          <w:szCs w:val="21"/>
        </w:rPr>
        <w:t>中规定的费率和可报销费用向调解员支付报酬，上述费用应由业主和承包商平均分摊。合同的任</w:t>
      </w:r>
      <w:r>
        <w:rPr>
          <w:rFonts w:hint="eastAsia"/>
          <w:szCs w:val="21"/>
        </w:rPr>
        <w:t>何</w:t>
      </w:r>
      <w:r>
        <w:rPr>
          <w:szCs w:val="21"/>
        </w:rPr>
        <w:t>一方可在收到调解员书面决定后二十八</w:t>
      </w:r>
      <w:r>
        <w:rPr>
          <w:rFonts w:hint="eastAsia"/>
          <w:szCs w:val="21"/>
        </w:rPr>
        <w:t>（</w:t>
      </w:r>
      <w:r>
        <w:rPr>
          <w:szCs w:val="21"/>
        </w:rPr>
        <w:t>28</w:t>
      </w:r>
      <w:r>
        <w:rPr>
          <w:rFonts w:hint="eastAsia"/>
          <w:szCs w:val="21"/>
        </w:rPr>
        <w:t>）</w:t>
      </w:r>
      <w:r>
        <w:rPr>
          <w:szCs w:val="21"/>
        </w:rPr>
        <w:t>天内，将该决定提交仲裁</w:t>
      </w:r>
      <w:r>
        <w:rPr>
          <w:rFonts w:hint="eastAsia"/>
          <w:szCs w:val="21"/>
        </w:rPr>
        <w:t>裁决</w:t>
      </w:r>
      <w:r>
        <w:rPr>
          <w:szCs w:val="21"/>
        </w:rPr>
        <w:t>。如果任何一方均未在上述二十八</w:t>
      </w:r>
      <w:r>
        <w:rPr>
          <w:rFonts w:hint="eastAsia"/>
          <w:szCs w:val="21"/>
        </w:rPr>
        <w:t>（</w:t>
      </w:r>
      <w:r>
        <w:rPr>
          <w:szCs w:val="21"/>
        </w:rPr>
        <w:t>28</w:t>
      </w:r>
      <w:r>
        <w:rPr>
          <w:rFonts w:hint="eastAsia"/>
          <w:szCs w:val="21"/>
        </w:rPr>
        <w:t>）</w:t>
      </w:r>
      <w:r>
        <w:rPr>
          <w:szCs w:val="21"/>
        </w:rPr>
        <w:t>天内将争端提交仲裁，则调解员所作的决定将成为最终决定，并对合同各方具有约束力。</w:t>
      </w:r>
    </w:p>
    <w:p>
      <w:pPr>
        <w:suppressAutoHyphens/>
        <w:spacing w:before="120" w:after="120"/>
        <w:ind w:firstLine="420" w:firstLineChars="200"/>
        <w:textAlignment w:val="auto"/>
        <w:rPr>
          <w:szCs w:val="21"/>
        </w:rPr>
      </w:pPr>
      <w:r>
        <w:rPr>
          <w:szCs w:val="21"/>
        </w:rPr>
        <w:t>25.4　</w:t>
      </w:r>
      <w:r>
        <w:rPr>
          <w:rFonts w:hint="eastAsia"/>
          <w:szCs w:val="21"/>
        </w:rPr>
        <w:t>仲裁应根据</w:t>
      </w:r>
      <w:r>
        <w:rPr>
          <w:b/>
          <w:szCs w:val="21"/>
        </w:rPr>
        <w:t>特殊合同条款</w:t>
      </w:r>
      <w:r>
        <w:rPr>
          <w:rFonts w:hint="eastAsia"/>
          <w:szCs w:val="21"/>
        </w:rPr>
        <w:t>中规定的仲裁</w:t>
      </w:r>
      <w:r>
        <w:rPr>
          <w:rFonts w:hint="eastAsia" w:cs="宋体"/>
          <w:szCs w:val="21"/>
        </w:rPr>
        <w:t>机构</w:t>
      </w:r>
      <w:r>
        <w:rPr>
          <w:rFonts w:hint="eastAsia"/>
          <w:szCs w:val="21"/>
        </w:rPr>
        <w:t>所公布的程序进行。</w:t>
      </w:r>
    </w:p>
    <w:p>
      <w:pPr>
        <w:pStyle w:val="4"/>
      </w:pPr>
      <w:bookmarkStart w:id="1631" w:name="_Toc110272073"/>
      <w:bookmarkStart w:id="1632" w:name="_Toc110265203"/>
      <w:bookmarkStart w:id="1633" w:name="_Toc110264750"/>
      <w:bookmarkStart w:id="1634" w:name="_Toc110264967"/>
      <w:bookmarkStart w:id="1635" w:name="_Toc110264803"/>
      <w:bookmarkStart w:id="1636" w:name="_Toc324772031"/>
      <w:bookmarkStart w:id="1637" w:name="_Toc171063179"/>
      <w:bookmarkStart w:id="1638" w:name="_Toc110268539"/>
      <w:bookmarkStart w:id="1639" w:name="_Toc104482513"/>
      <w:bookmarkStart w:id="1640" w:name="_Toc110264504"/>
      <w:bookmarkStart w:id="1641" w:name="_Toc391287381"/>
      <w:r>
        <w:rPr>
          <w:rFonts w:hint="eastAsia"/>
        </w:rPr>
        <w:t>第二节　工期管理</w:t>
      </w:r>
      <w:bookmarkEnd w:id="1631"/>
      <w:bookmarkEnd w:id="1632"/>
      <w:bookmarkEnd w:id="1633"/>
      <w:bookmarkEnd w:id="1634"/>
      <w:bookmarkEnd w:id="1635"/>
      <w:bookmarkEnd w:id="1636"/>
      <w:bookmarkEnd w:id="1637"/>
      <w:bookmarkEnd w:id="1638"/>
      <w:bookmarkEnd w:id="1639"/>
      <w:bookmarkEnd w:id="1640"/>
      <w:bookmarkEnd w:id="1641"/>
    </w:p>
    <w:p>
      <w:pPr>
        <w:pStyle w:val="5"/>
      </w:pPr>
      <w:bookmarkStart w:id="1642" w:name="_Toc104482514"/>
      <w:bookmarkStart w:id="1643" w:name="_Toc391287382"/>
      <w:bookmarkStart w:id="1644" w:name="_Toc324772032"/>
      <w:bookmarkStart w:id="1645" w:name="_Toc171063180"/>
      <w:r>
        <w:rPr>
          <w:rFonts w:hint="eastAsia"/>
        </w:rPr>
        <w:t>26　进度计划</w:t>
      </w:r>
      <w:bookmarkEnd w:id="1642"/>
      <w:bookmarkEnd w:id="1643"/>
      <w:bookmarkEnd w:id="1644"/>
      <w:bookmarkEnd w:id="1645"/>
    </w:p>
    <w:p>
      <w:pPr>
        <w:suppressAutoHyphens/>
        <w:spacing w:before="120" w:after="120"/>
        <w:ind w:firstLine="420" w:firstLineChars="200"/>
        <w:textAlignment w:val="auto"/>
        <w:rPr>
          <w:szCs w:val="21"/>
        </w:rPr>
      </w:pPr>
      <w:r>
        <w:rPr>
          <w:rFonts w:hint="eastAsia"/>
          <w:szCs w:val="21"/>
        </w:rPr>
        <w:t>26.1　在</w:t>
      </w:r>
      <w:r>
        <w:rPr>
          <w:b/>
          <w:szCs w:val="21"/>
        </w:rPr>
        <w:t>特殊合同条款</w:t>
      </w:r>
      <w:r>
        <w:rPr>
          <w:rFonts w:hint="eastAsia"/>
          <w:szCs w:val="21"/>
        </w:rPr>
        <w:t>中规定的时间内或在收到中标通知后，承包商应以项目监理认可的格式向其提交一份详细的施工组织设计以供其审批。该施工组织设计应详细描述承包商就实施工程的所有施工作业所作出的总体施工方案、施工安排、施工工序、作业时间和进度计划。在总价合同中，该施工组织设计所列的施工作业应与单项工程价单的内容相符。</w:t>
      </w:r>
    </w:p>
    <w:p>
      <w:pPr>
        <w:suppressAutoHyphens/>
        <w:spacing w:before="120" w:after="120"/>
        <w:ind w:firstLine="420" w:firstLineChars="200"/>
        <w:textAlignment w:val="auto"/>
        <w:rPr>
          <w:szCs w:val="21"/>
        </w:rPr>
      </w:pPr>
      <w:r>
        <w:rPr>
          <w:rFonts w:hint="eastAsia"/>
          <w:szCs w:val="21"/>
        </w:rPr>
        <w:t>26.2　对进度计划的更新应在经项目监理批准的基线进度计划的基础上进行。更新的进度计划应表明每项施工作业的实际进度和该进度对剩余工程工期安排的影响，包括任何施工工序的变化。</w:t>
      </w:r>
    </w:p>
    <w:p>
      <w:pPr>
        <w:suppressAutoHyphens/>
        <w:spacing w:before="120" w:after="120"/>
        <w:ind w:firstLine="420" w:firstLineChars="200"/>
        <w:textAlignment w:val="auto"/>
        <w:rPr>
          <w:szCs w:val="21"/>
        </w:rPr>
      </w:pPr>
      <w:r>
        <w:rPr>
          <w:rFonts w:hint="eastAsia"/>
          <w:szCs w:val="21"/>
        </w:rPr>
        <w:t>26.3</w:t>
      </w:r>
      <w:r>
        <w:rPr>
          <w:rFonts w:hint="eastAsia"/>
          <w:b/>
          <w:szCs w:val="21"/>
        </w:rPr>
        <w:t>　</w:t>
      </w:r>
      <w:r>
        <w:rPr>
          <w:rFonts w:hint="eastAsia"/>
          <w:szCs w:val="21"/>
        </w:rPr>
        <w:t>在</w:t>
      </w:r>
      <w:r>
        <w:rPr>
          <w:b/>
          <w:szCs w:val="21"/>
        </w:rPr>
        <w:t>特殊合同条款</w:t>
      </w:r>
      <w:r>
        <w:rPr>
          <w:rFonts w:hint="eastAsia"/>
          <w:szCs w:val="21"/>
        </w:rPr>
        <w:t>规定的间隔周期内，承包商应定期向项目监理提交更新的进度计划以供其审批。如果承包商未能在该期限内提交更新的进度计划，项目监理可在下一期的支付证书中扣留</w:t>
      </w:r>
      <w:r>
        <w:rPr>
          <w:b/>
          <w:szCs w:val="21"/>
        </w:rPr>
        <w:t>特殊合同条款</w:t>
      </w:r>
      <w:r>
        <w:rPr>
          <w:rFonts w:hint="eastAsia"/>
          <w:szCs w:val="21"/>
        </w:rPr>
        <w:t>中规定的款项。项目监理可在承包商提交该进度计划后的下一期支付证书中停止扣留此款项。在总价合同中，承包商应在接到项目监理的指令后十四（14）天内提供更新的单项工程价单。</w:t>
      </w:r>
    </w:p>
    <w:p>
      <w:pPr>
        <w:suppressAutoHyphens/>
        <w:spacing w:before="120" w:after="120"/>
        <w:ind w:firstLine="420" w:firstLineChars="200"/>
        <w:textAlignment w:val="auto"/>
        <w:rPr>
          <w:szCs w:val="21"/>
        </w:rPr>
      </w:pPr>
      <w:r>
        <w:rPr>
          <w:rFonts w:hint="eastAsia"/>
          <w:szCs w:val="21"/>
        </w:rPr>
        <w:t>26.4　项目监理对进度计划或更新的进度计划的批准并不改变承包商的义务。承包商可随时修改进度计划并再次提交给项目监理。修改后的进度计划应反映变更和补偿事件的影响。</w:t>
      </w:r>
    </w:p>
    <w:p>
      <w:pPr>
        <w:pStyle w:val="5"/>
      </w:pPr>
      <w:bookmarkStart w:id="1646" w:name="_Toc171063181"/>
      <w:bookmarkStart w:id="1647" w:name="_Toc324772033"/>
      <w:bookmarkStart w:id="1648" w:name="_Toc391287383"/>
      <w:bookmarkStart w:id="1649" w:name="_Toc104482515"/>
      <w:r>
        <w:rPr>
          <w:rFonts w:hint="eastAsia"/>
        </w:rPr>
        <w:t>27　预计完工日期的延长</w:t>
      </w:r>
      <w:bookmarkEnd w:id="1646"/>
      <w:bookmarkEnd w:id="1647"/>
      <w:bookmarkEnd w:id="1648"/>
      <w:bookmarkEnd w:id="1649"/>
    </w:p>
    <w:p>
      <w:pPr>
        <w:suppressAutoHyphens/>
        <w:spacing w:before="120" w:after="120"/>
        <w:ind w:firstLine="420" w:firstLineChars="200"/>
        <w:textAlignment w:val="auto"/>
        <w:rPr>
          <w:szCs w:val="21"/>
        </w:rPr>
      </w:pPr>
      <w:r>
        <w:rPr>
          <w:rFonts w:hint="eastAsia"/>
          <w:szCs w:val="21"/>
        </w:rPr>
        <w:t>27.1　如果发生了补偿事件或收到了变更指示，承包商在不采取措施加快剩余工程进度的情况下无法在预计完工日前完成工程，而加快进度又会使其增加成本，则项目监理可顺延预计完工日。</w:t>
      </w:r>
    </w:p>
    <w:p>
      <w:pPr>
        <w:suppressAutoHyphens/>
        <w:spacing w:before="120" w:after="120"/>
        <w:ind w:firstLine="420" w:firstLineChars="200"/>
        <w:textAlignment w:val="auto"/>
        <w:rPr>
          <w:szCs w:val="21"/>
        </w:rPr>
      </w:pPr>
      <w:r>
        <w:rPr>
          <w:rFonts w:hint="eastAsia"/>
          <w:szCs w:val="21"/>
        </w:rPr>
        <w:t>27.2　在承包商就补偿事件或变更的影响提出延期要求，并提交了充分的支持文件后，项目监理应在二十一（</w:t>
      </w:r>
      <w:r>
        <w:rPr>
          <w:szCs w:val="21"/>
        </w:rPr>
        <w:t>21</w:t>
      </w:r>
      <w:r>
        <w:rPr>
          <w:rFonts w:hint="eastAsia"/>
          <w:szCs w:val="21"/>
        </w:rPr>
        <w:t>）天内决定是否予以延期和延长的期限。如果承包商对可能出现的延期未曾提前通报或者在处理延误时未予以应有的合作，在确定新的预计完工日时对承包商因此种失误造成的延误不予考虑。</w:t>
      </w:r>
    </w:p>
    <w:p>
      <w:pPr>
        <w:pStyle w:val="5"/>
      </w:pPr>
      <w:bookmarkStart w:id="1650" w:name="_Toc391287384"/>
      <w:bookmarkStart w:id="1651" w:name="_Toc324772034"/>
      <w:bookmarkStart w:id="1652" w:name="_Toc104482516"/>
      <w:bookmarkStart w:id="1653" w:name="_Toc171063182"/>
      <w:r>
        <w:rPr>
          <w:rFonts w:hint="eastAsia"/>
        </w:rPr>
        <w:t>28　加快进度</w:t>
      </w:r>
      <w:bookmarkEnd w:id="1650"/>
      <w:bookmarkEnd w:id="1651"/>
      <w:bookmarkEnd w:id="1652"/>
      <w:bookmarkEnd w:id="1653"/>
    </w:p>
    <w:p>
      <w:pPr>
        <w:suppressAutoHyphens/>
        <w:spacing w:before="120" w:after="120"/>
        <w:ind w:firstLine="420" w:firstLineChars="200"/>
        <w:textAlignment w:val="auto"/>
        <w:rPr>
          <w:szCs w:val="21"/>
        </w:rPr>
      </w:pPr>
      <w:r>
        <w:rPr>
          <w:rFonts w:hint="eastAsia"/>
          <w:szCs w:val="21"/>
        </w:rPr>
        <w:t>28.1　如果业主希望承包商在原定预计完工日之前完成工程，项目监理应敦促承包商提交其为加快进度而编制的报价书。如果业主接受了该报价书，预计完工日须将在业主和承包商双方确认后作相应的调整。</w:t>
      </w:r>
    </w:p>
    <w:p>
      <w:pPr>
        <w:suppressAutoHyphens/>
        <w:spacing w:before="120" w:after="120"/>
        <w:ind w:firstLine="420" w:firstLineChars="200"/>
        <w:textAlignment w:val="auto"/>
        <w:rPr>
          <w:szCs w:val="21"/>
        </w:rPr>
      </w:pPr>
      <w:r>
        <w:rPr>
          <w:rFonts w:hint="eastAsia"/>
          <w:szCs w:val="21"/>
        </w:rPr>
        <w:t>28.2　如果业主接受了承包商就加快进度而提交的报价书，该报价将计入合同价，并作为变更处理。</w:t>
      </w:r>
    </w:p>
    <w:p>
      <w:pPr>
        <w:pStyle w:val="5"/>
      </w:pPr>
      <w:bookmarkStart w:id="1654" w:name="_Toc104482517"/>
      <w:bookmarkStart w:id="1655" w:name="_Toc391287385"/>
      <w:bookmarkStart w:id="1656" w:name="_Toc171063183"/>
      <w:bookmarkStart w:id="1657" w:name="_Toc324772035"/>
      <w:r>
        <w:rPr>
          <w:rFonts w:hint="eastAsia"/>
        </w:rPr>
        <w:t>29　项目监理命令延缓</w:t>
      </w:r>
      <w:bookmarkEnd w:id="1654"/>
      <w:bookmarkEnd w:id="1655"/>
      <w:bookmarkEnd w:id="1656"/>
      <w:bookmarkEnd w:id="1657"/>
    </w:p>
    <w:p>
      <w:pPr>
        <w:suppressAutoHyphens/>
        <w:spacing w:before="120" w:after="120"/>
        <w:ind w:firstLine="420" w:firstLineChars="200"/>
        <w:textAlignment w:val="auto"/>
        <w:rPr>
          <w:szCs w:val="21"/>
        </w:rPr>
      </w:pPr>
      <w:r>
        <w:rPr>
          <w:rFonts w:hint="eastAsia"/>
          <w:szCs w:val="21"/>
        </w:rPr>
        <w:t>29.1　项目监理可指示承包商延缓已开始工程的任一施工作业或放慢其进度。</w:t>
      </w:r>
    </w:p>
    <w:p>
      <w:pPr>
        <w:pStyle w:val="5"/>
      </w:pPr>
      <w:bookmarkStart w:id="1658" w:name="_Toc324772036"/>
      <w:bookmarkStart w:id="1659" w:name="_Toc104482518"/>
      <w:bookmarkStart w:id="1660" w:name="_Toc391287386"/>
      <w:bookmarkStart w:id="1661" w:name="_Toc171063184"/>
      <w:r>
        <w:rPr>
          <w:rFonts w:hint="eastAsia"/>
        </w:rPr>
        <w:t>30　管理会议</w:t>
      </w:r>
      <w:bookmarkEnd w:id="1658"/>
      <w:bookmarkEnd w:id="1659"/>
      <w:bookmarkEnd w:id="1660"/>
      <w:bookmarkEnd w:id="1661"/>
    </w:p>
    <w:p>
      <w:pPr>
        <w:suppressAutoHyphens/>
        <w:spacing w:before="120" w:after="120"/>
        <w:ind w:firstLine="420" w:firstLineChars="200"/>
        <w:textAlignment w:val="auto"/>
        <w:rPr>
          <w:szCs w:val="21"/>
        </w:rPr>
      </w:pPr>
      <w:r>
        <w:rPr>
          <w:rFonts w:hint="eastAsia"/>
          <w:szCs w:val="21"/>
        </w:rPr>
        <w:t>30.1　项目监理或承包商均可要求另一方参加管理会议。管理会议旨在审查剩余工程的进度计划并处理根据“提前通报”程序所提出的问题。</w:t>
      </w:r>
    </w:p>
    <w:p>
      <w:pPr>
        <w:suppressAutoHyphens/>
        <w:spacing w:before="120" w:after="120"/>
        <w:ind w:firstLine="420" w:firstLineChars="200"/>
        <w:textAlignment w:val="auto"/>
        <w:rPr>
          <w:szCs w:val="21"/>
        </w:rPr>
      </w:pPr>
      <w:r>
        <w:rPr>
          <w:rFonts w:hint="eastAsia"/>
          <w:szCs w:val="21"/>
        </w:rPr>
        <w:t>30.2　项目监理应准备管理会议纪要，并将纪要的副本提供给参加会议的各方和业主。项目监理应在会议期间或会后决定合同各方对拟采取行动的责任分工，并以书面形式分发给参加管理会议的各方。</w:t>
      </w:r>
    </w:p>
    <w:p>
      <w:pPr>
        <w:pStyle w:val="5"/>
      </w:pPr>
      <w:bookmarkStart w:id="1662" w:name="_Toc104482519"/>
      <w:bookmarkStart w:id="1663" w:name="_Toc391287387"/>
      <w:bookmarkStart w:id="1664" w:name="_Toc324772037"/>
      <w:bookmarkStart w:id="1665" w:name="_Toc171063185"/>
      <w:r>
        <w:rPr>
          <w:rFonts w:hint="eastAsia"/>
        </w:rPr>
        <w:t>31　提前通报</w:t>
      </w:r>
      <w:bookmarkEnd w:id="1662"/>
      <w:bookmarkEnd w:id="1663"/>
      <w:bookmarkEnd w:id="1664"/>
      <w:bookmarkEnd w:id="1665"/>
    </w:p>
    <w:p>
      <w:pPr>
        <w:suppressAutoHyphens/>
        <w:spacing w:before="120" w:after="120"/>
        <w:ind w:firstLine="420" w:firstLineChars="200"/>
        <w:textAlignment w:val="auto"/>
        <w:rPr>
          <w:szCs w:val="21"/>
        </w:rPr>
      </w:pPr>
      <w:r>
        <w:rPr>
          <w:szCs w:val="21"/>
        </w:rPr>
        <w:t>31.1</w:t>
      </w:r>
      <w:r>
        <w:rPr>
          <w:rFonts w:hint="eastAsia"/>
          <w:szCs w:val="21"/>
        </w:rPr>
        <w:t>　对于可能会对工程质量产生不利影响、增加合同价或延误工程实施的具体事件或情形，承包商应及早向项目监理进行通报。项目监理可要求承包商对将要发生的事件或情形对合同价和预计完工日的影响做出评估。承包商应尽快提供这些评估。</w:t>
      </w:r>
    </w:p>
    <w:p>
      <w:pPr>
        <w:suppressAutoHyphens/>
        <w:spacing w:before="120" w:after="120"/>
        <w:ind w:firstLine="420" w:firstLineChars="200"/>
        <w:textAlignment w:val="auto"/>
        <w:rPr>
          <w:szCs w:val="21"/>
        </w:rPr>
      </w:pPr>
      <w:r>
        <w:rPr>
          <w:szCs w:val="21"/>
        </w:rPr>
        <w:t>31.2　</w:t>
      </w:r>
      <w:r>
        <w:rPr>
          <w:rFonts w:hint="eastAsia"/>
          <w:szCs w:val="21"/>
        </w:rPr>
        <w:t>在项目监理制定和考虑让参与工程实施的各方采取措施来避免和减轻上述事件或情形所造成影响的方案时，承包商应予以配合，并执行项目监理据此发出的指示。</w:t>
      </w:r>
    </w:p>
    <w:p>
      <w:pPr>
        <w:pStyle w:val="4"/>
      </w:pPr>
      <w:bookmarkStart w:id="1666" w:name="_Toc104482520"/>
      <w:bookmarkStart w:id="1667" w:name="_Toc110264505"/>
      <w:bookmarkStart w:id="1668" w:name="_Toc110265204"/>
      <w:bookmarkStart w:id="1669" w:name="_Toc391287388"/>
      <w:bookmarkStart w:id="1670" w:name="_Toc324772038"/>
      <w:bookmarkStart w:id="1671" w:name="_Toc110264968"/>
      <w:bookmarkStart w:id="1672" w:name="_Toc171063186"/>
      <w:bookmarkStart w:id="1673" w:name="_Toc110268540"/>
      <w:bookmarkStart w:id="1674" w:name="_Toc110264804"/>
      <w:bookmarkStart w:id="1675" w:name="_Toc110264751"/>
      <w:bookmarkStart w:id="1676" w:name="_Toc110272074"/>
      <w:r>
        <w:rPr>
          <w:rFonts w:hint="eastAsia"/>
        </w:rPr>
        <w:t>第三节　质量管理</w:t>
      </w:r>
      <w:bookmarkEnd w:id="1666"/>
      <w:bookmarkEnd w:id="1667"/>
      <w:bookmarkEnd w:id="1668"/>
      <w:bookmarkEnd w:id="1669"/>
      <w:bookmarkEnd w:id="1670"/>
      <w:bookmarkEnd w:id="1671"/>
      <w:bookmarkEnd w:id="1672"/>
      <w:bookmarkEnd w:id="1673"/>
      <w:bookmarkEnd w:id="1674"/>
      <w:bookmarkEnd w:id="1675"/>
      <w:bookmarkEnd w:id="1676"/>
    </w:p>
    <w:p>
      <w:pPr>
        <w:pStyle w:val="5"/>
      </w:pPr>
      <w:bookmarkStart w:id="1677" w:name="_Toc104482521"/>
      <w:bookmarkStart w:id="1678" w:name="_Toc391287389"/>
      <w:bookmarkStart w:id="1679" w:name="_Toc324772039"/>
      <w:bookmarkStart w:id="1680" w:name="_Toc171063187"/>
      <w:r>
        <w:t>32</w:t>
      </w:r>
      <w:r>
        <w:rPr>
          <w:rFonts w:hint="eastAsia"/>
        </w:rPr>
        <w:t>　鉴别缺陷</w:t>
      </w:r>
      <w:bookmarkEnd w:id="1677"/>
      <w:bookmarkEnd w:id="1678"/>
      <w:bookmarkEnd w:id="1679"/>
      <w:bookmarkEnd w:id="1680"/>
    </w:p>
    <w:p>
      <w:pPr>
        <w:suppressAutoHyphens/>
        <w:spacing w:before="120" w:after="120"/>
        <w:ind w:firstLine="420" w:firstLineChars="200"/>
        <w:textAlignment w:val="auto"/>
        <w:rPr>
          <w:szCs w:val="21"/>
        </w:rPr>
      </w:pPr>
      <w:r>
        <w:rPr>
          <w:szCs w:val="21"/>
        </w:rPr>
        <w:t>32.1</w:t>
      </w:r>
      <w:r>
        <w:rPr>
          <w:rFonts w:hint="eastAsia"/>
          <w:szCs w:val="21"/>
        </w:rPr>
        <w:t>　项目监理应检查承包商的工作，并将其发现的缺陷通知承包商。项目监理所做的检查不影响承包商的责任。项目监理可指示承包商查找某项缺陷，或对项目监理认为可能有缺陷的任何工程部分进行剥露或试验。</w:t>
      </w:r>
    </w:p>
    <w:p>
      <w:pPr>
        <w:pStyle w:val="5"/>
      </w:pPr>
      <w:bookmarkStart w:id="1681" w:name="_Toc391287390"/>
      <w:bookmarkStart w:id="1682" w:name="_Toc324772040"/>
      <w:bookmarkStart w:id="1683" w:name="_Toc104482522"/>
      <w:bookmarkStart w:id="1684" w:name="_Toc171063188"/>
      <w:r>
        <w:t>33</w:t>
      </w:r>
      <w:r>
        <w:rPr>
          <w:rFonts w:hint="eastAsia"/>
        </w:rPr>
        <w:t>　试验</w:t>
      </w:r>
      <w:bookmarkEnd w:id="1681"/>
      <w:bookmarkEnd w:id="1682"/>
      <w:bookmarkEnd w:id="1683"/>
      <w:bookmarkEnd w:id="1684"/>
    </w:p>
    <w:p>
      <w:pPr>
        <w:suppressAutoHyphens/>
        <w:spacing w:before="120" w:after="120"/>
        <w:ind w:firstLine="420" w:firstLineChars="200"/>
        <w:textAlignment w:val="auto"/>
        <w:rPr>
          <w:szCs w:val="21"/>
        </w:rPr>
      </w:pPr>
      <w:r>
        <w:rPr>
          <w:szCs w:val="21"/>
        </w:rPr>
        <w:t>33.1</w:t>
      </w:r>
      <w:r>
        <w:rPr>
          <w:rFonts w:hint="eastAsia"/>
          <w:szCs w:val="21"/>
        </w:rPr>
        <w:t>　如果项目监理为确定工程某一部位是否存在缺陷而指示承包商进行某项技术规范中没有规定的试验，且试验表明该部位确实存在缺陷，承包商应承担试验和取样的全部费用；如无缺陷存在，该试验按补偿事件处理。</w:t>
      </w:r>
    </w:p>
    <w:p>
      <w:pPr>
        <w:pStyle w:val="5"/>
      </w:pPr>
      <w:bookmarkStart w:id="1685" w:name="_Toc171063189"/>
      <w:bookmarkStart w:id="1686" w:name="_Toc324772041"/>
      <w:bookmarkStart w:id="1687" w:name="_Toc391287391"/>
      <w:bookmarkStart w:id="1688" w:name="_Toc104482523"/>
      <w:r>
        <w:t>34</w:t>
      </w:r>
      <w:r>
        <w:rPr>
          <w:rFonts w:hint="eastAsia"/>
        </w:rPr>
        <w:t>　对缺陷的修复</w:t>
      </w:r>
      <w:bookmarkEnd w:id="1685"/>
      <w:bookmarkEnd w:id="1686"/>
      <w:bookmarkEnd w:id="1687"/>
      <w:bookmarkEnd w:id="1688"/>
    </w:p>
    <w:p>
      <w:pPr>
        <w:suppressAutoHyphens/>
        <w:spacing w:before="120" w:after="120"/>
        <w:ind w:firstLine="420" w:firstLineChars="200"/>
        <w:textAlignment w:val="auto"/>
        <w:rPr>
          <w:szCs w:val="21"/>
        </w:rPr>
      </w:pPr>
      <w:r>
        <w:rPr>
          <w:szCs w:val="21"/>
        </w:rPr>
        <w:t>34.1</w:t>
      </w:r>
      <w:r>
        <w:rPr>
          <w:rFonts w:hint="eastAsia"/>
          <w:szCs w:val="21"/>
        </w:rPr>
        <w:t>　在</w:t>
      </w:r>
      <w:r>
        <w:rPr>
          <w:b/>
          <w:szCs w:val="21"/>
        </w:rPr>
        <w:t>特殊合同条款</w:t>
      </w:r>
      <w:r>
        <w:rPr>
          <w:rFonts w:hint="eastAsia"/>
          <w:szCs w:val="21"/>
        </w:rPr>
        <w:t>中规定的、自完工日起开始计算的缺陷责任期结束之前，项目监理应就存在的任何缺陷向承包商发出通知。缺陷责任期应延长至完成缺陷修复为止。</w:t>
      </w:r>
    </w:p>
    <w:p>
      <w:pPr>
        <w:suppressAutoHyphens/>
        <w:spacing w:before="120" w:after="120"/>
        <w:ind w:firstLine="420" w:firstLineChars="200"/>
        <w:textAlignment w:val="auto"/>
        <w:rPr>
          <w:szCs w:val="21"/>
        </w:rPr>
      </w:pPr>
      <w:r>
        <w:rPr>
          <w:szCs w:val="21"/>
        </w:rPr>
        <w:t>34.2</w:t>
      </w:r>
      <w:r>
        <w:rPr>
          <w:rFonts w:hint="eastAsia"/>
          <w:szCs w:val="21"/>
        </w:rPr>
        <w:t>　每次有关修复缺陷的通知发出后，承包商应在项目监理所发出的通知中规定的时间内修复项目监理所指出的缺陷。</w:t>
      </w:r>
    </w:p>
    <w:p>
      <w:pPr>
        <w:pStyle w:val="5"/>
      </w:pPr>
      <w:bookmarkStart w:id="1689" w:name="_Toc104482524"/>
      <w:bookmarkStart w:id="1690" w:name="_Toc391287392"/>
      <w:bookmarkStart w:id="1691" w:name="_Toc324772042"/>
      <w:bookmarkStart w:id="1692" w:name="_Toc171063190"/>
      <w:r>
        <w:t>35</w:t>
      </w:r>
      <w:r>
        <w:rPr>
          <w:rFonts w:hint="eastAsia"/>
        </w:rPr>
        <w:t>　未修复的缺陷</w:t>
      </w:r>
      <w:bookmarkEnd w:id="1689"/>
      <w:bookmarkEnd w:id="1690"/>
      <w:bookmarkEnd w:id="1691"/>
      <w:bookmarkEnd w:id="1692"/>
    </w:p>
    <w:p>
      <w:pPr>
        <w:suppressAutoHyphens/>
        <w:spacing w:before="120" w:after="120"/>
        <w:ind w:firstLine="420" w:firstLineChars="200"/>
        <w:textAlignment w:val="auto"/>
        <w:rPr>
          <w:szCs w:val="21"/>
        </w:rPr>
      </w:pPr>
      <w:r>
        <w:rPr>
          <w:szCs w:val="21"/>
        </w:rPr>
        <w:t>35.1</w:t>
      </w:r>
      <w:r>
        <w:rPr>
          <w:rFonts w:hint="eastAsia"/>
          <w:szCs w:val="21"/>
        </w:rPr>
        <w:t>　如果承包商未能在项目监理所发的通知中规定的时间内修复某项缺陷，项目监理应对修复该缺陷的成本做出估算，该款项将成为承包商对业主的应付款。</w:t>
      </w:r>
    </w:p>
    <w:p>
      <w:pPr>
        <w:pStyle w:val="4"/>
      </w:pPr>
      <w:bookmarkStart w:id="1693" w:name="_Toc110265205"/>
      <w:bookmarkStart w:id="1694" w:name="_Toc110272075"/>
      <w:bookmarkStart w:id="1695" w:name="_Toc391287393"/>
      <w:bookmarkStart w:id="1696" w:name="_Toc171063191"/>
      <w:bookmarkStart w:id="1697" w:name="_Toc110268541"/>
      <w:bookmarkStart w:id="1698" w:name="_Toc110264506"/>
      <w:bookmarkStart w:id="1699" w:name="_Toc324772043"/>
      <w:bookmarkStart w:id="1700" w:name="_Toc110264752"/>
      <w:bookmarkStart w:id="1701" w:name="_Toc110264805"/>
      <w:bookmarkStart w:id="1702" w:name="_Toc110264969"/>
      <w:bookmarkStart w:id="1703" w:name="_Toc104482525"/>
      <w:r>
        <w:rPr>
          <w:rFonts w:hint="eastAsia"/>
        </w:rPr>
        <w:t>第四节　成本管理</w:t>
      </w:r>
      <w:bookmarkEnd w:id="1693"/>
      <w:bookmarkEnd w:id="1694"/>
      <w:bookmarkEnd w:id="1695"/>
      <w:bookmarkEnd w:id="1696"/>
      <w:bookmarkEnd w:id="1697"/>
      <w:bookmarkEnd w:id="1698"/>
      <w:bookmarkEnd w:id="1699"/>
      <w:bookmarkEnd w:id="1700"/>
      <w:bookmarkEnd w:id="1701"/>
      <w:bookmarkEnd w:id="1702"/>
      <w:bookmarkEnd w:id="1703"/>
    </w:p>
    <w:p>
      <w:pPr>
        <w:pStyle w:val="5"/>
      </w:pPr>
      <w:bookmarkStart w:id="1704" w:name="_Toc324772044"/>
      <w:bookmarkStart w:id="1705" w:name="_Toc104482526"/>
      <w:bookmarkStart w:id="1706" w:name="_Toc391287394"/>
      <w:bookmarkStart w:id="1707" w:name="_Toc171063192"/>
      <w:r>
        <w:t>36</w:t>
      </w:r>
      <w:r>
        <w:rPr>
          <w:rFonts w:hint="eastAsia"/>
        </w:rPr>
        <w:t>　合同价</w:t>
      </w:r>
      <w:bookmarkEnd w:id="1704"/>
      <w:bookmarkEnd w:id="1705"/>
      <w:bookmarkEnd w:id="1706"/>
      <w:bookmarkEnd w:id="1707"/>
    </w:p>
    <w:p>
      <w:pPr>
        <w:suppressAutoHyphens/>
        <w:spacing w:before="120" w:after="120"/>
        <w:ind w:firstLine="420" w:firstLineChars="200"/>
        <w:textAlignment w:val="auto"/>
        <w:rPr>
          <w:szCs w:val="21"/>
        </w:rPr>
      </w:pPr>
      <w:r>
        <w:rPr>
          <w:szCs w:val="21"/>
        </w:rPr>
        <w:t>36.1</w:t>
      </w:r>
      <w:r>
        <w:rPr>
          <w:rFonts w:hint="eastAsia"/>
          <w:szCs w:val="21"/>
        </w:rPr>
        <w:t>　在</w:t>
      </w:r>
      <w:r>
        <w:rPr>
          <w:rFonts w:hint="eastAsia"/>
          <w:color w:val="000000"/>
          <w:szCs w:val="21"/>
        </w:rPr>
        <w:t>计量合同中，工程量清单应包含将由承包商完成的各项工作的标价细目。工程量清单将用于计算合同价款。</w:t>
      </w:r>
      <w:r>
        <w:rPr>
          <w:rFonts w:hint="eastAsia"/>
          <w:szCs w:val="21"/>
        </w:rPr>
        <w:t>对承包商的支付将根据其所完成的工程量，按工程量清单中的单价来计付。</w:t>
      </w:r>
    </w:p>
    <w:p>
      <w:pPr>
        <w:suppressAutoHyphens/>
        <w:spacing w:before="120" w:after="120"/>
        <w:ind w:firstLine="420" w:firstLineChars="200"/>
        <w:textAlignment w:val="auto"/>
        <w:rPr>
          <w:szCs w:val="21"/>
        </w:rPr>
      </w:pPr>
      <w:r>
        <w:rPr>
          <w:szCs w:val="21"/>
        </w:rPr>
        <w:t>36.2</w:t>
      </w:r>
      <w:r>
        <w:rPr>
          <w:rFonts w:hint="eastAsia"/>
          <w:szCs w:val="21"/>
        </w:rPr>
        <w:t>　在</w:t>
      </w:r>
      <w:r>
        <w:rPr>
          <w:rFonts w:hint="eastAsia"/>
          <w:color w:val="000000"/>
          <w:szCs w:val="21"/>
        </w:rPr>
        <w:t>总价合同中，单项工程价单应包含承包商为完成工程将进行的工作或程序及标价。该单项工程价单用于监控</w:t>
      </w:r>
      <w:r>
        <w:rPr>
          <w:rFonts w:hint="eastAsia"/>
          <w:szCs w:val="21"/>
        </w:rPr>
        <w:t>承包商</w:t>
      </w:r>
      <w:r>
        <w:rPr>
          <w:rFonts w:hint="eastAsia"/>
          <w:color w:val="000000"/>
          <w:szCs w:val="21"/>
        </w:rPr>
        <w:t>的施工活动，并作为向承包商进行支付的依据。如果到场材料需分别支付，承包商须在单项工程价单中分别列出材料到场计划。</w:t>
      </w:r>
    </w:p>
    <w:p>
      <w:pPr>
        <w:pStyle w:val="5"/>
      </w:pPr>
      <w:bookmarkStart w:id="1708" w:name="_Toc391287395"/>
      <w:bookmarkStart w:id="1709" w:name="_Toc104482527"/>
      <w:bookmarkStart w:id="1710" w:name="_Toc324772045"/>
      <w:bookmarkStart w:id="1711" w:name="_Toc171063193"/>
      <w:r>
        <w:t>37</w:t>
      </w:r>
      <w:r>
        <w:rPr>
          <w:rFonts w:hint="eastAsia"/>
        </w:rPr>
        <w:t>　合同价的变化</w:t>
      </w:r>
      <w:bookmarkEnd w:id="1708"/>
      <w:bookmarkEnd w:id="1709"/>
      <w:bookmarkEnd w:id="1710"/>
      <w:bookmarkEnd w:id="1711"/>
    </w:p>
    <w:p>
      <w:pPr>
        <w:suppressAutoHyphens/>
        <w:spacing w:before="120" w:after="120"/>
        <w:ind w:firstLine="420" w:firstLineChars="200"/>
        <w:textAlignment w:val="auto"/>
        <w:rPr>
          <w:szCs w:val="21"/>
        </w:rPr>
      </w:pPr>
      <w:r>
        <w:rPr>
          <w:szCs w:val="21"/>
        </w:rPr>
        <w:t>37.1</w:t>
      </w:r>
      <w:r>
        <w:rPr>
          <w:rFonts w:hint="eastAsia"/>
          <w:szCs w:val="21"/>
        </w:rPr>
        <w:t>　在计量合同中：</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）如果工程量清单中任一细目的最终完成工程量与工程量清单中所标工程量存在百分之二十五（</w:t>
      </w:r>
      <w:r>
        <w:rPr>
          <w:szCs w:val="21"/>
        </w:rPr>
        <w:t>25</w:t>
      </w:r>
      <w:r>
        <w:rPr>
          <w:rFonts w:hint="eastAsia"/>
          <w:szCs w:val="21"/>
        </w:rPr>
        <w:t>％）以上的差异，并且该差异将导致中标合同额产生百分之一（</w:t>
      </w:r>
      <w:r>
        <w:rPr>
          <w:szCs w:val="21"/>
        </w:rPr>
        <w:t>1</w:t>
      </w:r>
      <w:r>
        <w:rPr>
          <w:rFonts w:hint="eastAsia"/>
          <w:szCs w:val="21"/>
        </w:rPr>
        <w:t>％）以上的变化，项目监理应对单价进行调整以适应这一变化。</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）如果工程量的变化导致中标合同额产生百分之十五（</w:t>
      </w:r>
      <w:r>
        <w:rPr>
          <w:szCs w:val="21"/>
        </w:rPr>
        <w:t>15％</w:t>
      </w:r>
      <w:r>
        <w:rPr>
          <w:rFonts w:hint="eastAsia"/>
          <w:szCs w:val="21"/>
        </w:rPr>
        <w:t>）</w:t>
      </w:r>
      <w:r>
        <w:rPr>
          <w:szCs w:val="21"/>
        </w:rPr>
        <w:t>以</w:t>
      </w:r>
      <w:r>
        <w:rPr>
          <w:rFonts w:hint="eastAsia"/>
          <w:szCs w:val="21"/>
        </w:rPr>
        <w:t>上的变化，项目监理对各项变化造成的单价调整必须取得业主的事先批准。</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）承包商应在项目监理要求时对工程量清单中任一单价提供详细的单价分析表。</w:t>
      </w:r>
    </w:p>
    <w:p>
      <w:pPr>
        <w:spacing w:before="120" w:after="120" w:line="240" w:lineRule="atLeast"/>
        <w:ind w:left="936" w:hanging="576"/>
        <w:jc w:val="left"/>
        <w:textAlignment w:val="auto"/>
        <w:rPr>
          <w:szCs w:val="21"/>
        </w:rPr>
      </w:pPr>
      <w:r>
        <w:rPr>
          <w:szCs w:val="21"/>
        </w:rPr>
        <w:t>37.2</w:t>
      </w:r>
      <w:r>
        <w:rPr>
          <w:rFonts w:hint="eastAsia"/>
          <w:szCs w:val="21"/>
        </w:rPr>
        <w:t>　在总价合同中，承包商应根据其进度计划或施工方法的变化对单项工程价单进行相应修改。承包商在对施工计划自行进行此类修改时不得修改其中的价格。</w:t>
      </w:r>
    </w:p>
    <w:p>
      <w:pPr>
        <w:pStyle w:val="5"/>
      </w:pPr>
      <w:bookmarkStart w:id="1712" w:name="_Toc391287396"/>
      <w:bookmarkStart w:id="1713" w:name="_Toc171063194"/>
      <w:bookmarkStart w:id="1714" w:name="_Toc104482528"/>
      <w:bookmarkStart w:id="1715" w:name="_Toc324772046"/>
      <w:r>
        <w:t>38</w:t>
      </w:r>
      <w:r>
        <w:rPr>
          <w:rFonts w:hint="eastAsia"/>
        </w:rPr>
        <w:t>　变更</w:t>
      </w:r>
      <w:bookmarkEnd w:id="1712"/>
      <w:bookmarkEnd w:id="1713"/>
      <w:bookmarkEnd w:id="1714"/>
      <w:bookmarkEnd w:id="1715"/>
    </w:p>
    <w:p>
      <w:pPr>
        <w:suppressAutoHyphens/>
        <w:spacing w:before="120" w:after="120"/>
        <w:ind w:firstLine="420" w:firstLineChars="200"/>
        <w:textAlignment w:val="auto"/>
        <w:rPr>
          <w:szCs w:val="21"/>
        </w:rPr>
      </w:pPr>
      <w:r>
        <w:rPr>
          <w:szCs w:val="21"/>
        </w:rPr>
        <w:t>38.1</w:t>
      </w:r>
      <w:r>
        <w:rPr>
          <w:rFonts w:hint="eastAsia"/>
          <w:szCs w:val="21"/>
        </w:rPr>
        <w:t>　所有变更均须在承包商编制的更新的进度计划中予以反映；在总价合同中则须在承包商编制的单项工程价单中予以反映。</w:t>
      </w:r>
    </w:p>
    <w:p>
      <w:pPr>
        <w:suppressAutoHyphens/>
        <w:spacing w:before="120" w:after="120"/>
        <w:ind w:firstLine="420" w:firstLineChars="200"/>
        <w:textAlignment w:val="auto"/>
        <w:rPr>
          <w:szCs w:val="21"/>
        </w:rPr>
      </w:pPr>
      <w:r>
        <w:rPr>
          <w:szCs w:val="21"/>
        </w:rPr>
        <w:t>38.2</w:t>
      </w:r>
      <w:r>
        <w:rPr>
          <w:rFonts w:hint="eastAsia"/>
          <w:szCs w:val="21"/>
        </w:rPr>
        <w:t>　在项目监理要求时，承包商应就执行变更向项目监理提交一份报价。项目监理应对该报价进行评估。该报价须在项目监理提出要求后七（7）天内或在项目监理指定的更长的时间段内，且在发出变更指令之前提供。</w:t>
      </w:r>
    </w:p>
    <w:p>
      <w:pPr>
        <w:suppressAutoHyphens/>
        <w:spacing w:before="120" w:after="120"/>
        <w:ind w:firstLine="420" w:firstLineChars="200"/>
        <w:textAlignment w:val="auto"/>
        <w:rPr>
          <w:szCs w:val="21"/>
        </w:rPr>
      </w:pPr>
      <w:r>
        <w:rPr>
          <w:szCs w:val="21"/>
        </w:rPr>
        <w:t>38.3</w:t>
      </w:r>
      <w:r>
        <w:rPr>
          <w:rFonts w:hint="eastAsia"/>
          <w:szCs w:val="21"/>
        </w:rPr>
        <w:t>　如果承包商的报价不合理，项目监理可发出变更指令，并根据其对变更将引起的承包商成本的变化作出的估算修改合同价。</w:t>
      </w:r>
    </w:p>
    <w:p>
      <w:pPr>
        <w:suppressAutoHyphens/>
        <w:spacing w:before="120" w:after="120"/>
        <w:ind w:firstLine="420" w:firstLineChars="200"/>
        <w:textAlignment w:val="auto"/>
        <w:rPr>
          <w:szCs w:val="21"/>
        </w:rPr>
      </w:pPr>
      <w:r>
        <w:rPr>
          <w:szCs w:val="21"/>
        </w:rPr>
        <w:t>38.4</w:t>
      </w:r>
      <w:r>
        <w:rPr>
          <w:rFonts w:hint="eastAsia"/>
          <w:szCs w:val="21"/>
        </w:rPr>
        <w:t>　如果项目监理认为变更工作紧急而来不及报价，为避免造成延误，则此类变更无需报价，但应作为补偿事件处理。</w:t>
      </w:r>
    </w:p>
    <w:p>
      <w:pPr>
        <w:suppressAutoHyphens/>
        <w:spacing w:before="120" w:after="120"/>
        <w:ind w:firstLine="420" w:firstLineChars="200"/>
        <w:textAlignment w:val="auto"/>
        <w:rPr>
          <w:szCs w:val="21"/>
        </w:rPr>
      </w:pPr>
      <w:r>
        <w:rPr>
          <w:szCs w:val="21"/>
        </w:rPr>
        <w:t>38.5</w:t>
      </w:r>
      <w:r>
        <w:rPr>
          <w:rFonts w:hint="eastAsia"/>
          <w:szCs w:val="21"/>
        </w:rPr>
        <w:t>　在提前通报可避免增加费用而承包商未能提前通报时，承包商无权获得额外支付。</w:t>
      </w:r>
    </w:p>
    <w:p>
      <w:pPr>
        <w:suppressAutoHyphens/>
        <w:spacing w:before="120" w:after="120"/>
        <w:ind w:firstLine="420" w:firstLineChars="200"/>
        <w:textAlignment w:val="auto"/>
        <w:rPr>
          <w:szCs w:val="21"/>
        </w:rPr>
      </w:pPr>
      <w:r>
        <w:rPr>
          <w:szCs w:val="21"/>
        </w:rPr>
        <w:t>38.6</w:t>
      </w:r>
      <w:r>
        <w:rPr>
          <w:rFonts w:hint="eastAsia"/>
          <w:szCs w:val="21"/>
        </w:rPr>
        <w:t>　在计量合同中，如果变更工程在工程量清单中有对应项目，并且，根据项目监理的判断，超过上述一般合同条款第</w:t>
      </w:r>
      <w:r>
        <w:rPr>
          <w:szCs w:val="21"/>
        </w:rPr>
        <w:t>3</w:t>
      </w:r>
      <w:r>
        <w:rPr>
          <w:rFonts w:hint="eastAsia"/>
          <w:szCs w:val="21"/>
        </w:rPr>
        <w:t>7</w:t>
      </w:r>
      <w:r>
        <w:rPr>
          <w:szCs w:val="21"/>
        </w:rPr>
        <w:t>.1</w:t>
      </w:r>
      <w:r>
        <w:rPr>
          <w:rFonts w:hint="eastAsia" w:cs="宋体"/>
          <w:szCs w:val="21"/>
        </w:rPr>
        <w:t>款</w:t>
      </w:r>
      <w:r>
        <w:rPr>
          <w:rFonts w:hint="eastAsia" w:cs="宋体"/>
          <w:szCs w:val="21"/>
          <w:lang w:val="zh-CN"/>
        </w:rPr>
        <w:t>限额的变更或者变更实施时间不会造成单价的变化</w:t>
      </w:r>
      <w:r>
        <w:rPr>
          <w:rFonts w:hint="eastAsia" w:cs="宋体"/>
          <w:szCs w:val="21"/>
        </w:rPr>
        <w:t>，</w:t>
      </w:r>
      <w:r>
        <w:rPr>
          <w:rFonts w:hint="eastAsia" w:cs="宋体"/>
          <w:szCs w:val="21"/>
          <w:lang w:val="zh-CN"/>
        </w:rPr>
        <w:t>则应使用工程量清单中的单价来计算变更额</w:t>
      </w:r>
      <w:r>
        <w:rPr>
          <w:rFonts w:hint="eastAsia" w:cs="宋体"/>
          <w:szCs w:val="21"/>
        </w:rPr>
        <w:t>；</w:t>
      </w:r>
      <w:r>
        <w:rPr>
          <w:rFonts w:hint="eastAsia" w:cs="宋体"/>
          <w:szCs w:val="21"/>
          <w:lang w:val="zh-CN"/>
        </w:rPr>
        <w:t>如果变更造成了单价发生变化</w:t>
      </w:r>
      <w:r>
        <w:rPr>
          <w:rFonts w:hint="eastAsia" w:cs="宋体"/>
          <w:szCs w:val="21"/>
        </w:rPr>
        <w:t>，</w:t>
      </w:r>
      <w:r>
        <w:rPr>
          <w:rFonts w:hint="eastAsia" w:cs="宋体"/>
          <w:szCs w:val="21"/>
          <w:lang w:val="zh-CN"/>
        </w:rPr>
        <w:t>或其内容在工程量清单中无对应项目</w:t>
      </w:r>
      <w:r>
        <w:rPr>
          <w:rFonts w:hint="eastAsia" w:cs="宋体"/>
          <w:szCs w:val="21"/>
        </w:rPr>
        <w:t>，</w:t>
      </w:r>
      <w:r>
        <w:rPr>
          <w:rFonts w:hint="eastAsia" w:cs="宋体"/>
          <w:szCs w:val="21"/>
          <w:lang w:val="zh-CN"/>
        </w:rPr>
        <w:t>承包商应以新增单价的形式对相关项目提出报价。</w:t>
      </w:r>
    </w:p>
    <w:p>
      <w:pPr>
        <w:pStyle w:val="5"/>
      </w:pPr>
      <w:bookmarkStart w:id="1716" w:name="_Toc104482529"/>
      <w:bookmarkStart w:id="1717" w:name="_Toc391287397"/>
      <w:bookmarkStart w:id="1718" w:name="_Toc171063195"/>
      <w:bookmarkStart w:id="1719" w:name="_Toc324772047"/>
      <w:r>
        <w:t>39</w:t>
      </w:r>
      <w:r>
        <w:rPr>
          <w:rFonts w:hint="eastAsia"/>
        </w:rPr>
        <w:t>　现金流预测</w:t>
      </w:r>
      <w:bookmarkEnd w:id="1716"/>
      <w:bookmarkEnd w:id="1717"/>
      <w:bookmarkEnd w:id="1718"/>
      <w:bookmarkEnd w:id="1719"/>
    </w:p>
    <w:p>
      <w:pPr>
        <w:suppressAutoHyphens/>
        <w:spacing w:before="120" w:after="120"/>
        <w:ind w:firstLine="420" w:firstLineChars="200"/>
        <w:textAlignment w:val="auto"/>
        <w:rPr>
          <w:szCs w:val="21"/>
        </w:rPr>
      </w:pPr>
      <w:r>
        <w:rPr>
          <w:szCs w:val="21"/>
        </w:rPr>
        <w:t>39.1</w:t>
      </w:r>
      <w:r>
        <w:rPr>
          <w:rFonts w:hint="eastAsia"/>
          <w:szCs w:val="21"/>
        </w:rPr>
        <w:t>　</w:t>
      </w:r>
      <w:r>
        <w:rPr>
          <w:szCs w:val="21"/>
        </w:rPr>
        <w:t>当</w:t>
      </w:r>
      <w:r>
        <w:rPr>
          <w:rFonts w:hint="eastAsia"/>
          <w:szCs w:val="21"/>
        </w:rPr>
        <w:t>进度计划或总价合同中的单项工程价单更新后，承包商应向项目监理提交一份更新的现金流预测。</w:t>
      </w:r>
    </w:p>
    <w:p>
      <w:pPr>
        <w:pStyle w:val="5"/>
      </w:pPr>
      <w:bookmarkStart w:id="1720" w:name="_Toc104482530"/>
      <w:bookmarkStart w:id="1721" w:name="_Toc324772048"/>
      <w:bookmarkStart w:id="1722" w:name="_Toc171063196"/>
      <w:bookmarkStart w:id="1723" w:name="_Toc391287398"/>
      <w:r>
        <w:t>40</w:t>
      </w:r>
      <w:r>
        <w:rPr>
          <w:rFonts w:hint="eastAsia"/>
        </w:rPr>
        <w:t>　支付证书</w:t>
      </w:r>
      <w:bookmarkEnd w:id="1720"/>
      <w:bookmarkEnd w:id="1721"/>
      <w:bookmarkEnd w:id="1722"/>
      <w:bookmarkEnd w:id="1723"/>
    </w:p>
    <w:p>
      <w:pPr>
        <w:suppressAutoHyphens/>
        <w:spacing w:before="120" w:after="120"/>
        <w:ind w:firstLine="420" w:firstLineChars="200"/>
        <w:textAlignment w:val="auto"/>
        <w:rPr>
          <w:szCs w:val="21"/>
        </w:rPr>
      </w:pPr>
      <w:r>
        <w:rPr>
          <w:szCs w:val="21"/>
        </w:rPr>
        <w:t>40.1</w:t>
      </w:r>
      <w:r>
        <w:rPr>
          <w:rFonts w:hint="eastAsia"/>
          <w:szCs w:val="21"/>
        </w:rPr>
        <w:t>　</w:t>
      </w:r>
      <w:r>
        <w:rPr>
          <w:szCs w:val="21"/>
        </w:rPr>
        <w:t>承包商</w:t>
      </w:r>
      <w:r>
        <w:rPr>
          <w:rFonts w:hint="eastAsia"/>
          <w:szCs w:val="21"/>
        </w:rPr>
        <w:t>应在每月的第五天前向项目监理提交一份以项目监理接受的格式编制的月报表，载明当月累计完成投资额减去当月累计已签证完成投资额。</w:t>
      </w:r>
    </w:p>
    <w:p>
      <w:pPr>
        <w:suppressAutoHyphens/>
        <w:spacing w:before="120" w:after="120"/>
        <w:ind w:firstLine="420" w:firstLineChars="200"/>
        <w:textAlignment w:val="auto"/>
        <w:rPr>
          <w:szCs w:val="21"/>
        </w:rPr>
      </w:pPr>
      <w:r>
        <w:rPr>
          <w:szCs w:val="21"/>
        </w:rPr>
        <w:t>40.2</w:t>
      </w:r>
      <w:r>
        <w:rPr>
          <w:rFonts w:hint="eastAsia"/>
          <w:szCs w:val="21"/>
        </w:rPr>
        <w:t>　项目监理应核查承包商的月报表，并就应向承包商支付的价款核发支付证书。</w:t>
      </w:r>
    </w:p>
    <w:p>
      <w:pPr>
        <w:suppressAutoHyphens/>
        <w:spacing w:before="120" w:after="120"/>
        <w:ind w:firstLine="420" w:firstLineChars="200"/>
        <w:textAlignment w:val="auto"/>
        <w:rPr>
          <w:szCs w:val="21"/>
        </w:rPr>
      </w:pPr>
      <w:r>
        <w:rPr>
          <w:szCs w:val="21"/>
        </w:rPr>
        <w:t>40.3</w:t>
      </w:r>
      <w:r>
        <w:rPr>
          <w:rFonts w:hint="eastAsia"/>
          <w:szCs w:val="21"/>
        </w:rPr>
        <w:t>　已完成工程的价款由项目监理决定。</w:t>
      </w:r>
    </w:p>
    <w:p>
      <w:pPr>
        <w:suppressAutoHyphens/>
        <w:spacing w:before="120" w:after="120"/>
        <w:ind w:firstLine="420" w:firstLineChars="200"/>
        <w:textAlignment w:val="auto"/>
        <w:rPr>
          <w:szCs w:val="21"/>
        </w:rPr>
      </w:pPr>
      <w:r>
        <w:rPr>
          <w:szCs w:val="21"/>
        </w:rPr>
        <w:t>40.4</w:t>
      </w:r>
      <w:r>
        <w:rPr>
          <w:rFonts w:hint="eastAsia"/>
          <w:szCs w:val="21"/>
        </w:rPr>
        <w:t>　已完成工程的价款由下列部分组成：</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）在计量合同中，工程量清单中已完成的工程量的价款；或</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）在总价合同中，单项工程价单中已完成的工作内容的价款。</w:t>
      </w:r>
    </w:p>
    <w:p>
      <w:pPr>
        <w:suppressAutoHyphens/>
        <w:spacing w:before="120" w:after="120"/>
        <w:ind w:firstLine="420" w:firstLineChars="200"/>
        <w:textAlignment w:val="auto"/>
        <w:rPr>
          <w:szCs w:val="21"/>
        </w:rPr>
      </w:pPr>
      <w:r>
        <w:rPr>
          <w:szCs w:val="21"/>
        </w:rPr>
        <w:t>40.5</w:t>
      </w:r>
      <w:r>
        <w:rPr>
          <w:rFonts w:hint="eastAsia"/>
          <w:szCs w:val="21"/>
        </w:rPr>
        <w:t>　已完成工程的价款应包括对变更和补偿事件的计价。</w:t>
      </w:r>
    </w:p>
    <w:p>
      <w:pPr>
        <w:suppressAutoHyphens/>
        <w:spacing w:before="120" w:after="120"/>
        <w:ind w:firstLine="420" w:firstLineChars="200"/>
        <w:textAlignment w:val="auto"/>
        <w:rPr>
          <w:szCs w:val="21"/>
        </w:rPr>
      </w:pPr>
      <w:r>
        <w:rPr>
          <w:szCs w:val="21"/>
        </w:rPr>
        <w:t>40.6</w:t>
      </w:r>
      <w:r>
        <w:rPr>
          <w:rFonts w:hint="eastAsia"/>
          <w:szCs w:val="21"/>
        </w:rPr>
        <w:t>　根据后来掌握的资料，项目监理可在任何一期支付证书中扣除此前已签证的任何项目或降低其支付比例。</w:t>
      </w:r>
    </w:p>
    <w:p>
      <w:pPr>
        <w:pStyle w:val="5"/>
      </w:pPr>
      <w:bookmarkStart w:id="1724" w:name="_Toc391287399"/>
      <w:bookmarkStart w:id="1725" w:name="_Toc171063197"/>
      <w:bookmarkStart w:id="1726" w:name="_Toc324772049"/>
      <w:bookmarkStart w:id="1727" w:name="_Toc104482531"/>
      <w:r>
        <w:t>41</w:t>
      </w:r>
      <w:r>
        <w:rPr>
          <w:rFonts w:hint="eastAsia"/>
        </w:rPr>
        <w:t>　支付</w:t>
      </w:r>
      <w:bookmarkEnd w:id="1724"/>
      <w:bookmarkEnd w:id="1725"/>
      <w:bookmarkEnd w:id="1726"/>
      <w:bookmarkEnd w:id="1727"/>
    </w:p>
    <w:p>
      <w:pPr>
        <w:suppressAutoHyphens/>
        <w:spacing w:before="120" w:after="120"/>
        <w:ind w:firstLine="420" w:firstLineChars="200"/>
        <w:textAlignment w:val="auto"/>
        <w:rPr>
          <w:szCs w:val="21"/>
        </w:rPr>
      </w:pPr>
      <w:r>
        <w:rPr>
          <w:szCs w:val="21"/>
        </w:rPr>
        <w:t>41.1</w:t>
      </w:r>
      <w:r>
        <w:rPr>
          <w:rFonts w:hint="eastAsia"/>
          <w:szCs w:val="21"/>
        </w:rPr>
        <w:t>　支付应根据合同的规定扣还预付款、扣留保留金和扣除应支付给业主的款项。项目监理核发支付证书后，业主将在二十八（</w:t>
      </w:r>
      <w:r>
        <w:rPr>
          <w:szCs w:val="21"/>
        </w:rPr>
        <w:t>28</w:t>
      </w:r>
      <w:r>
        <w:rPr>
          <w:rFonts w:hint="eastAsia"/>
          <w:szCs w:val="21"/>
        </w:rPr>
        <w:t>）天内将项目监理在每期支付证书中所签证的金额支付给承包商。如果业主延误支付，将在下期支付时向承包商就延误支付的部分加付延期支付利息。利息从该笔款项应付之日起算至该笔款项实际支付之日止，按日计算。利率按付款当时商业借款年利率除以</w:t>
      </w:r>
      <w:r>
        <w:rPr>
          <w:szCs w:val="21"/>
        </w:rPr>
        <w:t>365</w:t>
      </w:r>
      <w:r>
        <w:rPr>
          <w:rFonts w:hint="eastAsia"/>
          <w:szCs w:val="21"/>
        </w:rPr>
        <w:t>得出的日利率计算。</w:t>
      </w:r>
    </w:p>
    <w:p>
      <w:pPr>
        <w:suppressAutoHyphens/>
        <w:spacing w:before="120" w:after="120"/>
        <w:ind w:firstLine="420" w:firstLineChars="200"/>
        <w:textAlignment w:val="auto"/>
        <w:rPr>
          <w:szCs w:val="21"/>
        </w:rPr>
      </w:pPr>
      <w:r>
        <w:rPr>
          <w:szCs w:val="21"/>
        </w:rPr>
        <w:t>41.2</w:t>
      </w:r>
      <w:r>
        <w:rPr>
          <w:rFonts w:hint="eastAsia"/>
          <w:szCs w:val="21"/>
        </w:rPr>
        <w:t>　如果已经项目监理签证的支付金额在以后的支付证书中有所增加，或由于调解员或仲裁员的决定而增加，业主将按本条的规定就延期支付部分向承包商支付利息。利息按日计算，起算之日为在假设没有争端存在的条件下，所增加部分应予以签证之日。</w:t>
      </w:r>
    </w:p>
    <w:p>
      <w:pPr>
        <w:suppressAutoHyphens/>
        <w:spacing w:before="120" w:after="120"/>
        <w:ind w:firstLine="420" w:firstLineChars="200"/>
        <w:textAlignment w:val="auto"/>
        <w:rPr>
          <w:szCs w:val="21"/>
        </w:rPr>
      </w:pPr>
      <w:r>
        <w:rPr>
          <w:szCs w:val="21"/>
        </w:rPr>
        <w:t>41.3</w:t>
      </w:r>
      <w:r>
        <w:rPr>
          <w:rFonts w:hint="eastAsia"/>
          <w:szCs w:val="21"/>
        </w:rPr>
        <w:t>　除另有说明外，所有支付和扣还、扣留、扣除款项的货币均为人民币。</w:t>
      </w:r>
    </w:p>
    <w:p>
      <w:pPr>
        <w:suppressAutoHyphens/>
        <w:spacing w:before="120" w:after="120"/>
        <w:ind w:firstLine="420" w:firstLineChars="200"/>
        <w:textAlignment w:val="auto"/>
        <w:rPr>
          <w:szCs w:val="21"/>
        </w:rPr>
      </w:pPr>
      <w:r>
        <w:rPr>
          <w:szCs w:val="21"/>
        </w:rPr>
        <w:t>41.4</w:t>
      </w:r>
      <w:r>
        <w:rPr>
          <w:rFonts w:hint="eastAsia"/>
          <w:szCs w:val="21"/>
        </w:rPr>
        <w:t>　业主对承包商未填报费率或单价的项目将不予</w:t>
      </w:r>
      <w:r>
        <w:rPr>
          <w:szCs w:val="21"/>
        </w:rPr>
        <w:t>支付</w:t>
      </w:r>
      <w:r>
        <w:rPr>
          <w:rFonts w:hint="eastAsia"/>
          <w:szCs w:val="21"/>
        </w:rPr>
        <w:t>。此类项目的成本视为已包含在合同的其它费率或单价中。</w:t>
      </w:r>
    </w:p>
    <w:p>
      <w:pPr>
        <w:pStyle w:val="5"/>
      </w:pPr>
      <w:bookmarkStart w:id="1728" w:name="_Toc104482532"/>
      <w:bookmarkStart w:id="1729" w:name="_Toc324772050"/>
      <w:bookmarkStart w:id="1730" w:name="_Toc391287400"/>
      <w:bookmarkStart w:id="1731" w:name="_Toc171063198"/>
      <w:r>
        <w:t>42</w:t>
      </w:r>
      <w:r>
        <w:rPr>
          <w:rFonts w:hint="eastAsia"/>
        </w:rPr>
        <w:t>　补偿事件</w:t>
      </w:r>
      <w:bookmarkEnd w:id="1728"/>
      <w:bookmarkEnd w:id="1729"/>
      <w:bookmarkEnd w:id="1730"/>
      <w:bookmarkEnd w:id="1731"/>
    </w:p>
    <w:p>
      <w:pPr>
        <w:suppressAutoHyphens/>
        <w:spacing w:before="120" w:after="120"/>
        <w:ind w:firstLine="420" w:firstLineChars="200"/>
        <w:textAlignment w:val="auto"/>
        <w:rPr>
          <w:szCs w:val="21"/>
        </w:rPr>
      </w:pPr>
      <w:r>
        <w:rPr>
          <w:szCs w:val="21"/>
        </w:rPr>
        <w:t>42.1</w:t>
      </w:r>
      <w:r>
        <w:rPr>
          <w:rFonts w:hint="eastAsia"/>
          <w:szCs w:val="21"/>
        </w:rPr>
        <w:t>　下述情况为补偿事件：</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）业主未能按</w:t>
      </w:r>
      <w:r>
        <w:rPr>
          <w:szCs w:val="21"/>
        </w:rPr>
        <w:t>一般合同条款</w:t>
      </w:r>
      <w:r>
        <w:rPr>
          <w:rFonts w:hint="eastAsia"/>
          <w:szCs w:val="21"/>
        </w:rPr>
        <w:t>第</w:t>
      </w:r>
      <w:r>
        <w:rPr>
          <w:szCs w:val="21"/>
        </w:rPr>
        <w:t>21.1</w:t>
      </w:r>
      <w:r>
        <w:rPr>
          <w:rFonts w:hint="eastAsia"/>
          <w:szCs w:val="21"/>
        </w:rPr>
        <w:t>款的规定在现场占用日提供相应的现场；</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）因业主修改“其它承包商进度表”而影响本合同承包商的工作；</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）项目监理命令延缓实施或未能按时提供按进度施工所需的图纸、技术规范或指示；</w:t>
      </w:r>
    </w:p>
    <w:p>
      <w:pPr>
        <w:spacing w:before="120" w:after="120" w:line="240" w:lineRule="atLeast"/>
        <w:ind w:left="936" w:hanging="576"/>
        <w:jc w:val="left"/>
        <w:textAlignment w:val="auto"/>
        <w:rPr>
          <w:szCs w:val="21"/>
        </w:rPr>
      </w:pPr>
      <w:r>
        <w:rPr>
          <w:rFonts w:hint="eastAsia"/>
          <w:szCs w:val="21"/>
        </w:rPr>
        <w:t>（</w:t>
      </w:r>
      <w:r>
        <w:rPr>
          <w:szCs w:val="21"/>
        </w:rPr>
        <w:t>4</w:t>
      </w:r>
      <w:r>
        <w:rPr>
          <w:rFonts w:hint="eastAsia"/>
          <w:szCs w:val="21"/>
        </w:rPr>
        <w:t>）项目监理指示承包商剥露工程或对工程进行额外的试验，而其后并未发现缺陷；</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）项目监理无理拒绝批准分包合同；</w:t>
      </w:r>
    </w:p>
    <w:p>
      <w:pPr>
        <w:spacing w:before="120" w:after="120" w:line="240" w:lineRule="atLeast"/>
        <w:ind w:left="936" w:hanging="576"/>
        <w:jc w:val="left"/>
        <w:textAlignment w:val="auto"/>
        <w:rPr>
          <w:szCs w:val="21"/>
        </w:rPr>
      </w:pPr>
      <w:r>
        <w:rPr>
          <w:rFonts w:hint="eastAsia"/>
          <w:szCs w:val="21"/>
        </w:rPr>
        <w:t>（6）现场条件与颁发中标通知书前能够根据提供给承包商的资料（包括现场调查报告）、公开获得的资料和对现场的直观勘察合理预见的情况存在重大负面差异；</w:t>
      </w:r>
    </w:p>
    <w:p>
      <w:pPr>
        <w:spacing w:before="120" w:after="120" w:line="240" w:lineRule="atLeast"/>
        <w:ind w:left="936" w:hanging="576"/>
        <w:jc w:val="left"/>
        <w:textAlignment w:val="auto"/>
        <w:rPr>
          <w:szCs w:val="21"/>
        </w:rPr>
      </w:pPr>
      <w:r>
        <w:rPr>
          <w:rFonts w:hint="eastAsia"/>
          <w:szCs w:val="21"/>
        </w:rPr>
        <w:t>（7）项目监理指示承包商处理由业主造成的、未能预见到的情况，或进行为了安全或其它原因所要求的额外工作；</w:t>
      </w:r>
    </w:p>
    <w:p>
      <w:pPr>
        <w:spacing w:before="120" w:after="120" w:line="240" w:lineRule="atLeast"/>
        <w:ind w:left="936" w:hanging="576"/>
        <w:jc w:val="left"/>
        <w:textAlignment w:val="auto"/>
        <w:rPr>
          <w:szCs w:val="21"/>
        </w:rPr>
      </w:pPr>
      <w:r>
        <w:rPr>
          <w:rFonts w:hint="eastAsia"/>
          <w:szCs w:val="21"/>
        </w:rPr>
        <w:t>（8）因其它承包商、公共机关、公共机构或业主未能按合同中规定的日期和条件工作而造成的承包商工作的延误或成本的增加；</w:t>
      </w:r>
    </w:p>
    <w:p>
      <w:pPr>
        <w:spacing w:before="120" w:after="120" w:line="240" w:lineRule="atLeast"/>
        <w:ind w:left="936" w:hanging="576"/>
        <w:jc w:val="left"/>
        <w:textAlignment w:val="auto"/>
        <w:rPr>
          <w:szCs w:val="21"/>
        </w:rPr>
      </w:pPr>
      <w:r>
        <w:rPr>
          <w:rFonts w:hint="eastAsia"/>
          <w:szCs w:val="21"/>
        </w:rPr>
        <w:t>（9）延误支付预付款；</w:t>
      </w:r>
    </w:p>
    <w:p>
      <w:pPr>
        <w:spacing w:before="120" w:after="120" w:line="240" w:lineRule="atLeast"/>
        <w:ind w:left="936" w:hanging="576"/>
        <w:jc w:val="left"/>
        <w:textAlignment w:val="auto"/>
        <w:rPr>
          <w:szCs w:val="21"/>
        </w:rPr>
      </w:pPr>
      <w:r>
        <w:rPr>
          <w:rFonts w:hint="eastAsia"/>
          <w:szCs w:val="21"/>
        </w:rPr>
        <w:t>（10）业主的任何一种风险对承包商的影响；</w:t>
      </w:r>
    </w:p>
    <w:p>
      <w:pPr>
        <w:spacing w:before="120" w:after="120" w:line="240" w:lineRule="atLeast"/>
        <w:ind w:left="936" w:hanging="576"/>
        <w:jc w:val="left"/>
        <w:textAlignment w:val="auto"/>
        <w:rPr>
          <w:szCs w:val="21"/>
        </w:rPr>
      </w:pPr>
      <w:r>
        <w:rPr>
          <w:rFonts w:hint="eastAsia"/>
          <w:szCs w:val="21"/>
        </w:rPr>
        <w:t>（11）项目监理无理拖延签发完工证书；</w:t>
      </w:r>
    </w:p>
    <w:p>
      <w:pPr>
        <w:suppressAutoHyphens/>
        <w:spacing w:before="120" w:after="120"/>
        <w:ind w:firstLine="420" w:firstLineChars="200"/>
        <w:textAlignment w:val="auto"/>
        <w:rPr>
          <w:szCs w:val="21"/>
        </w:rPr>
      </w:pPr>
      <w:r>
        <w:rPr>
          <w:szCs w:val="21"/>
        </w:rPr>
        <w:t>42.2</w:t>
      </w:r>
      <w:r>
        <w:rPr>
          <w:rFonts w:hint="eastAsia"/>
          <w:szCs w:val="21"/>
        </w:rPr>
        <w:t>　如果补偿事件造成成本增加或使得工程无法在预计完工日之前完成，则应增加合同价或顺延预计完工日。项目监理应决定是否增加合同价和增加的数额，以及是否延长预计完工日和延长的期限。</w:t>
      </w:r>
    </w:p>
    <w:p>
      <w:pPr>
        <w:suppressAutoHyphens/>
        <w:spacing w:before="120" w:after="120"/>
        <w:ind w:firstLine="420" w:firstLineChars="200"/>
        <w:textAlignment w:val="auto"/>
        <w:rPr>
          <w:szCs w:val="21"/>
        </w:rPr>
      </w:pPr>
      <w:r>
        <w:rPr>
          <w:szCs w:val="21"/>
        </w:rPr>
        <w:t>42.3</w:t>
      </w:r>
      <w:r>
        <w:rPr>
          <w:rFonts w:hint="eastAsia"/>
          <w:szCs w:val="21"/>
        </w:rPr>
        <w:t>　一旦承包商提交了一个补偿事件对其成本预算所产生影响的资料和预测，项目监理应立即该资料进行审查，并对合同价作出相应的调整。如果认为承包商的成本预算不合理，项目监理应根据自己对此作出的估算调整合同价格。项目监理应认为承包商对补偿事件能做出及时有效的反应。</w:t>
      </w:r>
    </w:p>
    <w:p>
      <w:pPr>
        <w:suppressAutoHyphens/>
        <w:spacing w:before="120" w:after="120"/>
        <w:ind w:firstLine="420" w:firstLineChars="200"/>
        <w:textAlignment w:val="auto"/>
        <w:rPr>
          <w:szCs w:val="21"/>
        </w:rPr>
      </w:pPr>
      <w:r>
        <w:rPr>
          <w:szCs w:val="21"/>
        </w:rPr>
        <w:t>42.4</w:t>
      </w:r>
      <w:r>
        <w:rPr>
          <w:rFonts w:hint="eastAsia"/>
          <w:szCs w:val="21"/>
        </w:rPr>
        <w:t>　承包商无权就由于其未能提前通报或未能与项目监理合作而使业主利益受到不利影响的事件获得补偿。</w:t>
      </w:r>
    </w:p>
    <w:p>
      <w:pPr>
        <w:pStyle w:val="5"/>
      </w:pPr>
      <w:bookmarkStart w:id="1732" w:name="_Toc324772051"/>
      <w:bookmarkStart w:id="1733" w:name="_Toc104482533"/>
      <w:bookmarkStart w:id="1734" w:name="_Toc171063199"/>
      <w:bookmarkStart w:id="1735" w:name="_Toc391287401"/>
      <w:r>
        <w:t>43</w:t>
      </w:r>
      <w:r>
        <w:rPr>
          <w:rFonts w:hint="eastAsia"/>
        </w:rPr>
        <w:t>　税费</w:t>
      </w:r>
      <w:bookmarkEnd w:id="1732"/>
      <w:bookmarkEnd w:id="1733"/>
      <w:bookmarkEnd w:id="1734"/>
      <w:bookmarkEnd w:id="1735"/>
    </w:p>
    <w:p>
      <w:pPr>
        <w:suppressAutoHyphens/>
        <w:spacing w:before="120" w:after="120"/>
        <w:ind w:firstLine="420" w:firstLineChars="200"/>
        <w:textAlignment w:val="auto"/>
        <w:rPr>
          <w:szCs w:val="21"/>
        </w:rPr>
      </w:pPr>
      <w:r>
        <w:rPr>
          <w:szCs w:val="21"/>
        </w:rPr>
        <w:t>43.1</w:t>
      </w:r>
      <w:r>
        <w:rPr>
          <w:rFonts w:hint="eastAsia"/>
          <w:szCs w:val="21"/>
        </w:rPr>
        <w:t>　合同价应包括根据投标截止时间前二十八（</w:t>
      </w:r>
      <w:r>
        <w:rPr>
          <w:szCs w:val="21"/>
        </w:rPr>
        <w:t>28</w:t>
      </w:r>
      <w:r>
        <w:rPr>
          <w:rFonts w:hint="eastAsia"/>
          <w:szCs w:val="21"/>
        </w:rPr>
        <w:t>）天前仍有生效的法规所计算的承包商应缴纳的关税、增值税、营业税、所得税和其它税费。如果自投标截止期前二十八（</w:t>
      </w:r>
      <w:r>
        <w:rPr>
          <w:szCs w:val="21"/>
        </w:rPr>
        <w:t>28</w:t>
      </w:r>
      <w:r>
        <w:rPr>
          <w:rFonts w:hint="eastAsia"/>
          <w:szCs w:val="21"/>
        </w:rPr>
        <w:t>）天到最后一份完工证书发出之日期间有关税费发生了变化，项目监理应调整合同价。该项调整仅限于对承包商应付税额之变化的调整，条件是上述变化未曾包含在合同价中，或者并非一般合同条款第</w:t>
      </w:r>
      <w:r>
        <w:rPr>
          <w:szCs w:val="21"/>
        </w:rPr>
        <w:t>4</w:t>
      </w:r>
      <w:r>
        <w:rPr>
          <w:rFonts w:hint="eastAsia"/>
          <w:szCs w:val="21"/>
        </w:rPr>
        <w:t>5</w:t>
      </w:r>
      <w:r>
        <w:rPr>
          <w:szCs w:val="21"/>
        </w:rPr>
        <w:t>条的结果</w:t>
      </w:r>
      <w:r>
        <w:rPr>
          <w:rFonts w:hint="eastAsia"/>
          <w:szCs w:val="21"/>
        </w:rPr>
        <w:t>。</w:t>
      </w:r>
    </w:p>
    <w:p>
      <w:pPr>
        <w:pStyle w:val="5"/>
      </w:pPr>
      <w:bookmarkStart w:id="1736" w:name="_Toc171063200"/>
      <w:bookmarkStart w:id="1737" w:name="_Toc324772052"/>
      <w:bookmarkStart w:id="1738" w:name="_Toc391287402"/>
      <w:bookmarkStart w:id="1739" w:name="_Toc104482534"/>
      <w:r>
        <w:t>44</w:t>
      </w:r>
      <w:r>
        <w:rPr>
          <w:rFonts w:hint="eastAsia"/>
        </w:rPr>
        <w:t>　货币</w:t>
      </w:r>
      <w:bookmarkEnd w:id="1736"/>
      <w:bookmarkEnd w:id="1737"/>
      <w:bookmarkEnd w:id="1738"/>
      <w:bookmarkEnd w:id="1739"/>
    </w:p>
    <w:p>
      <w:pPr>
        <w:suppressAutoHyphens/>
        <w:spacing w:before="120" w:after="120"/>
        <w:ind w:firstLine="420" w:firstLineChars="200"/>
        <w:textAlignment w:val="auto"/>
        <w:rPr>
          <w:szCs w:val="21"/>
        </w:rPr>
      </w:pPr>
      <w:r>
        <w:rPr>
          <w:szCs w:val="21"/>
        </w:rPr>
        <w:t>44.1</w:t>
      </w:r>
      <w:r>
        <w:rPr>
          <w:rFonts w:hint="eastAsia"/>
          <w:szCs w:val="21"/>
        </w:rPr>
        <w:t>　支付货币为人民币。</w:t>
      </w:r>
    </w:p>
    <w:p>
      <w:pPr>
        <w:pStyle w:val="5"/>
      </w:pPr>
      <w:bookmarkStart w:id="1740" w:name="_Toc171063201"/>
      <w:bookmarkStart w:id="1741" w:name="_Toc32766947"/>
      <w:r>
        <w:t>4</w:t>
      </w:r>
      <w:r>
        <w:rPr>
          <w:rFonts w:hint="eastAsia"/>
        </w:rPr>
        <w:t>5　法律变更</w:t>
      </w:r>
      <w:bookmarkEnd w:id="1740"/>
      <w:bookmarkEnd w:id="1741"/>
    </w:p>
    <w:p>
      <w:pPr>
        <w:suppressAutoHyphens/>
        <w:overflowPunct w:val="0"/>
        <w:autoSpaceDE w:val="0"/>
        <w:autoSpaceDN w:val="0"/>
        <w:spacing w:before="120" w:after="120"/>
        <w:ind w:firstLine="420" w:firstLineChars="200"/>
        <w:rPr>
          <w:szCs w:val="21"/>
          <w:highlight w:val="none"/>
        </w:rPr>
      </w:pPr>
      <w:r>
        <w:rPr>
          <w:szCs w:val="21"/>
          <w:highlight w:val="none"/>
        </w:rPr>
        <w:t>4</w:t>
      </w:r>
      <w:r>
        <w:rPr>
          <w:rFonts w:hint="eastAsia"/>
          <w:szCs w:val="21"/>
          <w:highlight w:val="none"/>
        </w:rPr>
        <w:t>5</w:t>
      </w:r>
      <w:r>
        <w:rPr>
          <w:szCs w:val="21"/>
          <w:highlight w:val="none"/>
        </w:rPr>
        <w:t>.1</w:t>
      </w:r>
      <w:r>
        <w:rPr>
          <w:rFonts w:hint="eastAsia"/>
          <w:szCs w:val="21"/>
          <w:highlight w:val="none"/>
        </w:rPr>
        <w:t>　如果在投标文件递交截止日期后发生中国法律变更（包括颁布新法律、撤销或修改现行法律）或对于法律的司法解释或政府官方解释的变更，从而引起承包商实施合同的成本或费用增加或者减少，合同价应相应调整。</w:t>
      </w:r>
    </w:p>
    <w:p>
      <w:pPr>
        <w:suppressAutoHyphens/>
        <w:overflowPunct w:val="0"/>
        <w:autoSpaceDE w:val="0"/>
        <w:autoSpaceDN w:val="0"/>
        <w:spacing w:before="120" w:after="120"/>
        <w:ind w:firstLine="420" w:firstLineChars="200"/>
        <w:rPr>
          <w:szCs w:val="21"/>
          <w:highlight w:val="none"/>
        </w:rPr>
      </w:pPr>
      <w:r>
        <w:rPr>
          <w:rFonts w:hint="eastAsia"/>
          <w:szCs w:val="21"/>
          <w:highlight w:val="none"/>
        </w:rPr>
        <w:t>如果在投标文件递交截止日期后发生中国法律变更（包括颁布新法律、撤销或修改现行法律）或对于法律的司法解释或政府官方解释的变更，承包商由此蒙受（或将蒙受）工期延误，以及/或蒙受（或将蒙受）额外费用，并且承包商在其意识到或应该意识到该法律或法律解释变更后28天内书面通知了项目监理，则承包商有权：</w:t>
      </w:r>
    </w:p>
    <w:p>
      <w:pPr>
        <w:suppressAutoHyphens/>
        <w:overflowPunct w:val="0"/>
        <w:autoSpaceDE w:val="0"/>
        <w:autoSpaceDN w:val="0"/>
        <w:spacing w:before="120" w:after="120"/>
        <w:ind w:firstLine="420" w:firstLineChars="200"/>
        <w:rPr>
          <w:szCs w:val="21"/>
          <w:highlight w:val="none"/>
        </w:rPr>
      </w:pPr>
      <w:r>
        <w:rPr>
          <w:rFonts w:hint="eastAsia"/>
          <w:szCs w:val="21"/>
          <w:highlight w:val="none"/>
        </w:rPr>
        <w:t>（a）得到相应的工期补偿，如果原定工期被延误或将被延误；</w:t>
      </w:r>
    </w:p>
    <w:p>
      <w:pPr>
        <w:suppressAutoHyphens/>
        <w:overflowPunct w:val="0"/>
        <w:autoSpaceDE w:val="0"/>
        <w:autoSpaceDN w:val="0"/>
        <w:spacing w:before="120" w:after="120"/>
        <w:ind w:firstLine="420" w:firstLineChars="200"/>
        <w:rPr>
          <w:szCs w:val="21"/>
          <w:highlight w:val="none"/>
        </w:rPr>
      </w:pPr>
      <w:r>
        <w:rPr>
          <w:rFonts w:hint="eastAsia"/>
          <w:szCs w:val="21"/>
          <w:highlight w:val="none"/>
        </w:rPr>
        <w:t>（b）得到该额外费用的补偿。该额外费用应增加到原合同价中。</w:t>
      </w:r>
    </w:p>
    <w:p>
      <w:pPr>
        <w:suppressAutoHyphens/>
        <w:overflowPunct w:val="0"/>
        <w:autoSpaceDE w:val="0"/>
        <w:autoSpaceDN w:val="0"/>
        <w:spacing w:before="120" w:after="120"/>
        <w:ind w:firstLine="420" w:firstLineChars="200"/>
        <w:rPr>
          <w:szCs w:val="21"/>
        </w:rPr>
      </w:pPr>
      <w:r>
        <w:rPr>
          <w:rFonts w:hint="eastAsia"/>
          <w:szCs w:val="21"/>
          <w:highlight w:val="none"/>
        </w:rPr>
        <w:t>但是，如果以前批准的工期延长已经考虑了上述法律变更或对法律解释的变更引起的工期延误，则承包商无权再得到工期补偿。如果合同条款46.1款使用的物价指数或参考价格已经考虑了上述法律变更或对法律解释的变更引起的额外费用，则承包商无权再得到该额外费用的补偿。</w:t>
      </w:r>
    </w:p>
    <w:p>
      <w:pPr>
        <w:pStyle w:val="5"/>
      </w:pPr>
      <w:bookmarkStart w:id="1742" w:name="_Toc391287403"/>
      <w:bookmarkStart w:id="1743" w:name="_Toc104482535"/>
      <w:bookmarkStart w:id="1744" w:name="_Toc171063202"/>
      <w:bookmarkStart w:id="1745" w:name="_Toc324772053"/>
      <w:r>
        <w:t>46</w:t>
      </w:r>
      <w:r>
        <w:rPr>
          <w:rFonts w:hint="eastAsia"/>
        </w:rPr>
        <w:t>　价格调整</w:t>
      </w:r>
      <w:bookmarkEnd w:id="1742"/>
      <w:bookmarkEnd w:id="1743"/>
      <w:bookmarkEnd w:id="1744"/>
      <w:bookmarkEnd w:id="1745"/>
    </w:p>
    <w:p>
      <w:pPr>
        <w:suppressAutoHyphens/>
        <w:spacing w:before="120" w:after="120"/>
        <w:ind w:firstLine="420" w:firstLineChars="200"/>
        <w:textAlignment w:val="auto"/>
        <w:rPr>
          <w:szCs w:val="21"/>
        </w:rPr>
      </w:pPr>
      <w:r>
        <w:rPr>
          <w:szCs w:val="21"/>
        </w:rPr>
        <w:t>46.1</w:t>
      </w:r>
      <w:r>
        <w:rPr>
          <w:rFonts w:hint="eastAsia"/>
          <w:szCs w:val="21"/>
        </w:rPr>
        <w:t>　只有在</w:t>
      </w:r>
      <w:r>
        <w:rPr>
          <w:b/>
          <w:szCs w:val="21"/>
        </w:rPr>
        <w:t>特殊合同条款</w:t>
      </w:r>
      <w:r>
        <w:rPr>
          <w:rFonts w:hint="eastAsia"/>
          <w:szCs w:val="21"/>
        </w:rPr>
        <w:t>中有所规定时，合同价方可根据投入成本的变化进行调整。如果</w:t>
      </w:r>
      <w:r>
        <w:rPr>
          <w:b/>
          <w:szCs w:val="21"/>
        </w:rPr>
        <w:t>特殊合同条款</w:t>
      </w:r>
      <w:r>
        <w:rPr>
          <w:rFonts w:hint="eastAsia"/>
          <w:szCs w:val="21"/>
        </w:rPr>
        <w:t>中有此规定，则应将每份支付证书扣还预付款前的应付款项应用有关调价系数进行调整。下述公式用于计算调价系数：</w:t>
      </w:r>
    </w:p>
    <w:p>
      <w:pPr>
        <w:pStyle w:val="236"/>
        <w:spacing w:before="0" w:after="180"/>
        <w:ind w:left="576" w:hanging="14"/>
        <w:jc w:val="both"/>
        <w:rPr>
          <w:rFonts w:eastAsia="宋体"/>
          <w:sz w:val="21"/>
          <w:szCs w:val="21"/>
          <w:lang w:val="en-US" w:eastAsia="zh-CN"/>
        </w:rPr>
      </w:pPr>
      <w:r>
        <w:rPr>
          <w:rFonts w:eastAsia="宋体"/>
          <w:sz w:val="21"/>
          <w:szCs w:val="21"/>
          <w:lang w:val="en-US" w:eastAsia="zh-CN"/>
        </w:rPr>
        <w:t xml:space="preserve">Pn = a + b Ln/ Lo + c En/Eo + d Mn/Mo + ...... </w:t>
      </w:r>
      <w:r>
        <w:rPr>
          <w:rFonts w:hint="eastAsia" w:eastAsia="宋体"/>
          <w:sz w:val="21"/>
          <w:szCs w:val="21"/>
          <w:lang w:val="en-US" w:eastAsia="zh-CN"/>
        </w:rPr>
        <w:t>其中</w:t>
      </w:r>
      <w:r>
        <w:rPr>
          <w:rFonts w:eastAsia="宋体"/>
          <w:sz w:val="21"/>
          <w:szCs w:val="21"/>
          <w:lang w:val="en-US" w:eastAsia="zh-CN"/>
        </w:rPr>
        <w:t>:</w:t>
      </w:r>
    </w:p>
    <w:p>
      <w:pPr>
        <w:pStyle w:val="236"/>
        <w:spacing w:before="0" w:after="180"/>
        <w:ind w:left="576" w:hanging="14"/>
        <w:jc w:val="both"/>
        <w:rPr>
          <w:rFonts w:eastAsia="宋体"/>
          <w:sz w:val="21"/>
          <w:szCs w:val="21"/>
          <w:lang w:val="en-US" w:eastAsia="zh-CN"/>
        </w:rPr>
      </w:pPr>
      <w:r>
        <w:rPr>
          <w:rFonts w:eastAsia="宋体"/>
          <w:sz w:val="21"/>
          <w:szCs w:val="21"/>
          <w:lang w:val="en-US" w:eastAsia="zh-CN"/>
        </w:rPr>
        <w:t xml:space="preserve">“Pn” </w:t>
      </w:r>
      <w:r>
        <w:rPr>
          <w:rFonts w:hint="eastAsia" w:eastAsia="宋体"/>
          <w:sz w:val="21"/>
          <w:szCs w:val="21"/>
          <w:lang w:val="en-US" w:eastAsia="zh-CN"/>
        </w:rPr>
        <w:t>是调价系数</w:t>
      </w:r>
      <w:r>
        <w:rPr>
          <w:rFonts w:eastAsia="宋体"/>
          <w:sz w:val="21"/>
          <w:szCs w:val="21"/>
          <w:lang w:val="en-US" w:eastAsia="zh-CN"/>
        </w:rPr>
        <w:t>;</w:t>
      </w:r>
    </w:p>
    <w:p>
      <w:pPr>
        <w:pStyle w:val="236"/>
        <w:spacing w:before="0" w:after="180"/>
        <w:ind w:left="576" w:hanging="18"/>
        <w:jc w:val="both"/>
        <w:rPr>
          <w:rFonts w:eastAsia="宋体"/>
          <w:sz w:val="21"/>
          <w:szCs w:val="21"/>
          <w:lang w:val="en-US" w:eastAsia="zh-CN"/>
        </w:rPr>
      </w:pPr>
      <w:r>
        <w:rPr>
          <w:rFonts w:eastAsia="宋体"/>
          <w:sz w:val="21"/>
          <w:szCs w:val="21"/>
          <w:lang w:val="en-US" w:eastAsia="zh-CN"/>
        </w:rPr>
        <w:t xml:space="preserve">“a” </w:t>
      </w:r>
      <w:r>
        <w:rPr>
          <w:rFonts w:hint="eastAsia" w:eastAsia="宋体"/>
          <w:sz w:val="21"/>
          <w:szCs w:val="21"/>
          <w:lang w:val="en-US" w:eastAsia="zh-CN"/>
        </w:rPr>
        <w:t>是不可调整部分权重</w:t>
      </w:r>
      <w:r>
        <w:rPr>
          <w:rFonts w:eastAsia="宋体"/>
          <w:sz w:val="21"/>
          <w:szCs w:val="21"/>
          <w:lang w:val="en-US" w:eastAsia="zh-CN"/>
        </w:rPr>
        <w:t>;</w:t>
      </w:r>
    </w:p>
    <w:p>
      <w:pPr>
        <w:pStyle w:val="236"/>
        <w:spacing w:before="0" w:after="240"/>
        <w:ind w:left="576" w:hanging="18"/>
        <w:jc w:val="both"/>
        <w:rPr>
          <w:rFonts w:eastAsia="宋体"/>
          <w:sz w:val="21"/>
          <w:szCs w:val="21"/>
          <w:lang w:val="en-US" w:eastAsia="zh-CN"/>
        </w:rPr>
      </w:pPr>
      <w:r>
        <w:rPr>
          <w:rFonts w:eastAsia="宋体"/>
          <w:sz w:val="21"/>
          <w:szCs w:val="21"/>
          <w:lang w:val="en-US" w:eastAsia="zh-CN"/>
        </w:rPr>
        <w:t xml:space="preserve">“b”, “c”, “d”, … </w:t>
      </w:r>
      <w:r>
        <w:rPr>
          <w:rFonts w:hint="eastAsia" w:eastAsia="宋体"/>
          <w:sz w:val="21"/>
          <w:szCs w:val="21"/>
          <w:lang w:val="en-US" w:eastAsia="zh-CN"/>
        </w:rPr>
        <w:t>是人工、设备、材料等的权重</w:t>
      </w:r>
      <w:r>
        <w:rPr>
          <w:rFonts w:eastAsia="宋体"/>
          <w:sz w:val="21"/>
          <w:szCs w:val="21"/>
          <w:lang w:val="en-US" w:eastAsia="zh-CN"/>
        </w:rPr>
        <w:t>;</w:t>
      </w:r>
    </w:p>
    <w:p>
      <w:pPr>
        <w:pStyle w:val="236"/>
        <w:spacing w:before="0" w:after="220"/>
        <w:ind w:left="576" w:hanging="18"/>
        <w:jc w:val="both"/>
        <w:rPr>
          <w:rFonts w:eastAsia="宋体"/>
          <w:sz w:val="21"/>
          <w:szCs w:val="21"/>
          <w:lang w:val="en-US" w:eastAsia="zh-CN"/>
        </w:rPr>
      </w:pPr>
      <w:r>
        <w:rPr>
          <w:rFonts w:eastAsia="宋体"/>
          <w:sz w:val="21"/>
          <w:szCs w:val="21"/>
          <w:lang w:val="en-US" w:eastAsia="zh-CN"/>
        </w:rPr>
        <w:t xml:space="preserve">“Ln”, “En”, “Mn”, … </w:t>
      </w:r>
      <w:r>
        <w:rPr>
          <w:rFonts w:hint="eastAsia" w:eastAsia="宋体"/>
          <w:sz w:val="21"/>
          <w:szCs w:val="21"/>
          <w:lang w:val="en-US" w:eastAsia="zh-CN"/>
        </w:rPr>
        <w:t>是支付证书对应月份的人工、设备、材料物价指数或参考价格</w:t>
      </w:r>
      <w:r>
        <w:rPr>
          <w:rFonts w:eastAsia="宋体"/>
          <w:sz w:val="21"/>
          <w:szCs w:val="21"/>
          <w:lang w:val="en-US" w:eastAsia="zh-CN"/>
        </w:rPr>
        <w:t xml:space="preserve">; </w:t>
      </w:r>
    </w:p>
    <w:p>
      <w:pPr>
        <w:spacing w:before="120" w:after="120"/>
        <w:ind w:left="576" w:right="-74"/>
        <w:jc w:val="left"/>
        <w:rPr>
          <w:szCs w:val="21"/>
        </w:rPr>
      </w:pPr>
      <w:r>
        <w:rPr>
          <w:szCs w:val="21"/>
        </w:rPr>
        <w:t xml:space="preserve">“Lo”, “Eo”, “Mo”, … </w:t>
      </w:r>
      <w:r>
        <w:rPr>
          <w:rFonts w:hint="eastAsia"/>
          <w:szCs w:val="21"/>
        </w:rPr>
        <w:t>是投标文件递交截止日所在月份的人工、设备、材料物价指数或参考价格</w:t>
      </w:r>
    </w:p>
    <w:p>
      <w:pPr>
        <w:suppressAutoHyphens/>
        <w:spacing w:before="120" w:after="120"/>
        <w:ind w:firstLine="420" w:firstLineChars="200"/>
        <w:textAlignment w:val="auto"/>
        <w:rPr>
          <w:szCs w:val="21"/>
        </w:rPr>
      </w:pPr>
      <w:r>
        <w:rPr>
          <w:szCs w:val="21"/>
        </w:rPr>
        <w:t>46.2</w:t>
      </w:r>
      <w:r>
        <w:rPr>
          <w:rFonts w:hint="eastAsia"/>
          <w:szCs w:val="21"/>
        </w:rPr>
        <w:t>　在任何时候和任何情况下，如果现行的价格指数或参考价格无法获得，则可使用一个项目监理确定的暂定指数或参考价格，但该指数或参考价格和已付给承包商的款项应在获得当时的现行指数后根据第</w:t>
      </w:r>
      <w:r>
        <w:rPr>
          <w:szCs w:val="21"/>
        </w:rPr>
        <w:t>46.3</w:t>
      </w:r>
      <w:r>
        <w:rPr>
          <w:rFonts w:hint="eastAsia"/>
          <w:szCs w:val="21"/>
        </w:rPr>
        <w:t>款的规定予以调整。</w:t>
      </w:r>
    </w:p>
    <w:p>
      <w:pPr>
        <w:suppressAutoHyphens/>
        <w:spacing w:before="120" w:after="120"/>
        <w:ind w:firstLine="420" w:firstLineChars="200"/>
        <w:textAlignment w:val="auto"/>
        <w:rPr>
          <w:szCs w:val="21"/>
        </w:rPr>
      </w:pPr>
      <w:r>
        <w:rPr>
          <w:szCs w:val="21"/>
        </w:rPr>
        <w:t>46.3</w:t>
      </w:r>
      <w:r>
        <w:rPr>
          <w:rFonts w:hint="eastAsia"/>
          <w:szCs w:val="21"/>
        </w:rPr>
        <w:t>　如果某一指数值或参考价格在用于调价计算后发生了变化，则该调价结果应予以修正，并在下一期支付证书中作相应的调整。该指数值或参考价格应被视为包含了引起成本的增减的所有价格波动。</w:t>
      </w:r>
    </w:p>
    <w:p>
      <w:pPr>
        <w:pStyle w:val="5"/>
      </w:pPr>
      <w:bookmarkStart w:id="1746" w:name="_Toc324772054"/>
      <w:bookmarkStart w:id="1747" w:name="_Toc171063203"/>
      <w:bookmarkStart w:id="1748" w:name="_Toc104482536"/>
      <w:bookmarkStart w:id="1749" w:name="_Toc391287404"/>
      <w:r>
        <w:t>47</w:t>
      </w:r>
      <w:r>
        <w:rPr>
          <w:rFonts w:hint="eastAsia"/>
        </w:rPr>
        <w:t>　保留金</w:t>
      </w:r>
      <w:bookmarkEnd w:id="1746"/>
      <w:bookmarkEnd w:id="1747"/>
      <w:bookmarkEnd w:id="1748"/>
      <w:bookmarkEnd w:id="1749"/>
    </w:p>
    <w:p>
      <w:pPr>
        <w:suppressAutoHyphens/>
        <w:spacing w:before="120" w:after="120"/>
        <w:ind w:firstLine="420" w:firstLineChars="200"/>
        <w:textAlignment w:val="auto"/>
        <w:rPr>
          <w:szCs w:val="21"/>
        </w:rPr>
      </w:pPr>
      <w:r>
        <w:rPr>
          <w:szCs w:val="21"/>
        </w:rPr>
        <w:t>47.1</w:t>
      </w:r>
      <w:r>
        <w:rPr>
          <w:rFonts w:hint="eastAsia"/>
          <w:szCs w:val="21"/>
        </w:rPr>
        <w:t>　按照</w:t>
      </w:r>
      <w:r>
        <w:rPr>
          <w:b/>
          <w:szCs w:val="21"/>
        </w:rPr>
        <w:t>特殊合同条款</w:t>
      </w:r>
      <w:r>
        <w:rPr>
          <w:rFonts w:hint="eastAsia"/>
          <w:szCs w:val="21"/>
        </w:rPr>
        <w:t>的规定，业主将从首期支付证书开始，从应支付给承包商的每一笔款项中扣留一定比例的金额，直到累积额达到</w:t>
      </w:r>
      <w:r>
        <w:rPr>
          <w:rFonts w:hint="eastAsia"/>
          <w:b/>
          <w:szCs w:val="21"/>
        </w:rPr>
        <w:t>特殊合同条款</w:t>
      </w:r>
      <w:r>
        <w:rPr>
          <w:rFonts w:hint="eastAsia"/>
          <w:szCs w:val="21"/>
        </w:rPr>
        <w:t>规定的保留金的限额。</w:t>
      </w:r>
    </w:p>
    <w:p>
      <w:pPr>
        <w:suppressAutoHyphens/>
        <w:spacing w:before="120" w:after="120"/>
        <w:ind w:firstLine="420" w:firstLineChars="200"/>
        <w:textAlignment w:val="auto"/>
        <w:rPr>
          <w:szCs w:val="21"/>
        </w:rPr>
      </w:pPr>
      <w:r>
        <w:rPr>
          <w:szCs w:val="21"/>
        </w:rPr>
        <w:t>47.2</w:t>
      </w:r>
      <w:r>
        <w:rPr>
          <w:rFonts w:hint="eastAsia"/>
          <w:szCs w:val="21"/>
        </w:rPr>
        <w:t>　在项目监理根据</w:t>
      </w:r>
      <w:r>
        <w:rPr>
          <w:szCs w:val="21"/>
        </w:rPr>
        <w:t>一般合同条款第55.1款签</w:t>
      </w:r>
      <w:r>
        <w:rPr>
          <w:rFonts w:hint="eastAsia"/>
          <w:szCs w:val="21"/>
        </w:rPr>
        <w:t>发工程完工证书时，应将保留金的一半返还给承包商。在缺陷责任期过后并经项目监理证明承包商已将缺陷责任期结束前项目监理通知承包商的全部缺陷修复完毕时，将另一半保留金返还给承包商。承包商可以用“见索即付保函”替代保留金。</w:t>
      </w:r>
    </w:p>
    <w:p>
      <w:pPr>
        <w:pStyle w:val="5"/>
      </w:pPr>
      <w:bookmarkStart w:id="1750" w:name="_Toc324772055"/>
      <w:bookmarkStart w:id="1751" w:name="_Toc104482537"/>
      <w:bookmarkStart w:id="1752" w:name="_Toc171063204"/>
      <w:bookmarkStart w:id="1753" w:name="_Toc391287405"/>
      <w:r>
        <w:t>48</w:t>
      </w:r>
      <w:r>
        <w:rPr>
          <w:rFonts w:hint="eastAsia"/>
        </w:rPr>
        <w:t>　误期赔偿费</w:t>
      </w:r>
      <w:bookmarkEnd w:id="1750"/>
      <w:bookmarkEnd w:id="1751"/>
      <w:bookmarkEnd w:id="1752"/>
      <w:bookmarkEnd w:id="1753"/>
    </w:p>
    <w:p>
      <w:pPr>
        <w:suppressAutoHyphens/>
        <w:spacing w:before="120" w:after="120"/>
        <w:ind w:firstLine="420" w:firstLineChars="200"/>
        <w:textAlignment w:val="auto"/>
        <w:rPr>
          <w:szCs w:val="21"/>
        </w:rPr>
      </w:pPr>
      <w:r>
        <w:rPr>
          <w:szCs w:val="21"/>
        </w:rPr>
        <w:t>48.1</w:t>
      </w:r>
      <w:r>
        <w:rPr>
          <w:rFonts w:hint="eastAsia"/>
          <w:szCs w:val="21"/>
        </w:rPr>
        <w:t>　承包商应按实际完工日晚于预计完工日的天数，根据</w:t>
      </w:r>
      <w:r>
        <w:rPr>
          <w:b/>
          <w:szCs w:val="21"/>
        </w:rPr>
        <w:t>特殊合同条款</w:t>
      </w:r>
      <w:r>
        <w:rPr>
          <w:rFonts w:hint="eastAsia"/>
          <w:szCs w:val="21"/>
        </w:rPr>
        <w:t>中规定的日罚金向业主支付误期赔偿费。误期赔偿费的总额不得超过</w:t>
      </w:r>
      <w:r>
        <w:rPr>
          <w:b/>
          <w:szCs w:val="21"/>
        </w:rPr>
        <w:t>特殊合同条款</w:t>
      </w:r>
      <w:r>
        <w:rPr>
          <w:rFonts w:hint="eastAsia"/>
          <w:szCs w:val="21"/>
        </w:rPr>
        <w:t>中的限额。业主可从向承包商支付的到期应付款中扣除误期赔偿费。误期赔偿费的支付不影响承包商的义务。</w:t>
      </w:r>
    </w:p>
    <w:p>
      <w:pPr>
        <w:suppressAutoHyphens/>
        <w:spacing w:before="120" w:after="120"/>
        <w:ind w:firstLine="420" w:firstLineChars="200"/>
        <w:textAlignment w:val="auto"/>
        <w:rPr>
          <w:szCs w:val="21"/>
        </w:rPr>
      </w:pPr>
      <w:r>
        <w:rPr>
          <w:szCs w:val="21"/>
        </w:rPr>
        <w:t>48.2</w:t>
      </w:r>
      <w:r>
        <w:rPr>
          <w:rFonts w:hint="eastAsia"/>
          <w:szCs w:val="21"/>
        </w:rPr>
        <w:t>　如遇误期赔偿费支付后预计完工日延期，项目监理应调整下一期支付证书以修正承包商多付之误期赔偿费。同时应自支付误期赔偿费之日起至退回多付部分之日止，按</w:t>
      </w:r>
      <w:r>
        <w:rPr>
          <w:szCs w:val="21"/>
        </w:rPr>
        <w:t>一般合同条款</w:t>
      </w:r>
      <w:r>
        <w:rPr>
          <w:rFonts w:hint="eastAsia"/>
          <w:szCs w:val="21"/>
        </w:rPr>
        <w:t>41.1款规定的利率向承包商支付多付误期赔偿费的利息。</w:t>
      </w:r>
    </w:p>
    <w:p>
      <w:pPr>
        <w:pStyle w:val="5"/>
      </w:pPr>
      <w:bookmarkStart w:id="1754" w:name="_Toc104482538"/>
      <w:bookmarkStart w:id="1755" w:name="_Toc171063205"/>
      <w:bookmarkStart w:id="1756" w:name="_Toc324772056"/>
      <w:bookmarkStart w:id="1757" w:name="_Toc391287406"/>
      <w:r>
        <w:t>49</w:t>
      </w:r>
      <w:r>
        <w:rPr>
          <w:rFonts w:hint="eastAsia"/>
        </w:rPr>
        <w:t>　奖励</w:t>
      </w:r>
      <w:bookmarkEnd w:id="1754"/>
      <w:bookmarkEnd w:id="1755"/>
      <w:bookmarkEnd w:id="1756"/>
      <w:bookmarkEnd w:id="1757"/>
    </w:p>
    <w:p>
      <w:pPr>
        <w:suppressAutoHyphens/>
        <w:spacing w:before="120" w:after="120"/>
        <w:ind w:firstLine="420" w:firstLineChars="200"/>
        <w:textAlignment w:val="auto"/>
        <w:rPr>
          <w:szCs w:val="21"/>
        </w:rPr>
      </w:pPr>
      <w:r>
        <w:rPr>
          <w:szCs w:val="21"/>
        </w:rPr>
        <w:t>49.1</w:t>
      </w:r>
      <w:r>
        <w:rPr>
          <w:rFonts w:hint="eastAsia"/>
          <w:szCs w:val="21"/>
        </w:rPr>
        <w:t>　如在预计完工日前完成工程，承包商将获得根据</w:t>
      </w:r>
      <w:r>
        <w:rPr>
          <w:b/>
          <w:szCs w:val="21"/>
        </w:rPr>
        <w:t>特殊合同条款</w:t>
      </w:r>
      <w:r>
        <w:rPr>
          <w:rFonts w:hint="eastAsia"/>
          <w:szCs w:val="21"/>
        </w:rPr>
        <w:t>规定按日历天（减去承包商已获得的加快进度费用的天数）计算的提前完工的奖励。项目监理应确认工程在预计完工日前完工。</w:t>
      </w:r>
    </w:p>
    <w:p>
      <w:pPr>
        <w:pStyle w:val="5"/>
      </w:pPr>
      <w:bookmarkStart w:id="1758" w:name="_Toc171063206"/>
      <w:bookmarkStart w:id="1759" w:name="_Toc324772057"/>
      <w:bookmarkStart w:id="1760" w:name="_Toc391287407"/>
      <w:bookmarkStart w:id="1761" w:name="_Toc104482539"/>
      <w:r>
        <w:t>50</w:t>
      </w:r>
      <w:r>
        <w:rPr>
          <w:rFonts w:hint="eastAsia"/>
        </w:rPr>
        <w:t>　预付款</w:t>
      </w:r>
      <w:bookmarkEnd w:id="1758"/>
      <w:bookmarkEnd w:id="1759"/>
      <w:bookmarkEnd w:id="1760"/>
      <w:bookmarkEnd w:id="1761"/>
    </w:p>
    <w:p>
      <w:pPr>
        <w:suppressAutoHyphens/>
        <w:spacing w:before="120" w:after="120"/>
        <w:ind w:firstLine="420" w:firstLineChars="200"/>
        <w:textAlignment w:val="auto"/>
        <w:rPr>
          <w:szCs w:val="21"/>
        </w:rPr>
      </w:pPr>
      <w:r>
        <w:rPr>
          <w:szCs w:val="21"/>
        </w:rPr>
        <w:t>50.1</w:t>
      </w:r>
      <w:r>
        <w:rPr>
          <w:rFonts w:hint="eastAsia"/>
          <w:szCs w:val="21"/>
        </w:rPr>
        <w:t>　在承包商按无条件银行保函的格式由业主接受的一家银行开具与预付款数额等值的预付款保函后，业主将按</w:t>
      </w:r>
      <w:r>
        <w:rPr>
          <w:b/>
          <w:szCs w:val="21"/>
        </w:rPr>
        <w:t>特殊合同条款</w:t>
      </w:r>
      <w:r>
        <w:rPr>
          <w:rFonts w:hint="eastAsia"/>
          <w:szCs w:val="21"/>
        </w:rPr>
        <w:t>中规定的金额和日期向承包商支付预付款。预付款保函应在预付款全部扣还之前保持有效，但其担保额应随投标人偿还的金额而逐渐减少。预付款不计利息。</w:t>
      </w:r>
    </w:p>
    <w:p>
      <w:pPr>
        <w:suppressAutoHyphens/>
        <w:spacing w:before="120" w:after="120"/>
        <w:ind w:firstLine="420" w:firstLineChars="200"/>
        <w:textAlignment w:val="auto"/>
        <w:rPr>
          <w:szCs w:val="21"/>
        </w:rPr>
      </w:pPr>
      <w:r>
        <w:rPr>
          <w:szCs w:val="21"/>
        </w:rPr>
        <w:t>50.2</w:t>
      </w:r>
      <w:r>
        <w:rPr>
          <w:rFonts w:hint="eastAsia"/>
          <w:szCs w:val="21"/>
        </w:rPr>
        <w:t>　承包商应将预付款用于购置实施本合同所需的施工机械、设备、材料及进场费用，并应向项目监理提交发票或其它证明文件以证明预付款的使用情况属实。</w:t>
      </w:r>
    </w:p>
    <w:p>
      <w:pPr>
        <w:suppressAutoHyphens/>
        <w:spacing w:before="120" w:after="120"/>
        <w:ind w:firstLine="420" w:firstLineChars="200"/>
        <w:textAlignment w:val="auto"/>
        <w:rPr>
          <w:szCs w:val="21"/>
        </w:rPr>
      </w:pPr>
      <w:r>
        <w:rPr>
          <w:szCs w:val="21"/>
        </w:rPr>
        <w:t>50.3</w:t>
      </w:r>
      <w:r>
        <w:rPr>
          <w:rFonts w:hint="eastAsia"/>
          <w:szCs w:val="21"/>
        </w:rPr>
        <w:t>　预付款应从给承包商的应付款中，按完成工程量已支付百分比所对应的比例扣还。在评估所完成的工程、变更、价格调整、补偿事件、奖励或误期赔偿费时无须考虑预付款的支付和扣还。</w:t>
      </w:r>
    </w:p>
    <w:p>
      <w:pPr>
        <w:pStyle w:val="5"/>
      </w:pPr>
      <w:bookmarkStart w:id="1762" w:name="_Toc171063207"/>
      <w:bookmarkStart w:id="1763" w:name="_Toc104482540"/>
      <w:bookmarkStart w:id="1764" w:name="_Toc391287408"/>
      <w:bookmarkStart w:id="1765" w:name="_Toc324772058"/>
      <w:r>
        <w:t>51</w:t>
      </w:r>
      <w:r>
        <w:rPr>
          <w:rFonts w:hint="eastAsia"/>
        </w:rPr>
        <w:t>　保证金</w:t>
      </w:r>
      <w:bookmarkEnd w:id="1762"/>
      <w:bookmarkEnd w:id="1763"/>
      <w:bookmarkEnd w:id="1764"/>
      <w:bookmarkEnd w:id="1765"/>
    </w:p>
    <w:p>
      <w:pPr>
        <w:suppressAutoHyphens/>
        <w:spacing w:before="120" w:after="120"/>
        <w:ind w:firstLine="420" w:firstLineChars="200"/>
        <w:textAlignment w:val="auto"/>
        <w:rPr>
          <w:szCs w:val="21"/>
        </w:rPr>
      </w:pPr>
      <w:r>
        <w:rPr>
          <w:szCs w:val="21"/>
        </w:rPr>
        <w:t>51.1</w:t>
      </w:r>
      <w:r>
        <w:rPr>
          <w:rFonts w:hint="eastAsia"/>
          <w:szCs w:val="21"/>
        </w:rPr>
        <w:t>　履约保函应在中标通知书规定之日前按</w:t>
      </w:r>
      <w:r>
        <w:rPr>
          <w:b/>
          <w:szCs w:val="21"/>
        </w:rPr>
        <w:t>特殊合同条款</w:t>
      </w:r>
      <w:r>
        <w:rPr>
          <w:rFonts w:hint="eastAsia"/>
          <w:szCs w:val="21"/>
        </w:rPr>
        <w:t>规定的金额，以</w:t>
      </w:r>
      <w:r>
        <w:rPr>
          <w:szCs w:val="21"/>
        </w:rPr>
        <w:t>无条件银行保函的格式</w:t>
      </w:r>
      <w:r>
        <w:rPr>
          <w:rFonts w:hint="eastAsia"/>
          <w:szCs w:val="21"/>
        </w:rPr>
        <w:t>提交给业主。保函应以应付合同款项所使用的货币和比例，由在中华人民共和国注册的，有权为此目的开具保函，且为业主所接受的商业银行开具。该履约保函的有效期应截止至签</w:t>
      </w:r>
      <w:r>
        <w:rPr>
          <w:szCs w:val="21"/>
        </w:rPr>
        <w:t>发</w:t>
      </w:r>
      <w:r>
        <w:rPr>
          <w:rFonts w:hint="eastAsia"/>
          <w:szCs w:val="21"/>
        </w:rPr>
        <w:t>完工证书后第二十八（</w:t>
      </w:r>
      <w:r>
        <w:rPr>
          <w:szCs w:val="21"/>
        </w:rPr>
        <w:t>28</w:t>
      </w:r>
      <w:r>
        <w:rPr>
          <w:rFonts w:hint="eastAsia"/>
          <w:szCs w:val="21"/>
        </w:rPr>
        <w:t>）天。</w:t>
      </w:r>
    </w:p>
    <w:p>
      <w:pPr>
        <w:pStyle w:val="5"/>
      </w:pPr>
      <w:bookmarkStart w:id="1766" w:name="_Toc104482541"/>
      <w:bookmarkStart w:id="1767" w:name="_Toc391287409"/>
      <w:bookmarkStart w:id="1768" w:name="_Toc324772059"/>
      <w:bookmarkStart w:id="1769" w:name="_Toc171063208"/>
      <w:r>
        <w:t>52</w:t>
      </w:r>
      <w:r>
        <w:rPr>
          <w:rFonts w:hint="eastAsia"/>
        </w:rPr>
        <w:t>　暂定金</w:t>
      </w:r>
      <w:bookmarkEnd w:id="1766"/>
      <w:bookmarkEnd w:id="1767"/>
      <w:bookmarkEnd w:id="1768"/>
      <w:bookmarkEnd w:id="1769"/>
    </w:p>
    <w:p>
      <w:pPr>
        <w:suppressAutoHyphens/>
        <w:spacing w:before="120" w:after="120"/>
        <w:ind w:firstLine="420" w:firstLineChars="200"/>
        <w:textAlignment w:val="auto"/>
        <w:rPr>
          <w:szCs w:val="21"/>
        </w:rPr>
      </w:pPr>
      <w:r>
        <w:rPr>
          <w:szCs w:val="21"/>
        </w:rPr>
        <w:t>52.1</w:t>
      </w:r>
      <w:r>
        <w:rPr>
          <w:rFonts w:hint="eastAsia"/>
          <w:szCs w:val="21"/>
        </w:rPr>
        <w:t>　暂定金指的是包含在合同中的一笔在工程量清单或单项工程价单中指明用于实施工程的任一部分或用于提供货物、材料、设备或服务、或用于意外事件的，且根据项目监理的指示可全部或部分使用或根本不用的款项。承包商仅有权使用暂定金中由项目监理按本条款确定的有关工程的实施、供货或意外事件的费用所对应的款项。项目监理应将根据本条款所作的决定通知承包商，并将一份副本送交业主。</w:t>
      </w:r>
    </w:p>
    <w:p>
      <w:pPr>
        <w:suppressAutoHyphens/>
        <w:spacing w:before="120" w:after="120"/>
        <w:ind w:firstLine="420" w:firstLineChars="200"/>
        <w:textAlignment w:val="auto"/>
        <w:rPr>
          <w:szCs w:val="21"/>
        </w:rPr>
      </w:pPr>
      <w:r>
        <w:rPr>
          <w:szCs w:val="21"/>
        </w:rPr>
        <w:t>52.2</w:t>
      </w:r>
      <w:r>
        <w:rPr>
          <w:rFonts w:hint="eastAsia"/>
          <w:szCs w:val="21"/>
        </w:rPr>
        <w:t>　就每笔暂定金而言，项目监理有权就工程的实施，或货物、材料、设施或服务的提供向承包商发出指示。此时，承包商有权获得根据第38</w:t>
      </w:r>
      <w:r>
        <w:rPr>
          <w:szCs w:val="21"/>
        </w:rPr>
        <w:t>.3</w:t>
      </w:r>
      <w:r>
        <w:rPr>
          <w:rFonts w:hint="eastAsia"/>
          <w:szCs w:val="21"/>
        </w:rPr>
        <w:t>款或第42.2款确定之金额的补偿。</w:t>
      </w:r>
    </w:p>
    <w:p>
      <w:pPr>
        <w:suppressAutoHyphens/>
        <w:spacing w:before="120" w:after="120"/>
        <w:ind w:firstLine="420" w:firstLineChars="200"/>
        <w:textAlignment w:val="auto"/>
        <w:rPr>
          <w:szCs w:val="21"/>
        </w:rPr>
      </w:pPr>
      <w:r>
        <w:rPr>
          <w:szCs w:val="21"/>
        </w:rPr>
        <w:t>52.3</w:t>
      </w:r>
      <w:r>
        <w:rPr>
          <w:rFonts w:hint="eastAsia"/>
          <w:szCs w:val="21"/>
        </w:rPr>
        <w:t>　承包商应向项目监理提交与暂定金支出有关的全部报价、发票、凭证和帐目或收据，但根据合同的费率或单价而计价的除外。</w:t>
      </w:r>
    </w:p>
    <w:p>
      <w:pPr>
        <w:pStyle w:val="5"/>
      </w:pPr>
      <w:bookmarkStart w:id="1770" w:name="_Toc171063209"/>
      <w:bookmarkStart w:id="1771" w:name="_Toc324772060"/>
      <w:bookmarkStart w:id="1772" w:name="_Toc391287410"/>
      <w:bookmarkStart w:id="1773" w:name="_Toc104482542"/>
      <w:r>
        <w:t>53</w:t>
      </w:r>
      <w:r>
        <w:rPr>
          <w:rFonts w:hint="eastAsia"/>
        </w:rPr>
        <w:t>　计日工</w:t>
      </w:r>
      <w:bookmarkEnd w:id="1770"/>
      <w:bookmarkEnd w:id="1771"/>
      <w:bookmarkEnd w:id="1772"/>
      <w:bookmarkEnd w:id="1773"/>
    </w:p>
    <w:p>
      <w:pPr>
        <w:suppressAutoHyphens/>
        <w:spacing w:before="120" w:after="120"/>
        <w:ind w:firstLine="420" w:firstLineChars="200"/>
        <w:textAlignment w:val="auto"/>
        <w:rPr>
          <w:szCs w:val="21"/>
        </w:rPr>
      </w:pPr>
      <w:r>
        <w:rPr>
          <w:szCs w:val="21"/>
        </w:rPr>
        <w:t>53.1</w:t>
      </w:r>
      <w:r>
        <w:rPr>
          <w:rFonts w:hint="eastAsia"/>
          <w:szCs w:val="21"/>
        </w:rPr>
        <w:t>　承包商在其投标文件中所报的计日工费率可用于支付额外工程的费用，但必须有项目监理事前发出的书面指示。</w:t>
      </w:r>
    </w:p>
    <w:p>
      <w:pPr>
        <w:suppressAutoHyphens/>
        <w:spacing w:before="120" w:after="120"/>
        <w:ind w:firstLine="420" w:firstLineChars="200"/>
        <w:textAlignment w:val="auto"/>
        <w:rPr>
          <w:szCs w:val="21"/>
        </w:rPr>
      </w:pPr>
      <w:r>
        <w:rPr>
          <w:szCs w:val="21"/>
        </w:rPr>
        <w:t>53.2</w:t>
      </w:r>
      <w:r>
        <w:rPr>
          <w:rFonts w:hint="eastAsia"/>
          <w:szCs w:val="21"/>
        </w:rPr>
        <w:t>　承包商应使用项目监理批准的表格形式作好所有以计日工方式支付的工程记录。每份表格均应在相应的工程完成后的两天内由项目监理核准并签字。</w:t>
      </w:r>
    </w:p>
    <w:p>
      <w:pPr>
        <w:suppressAutoHyphens/>
        <w:spacing w:before="120" w:after="120"/>
        <w:ind w:firstLine="420" w:firstLineChars="200"/>
        <w:textAlignment w:val="auto"/>
        <w:rPr>
          <w:szCs w:val="21"/>
        </w:rPr>
      </w:pPr>
      <w:r>
        <w:rPr>
          <w:szCs w:val="21"/>
        </w:rPr>
        <w:t>53.3</w:t>
      </w:r>
      <w:r>
        <w:rPr>
          <w:rFonts w:hint="eastAsia"/>
          <w:szCs w:val="21"/>
        </w:rPr>
        <w:t>　只有项目监理在计日工单上签字后，承包商方可获得对计日工费用的支付。</w:t>
      </w:r>
    </w:p>
    <w:p>
      <w:pPr>
        <w:pStyle w:val="5"/>
      </w:pPr>
      <w:bookmarkStart w:id="1774" w:name="_Toc104482543"/>
      <w:bookmarkStart w:id="1775" w:name="_Toc324772061"/>
      <w:bookmarkStart w:id="1776" w:name="_Toc171063210"/>
      <w:bookmarkStart w:id="1777" w:name="_Toc391287411"/>
      <w:r>
        <w:t>54</w:t>
      </w:r>
      <w:r>
        <w:rPr>
          <w:rFonts w:hint="eastAsia"/>
        </w:rPr>
        <w:t>　修复费</w:t>
      </w:r>
      <w:bookmarkEnd w:id="1774"/>
      <w:r>
        <w:rPr>
          <w:rFonts w:hint="eastAsia"/>
        </w:rPr>
        <w:t>用</w:t>
      </w:r>
      <w:bookmarkEnd w:id="1775"/>
      <w:bookmarkEnd w:id="1776"/>
      <w:bookmarkEnd w:id="1777"/>
    </w:p>
    <w:p>
      <w:pPr>
        <w:suppressAutoHyphens/>
        <w:spacing w:before="120" w:after="120"/>
        <w:ind w:firstLine="420" w:firstLineChars="200"/>
        <w:textAlignment w:val="auto"/>
        <w:rPr>
          <w:szCs w:val="21"/>
        </w:rPr>
      </w:pPr>
      <w:r>
        <w:rPr>
          <w:szCs w:val="21"/>
        </w:rPr>
        <w:t>54.1</w:t>
      </w:r>
      <w:r>
        <w:rPr>
          <w:rFonts w:hint="eastAsia"/>
          <w:szCs w:val="21"/>
        </w:rPr>
        <w:t>　自开工日期至缺陷责任期结束，由承包商的行为或疏忽造成的工程或工程所使用材料的损失或损害，应由承包商自费进行修复。</w:t>
      </w:r>
    </w:p>
    <w:p>
      <w:pPr>
        <w:pStyle w:val="4"/>
      </w:pPr>
      <w:bookmarkStart w:id="1778" w:name="_Toc110268542"/>
      <w:bookmarkStart w:id="1779" w:name="_Toc324772062"/>
      <w:bookmarkStart w:id="1780" w:name="_Toc110264753"/>
      <w:bookmarkStart w:id="1781" w:name="_Toc110264507"/>
      <w:bookmarkStart w:id="1782" w:name="_Toc171063211"/>
      <w:bookmarkStart w:id="1783" w:name="_Toc110264970"/>
      <w:bookmarkStart w:id="1784" w:name="_Toc110264806"/>
      <w:bookmarkStart w:id="1785" w:name="_Toc110272076"/>
      <w:bookmarkStart w:id="1786" w:name="_Toc104482544"/>
      <w:bookmarkStart w:id="1787" w:name="_Toc110265206"/>
      <w:bookmarkStart w:id="1788" w:name="_Toc391287412"/>
      <w:r>
        <w:rPr>
          <w:rFonts w:hint="eastAsia"/>
        </w:rPr>
        <w:t>第五节　完成合同</w:t>
      </w:r>
      <w:bookmarkEnd w:id="1778"/>
      <w:bookmarkEnd w:id="1779"/>
      <w:bookmarkEnd w:id="1780"/>
      <w:bookmarkEnd w:id="1781"/>
      <w:bookmarkEnd w:id="1782"/>
      <w:bookmarkEnd w:id="1783"/>
      <w:bookmarkEnd w:id="1784"/>
      <w:bookmarkEnd w:id="1785"/>
      <w:bookmarkEnd w:id="1786"/>
      <w:bookmarkEnd w:id="1787"/>
      <w:bookmarkEnd w:id="1788"/>
    </w:p>
    <w:p>
      <w:pPr>
        <w:pStyle w:val="5"/>
      </w:pPr>
      <w:bookmarkStart w:id="1789" w:name="_Toc104482545"/>
      <w:bookmarkStart w:id="1790" w:name="_Toc391287413"/>
      <w:bookmarkStart w:id="1791" w:name="_Toc324772063"/>
      <w:bookmarkStart w:id="1792" w:name="_Toc171063212"/>
      <w:r>
        <w:rPr>
          <w:rFonts w:hint="eastAsia"/>
        </w:rPr>
        <w:t>5</w:t>
      </w:r>
      <w:r>
        <w:t>5</w:t>
      </w:r>
      <w:r>
        <w:rPr>
          <w:rFonts w:hint="eastAsia"/>
        </w:rPr>
        <w:t>　</w:t>
      </w:r>
      <w:bookmarkEnd w:id="1789"/>
      <w:bookmarkEnd w:id="1790"/>
      <w:bookmarkEnd w:id="1791"/>
      <w:r>
        <w:rPr>
          <w:rFonts w:hint="eastAsia"/>
        </w:rPr>
        <w:t>完工</w:t>
      </w:r>
      <w:bookmarkEnd w:id="1792"/>
    </w:p>
    <w:p>
      <w:pPr>
        <w:suppressAutoHyphens/>
        <w:spacing w:before="120" w:after="120"/>
        <w:ind w:firstLine="420" w:firstLineChars="200"/>
        <w:textAlignment w:val="auto"/>
        <w:rPr>
          <w:szCs w:val="21"/>
        </w:rPr>
      </w:pPr>
      <w:r>
        <w:rPr>
          <w:rFonts w:hint="eastAsia"/>
          <w:szCs w:val="21"/>
        </w:rPr>
        <w:t>5</w:t>
      </w:r>
      <w:r>
        <w:rPr>
          <w:szCs w:val="21"/>
        </w:rPr>
        <w:t>5</w:t>
      </w:r>
      <w:r>
        <w:rPr>
          <w:rFonts w:hint="eastAsia"/>
          <w:szCs w:val="21"/>
        </w:rPr>
        <w:t>.1　承包商应提请项目监理签发工程的完工证书。项目监理在确认工程已经完成时向承包商签发该证书。</w:t>
      </w:r>
    </w:p>
    <w:p>
      <w:pPr>
        <w:pStyle w:val="5"/>
      </w:pPr>
      <w:bookmarkStart w:id="1793" w:name="_Toc104482546"/>
      <w:bookmarkStart w:id="1794" w:name="_Toc324772064"/>
      <w:bookmarkStart w:id="1795" w:name="_Toc391287414"/>
      <w:bookmarkStart w:id="1796" w:name="_Toc171063213"/>
      <w:r>
        <w:rPr>
          <w:rFonts w:hint="eastAsia"/>
        </w:rPr>
        <w:t>5</w:t>
      </w:r>
      <w:r>
        <w:t>6</w:t>
      </w:r>
      <w:r>
        <w:rPr>
          <w:rFonts w:hint="eastAsia"/>
        </w:rPr>
        <w:t>　</w:t>
      </w:r>
      <w:bookmarkEnd w:id="1793"/>
      <w:r>
        <w:rPr>
          <w:rFonts w:hint="eastAsia"/>
        </w:rPr>
        <w:t>验收</w:t>
      </w:r>
      <w:bookmarkEnd w:id="1794"/>
      <w:bookmarkEnd w:id="1795"/>
      <w:bookmarkEnd w:id="1796"/>
    </w:p>
    <w:p>
      <w:pPr>
        <w:suppressAutoHyphens/>
        <w:spacing w:before="120" w:after="120"/>
        <w:ind w:firstLine="420" w:firstLineChars="200"/>
        <w:textAlignment w:val="auto"/>
        <w:rPr>
          <w:szCs w:val="21"/>
        </w:rPr>
      </w:pPr>
      <w:r>
        <w:rPr>
          <w:rFonts w:hint="eastAsia"/>
          <w:szCs w:val="21"/>
        </w:rPr>
        <w:t>5</w:t>
      </w:r>
      <w:r>
        <w:rPr>
          <w:szCs w:val="21"/>
        </w:rPr>
        <w:t>6</w:t>
      </w:r>
      <w:r>
        <w:rPr>
          <w:rFonts w:hint="eastAsia"/>
          <w:szCs w:val="21"/>
        </w:rPr>
        <w:t>.1　业主将在项目监理签发完工证书后七（</w:t>
      </w:r>
      <w:r>
        <w:rPr>
          <w:szCs w:val="21"/>
        </w:rPr>
        <w:t>7</w:t>
      </w:r>
      <w:r>
        <w:rPr>
          <w:rFonts w:hint="eastAsia"/>
          <w:szCs w:val="21"/>
        </w:rPr>
        <w:t>）天内验收现场和工程。</w:t>
      </w:r>
    </w:p>
    <w:p>
      <w:pPr>
        <w:pStyle w:val="5"/>
      </w:pPr>
      <w:bookmarkStart w:id="1797" w:name="_Toc171063214"/>
      <w:bookmarkStart w:id="1798" w:name="_Toc324772065"/>
      <w:bookmarkStart w:id="1799" w:name="_Toc391287415"/>
      <w:bookmarkStart w:id="1800" w:name="_Toc104482547"/>
      <w:r>
        <w:rPr>
          <w:rFonts w:hint="eastAsia"/>
        </w:rPr>
        <w:t>5</w:t>
      </w:r>
      <w:r>
        <w:t>7</w:t>
      </w:r>
      <w:r>
        <w:rPr>
          <w:rFonts w:hint="eastAsia"/>
        </w:rPr>
        <w:t>　结算</w:t>
      </w:r>
      <w:bookmarkEnd w:id="1797"/>
      <w:bookmarkEnd w:id="1798"/>
      <w:bookmarkEnd w:id="1799"/>
      <w:bookmarkEnd w:id="1800"/>
    </w:p>
    <w:p>
      <w:pPr>
        <w:suppressAutoHyphens/>
        <w:spacing w:before="120" w:after="120"/>
        <w:ind w:firstLine="420" w:firstLineChars="200"/>
        <w:textAlignment w:val="auto"/>
        <w:rPr>
          <w:szCs w:val="21"/>
        </w:rPr>
      </w:pPr>
      <w:r>
        <w:rPr>
          <w:rFonts w:hint="eastAsia"/>
          <w:szCs w:val="21"/>
        </w:rPr>
        <w:t>5</w:t>
      </w:r>
      <w:r>
        <w:rPr>
          <w:szCs w:val="21"/>
        </w:rPr>
        <w:t>7</w:t>
      </w:r>
      <w:r>
        <w:rPr>
          <w:rFonts w:hint="eastAsia"/>
          <w:szCs w:val="21"/>
        </w:rPr>
        <w:t>.1　在缺陷责任期结束之前，承包商应向项目监理提交一份根据合同其应获得的全部款项的详细帐目。如该帐目正确完整，项目监理应在收到帐目后的五十六（</w:t>
      </w:r>
      <w:r>
        <w:rPr>
          <w:szCs w:val="21"/>
        </w:rPr>
        <w:t>56</w:t>
      </w:r>
      <w:r>
        <w:rPr>
          <w:rFonts w:hint="eastAsia"/>
          <w:szCs w:val="21"/>
        </w:rPr>
        <w:t>）天内签发缺陷责任证书并核准应付给承包商的最终付款证书。如该帐目不合格，项目监理则应在五十六（</w:t>
      </w:r>
      <w:r>
        <w:rPr>
          <w:szCs w:val="21"/>
        </w:rPr>
        <w:t>56</w:t>
      </w:r>
      <w:r>
        <w:rPr>
          <w:rFonts w:hint="eastAsia"/>
          <w:szCs w:val="21"/>
        </w:rPr>
        <w:t>）天内发出一份需修改和补充的明细单。如果承包商再次呈交的最终帐目仍不能令人满意，则由项目监理决定应向承包商支付的金额并签发支付证书。</w:t>
      </w:r>
    </w:p>
    <w:p>
      <w:pPr>
        <w:pStyle w:val="5"/>
      </w:pPr>
      <w:bookmarkStart w:id="1801" w:name="_Toc324772066"/>
      <w:bookmarkStart w:id="1802" w:name="_Toc391287416"/>
      <w:bookmarkStart w:id="1803" w:name="_Toc171063215"/>
      <w:bookmarkStart w:id="1804" w:name="_Toc104482548"/>
      <w:r>
        <w:rPr>
          <w:rFonts w:hint="eastAsia"/>
        </w:rPr>
        <w:t>5</w:t>
      </w:r>
      <w:r>
        <w:t>8</w:t>
      </w:r>
      <w:r>
        <w:rPr>
          <w:rFonts w:hint="eastAsia"/>
        </w:rPr>
        <w:t>　运行和维修手册</w:t>
      </w:r>
      <w:bookmarkEnd w:id="1801"/>
      <w:bookmarkEnd w:id="1802"/>
      <w:bookmarkEnd w:id="1803"/>
      <w:bookmarkEnd w:id="1804"/>
    </w:p>
    <w:p>
      <w:pPr>
        <w:suppressAutoHyphens/>
        <w:spacing w:before="120" w:after="120"/>
        <w:ind w:firstLine="420" w:firstLineChars="200"/>
        <w:textAlignment w:val="auto"/>
        <w:rPr>
          <w:szCs w:val="21"/>
        </w:rPr>
      </w:pPr>
      <w:r>
        <w:rPr>
          <w:rFonts w:hint="eastAsia"/>
          <w:szCs w:val="21"/>
        </w:rPr>
        <w:t>5</w:t>
      </w:r>
      <w:r>
        <w:rPr>
          <w:szCs w:val="21"/>
        </w:rPr>
        <w:t>8</w:t>
      </w:r>
      <w:r>
        <w:rPr>
          <w:rFonts w:hint="eastAsia"/>
          <w:szCs w:val="21"/>
        </w:rPr>
        <w:t>.1　承包商应在</w:t>
      </w:r>
      <w:r>
        <w:rPr>
          <w:b/>
          <w:szCs w:val="21"/>
        </w:rPr>
        <w:t>特殊合同条款</w:t>
      </w:r>
      <w:r>
        <w:rPr>
          <w:rFonts w:hint="eastAsia"/>
          <w:szCs w:val="21"/>
        </w:rPr>
        <w:t>中规定的日期前提交完工图纸或运行和维修手册。</w:t>
      </w:r>
    </w:p>
    <w:p>
      <w:pPr>
        <w:suppressAutoHyphens/>
        <w:spacing w:before="120" w:after="120"/>
        <w:ind w:firstLine="420" w:firstLineChars="200"/>
        <w:textAlignment w:val="auto"/>
        <w:rPr>
          <w:szCs w:val="21"/>
        </w:rPr>
      </w:pPr>
      <w:r>
        <w:rPr>
          <w:rFonts w:hint="eastAsia"/>
          <w:szCs w:val="21"/>
        </w:rPr>
        <w:t>5</w:t>
      </w:r>
      <w:r>
        <w:rPr>
          <w:szCs w:val="21"/>
        </w:rPr>
        <w:t>8</w:t>
      </w:r>
      <w:r>
        <w:rPr>
          <w:rFonts w:hint="eastAsia"/>
          <w:szCs w:val="21"/>
        </w:rPr>
        <w:t>.2　如果承包商未能在</w:t>
      </w:r>
      <w:r>
        <w:rPr>
          <w:szCs w:val="21"/>
        </w:rPr>
        <w:t>一般合同条款</w:t>
      </w:r>
      <w:r>
        <w:rPr>
          <w:rFonts w:hint="eastAsia"/>
          <w:szCs w:val="21"/>
        </w:rPr>
        <w:t>第5</w:t>
      </w:r>
      <w:r>
        <w:rPr>
          <w:szCs w:val="21"/>
        </w:rPr>
        <w:t>8</w:t>
      </w:r>
      <w:r>
        <w:rPr>
          <w:rFonts w:hint="eastAsia"/>
          <w:szCs w:val="21"/>
        </w:rPr>
        <w:t>.1款的</w:t>
      </w:r>
      <w:r>
        <w:rPr>
          <w:b/>
          <w:szCs w:val="21"/>
        </w:rPr>
        <w:t>特殊合同条款</w:t>
      </w:r>
      <w:r>
        <w:rPr>
          <w:rFonts w:hint="eastAsia"/>
          <w:szCs w:val="21"/>
        </w:rPr>
        <w:t>规定的日期前提交有关图纸或手册或未能得到项目监理的批准，项目监理应从应付给承包商的款项中扣除</w:t>
      </w:r>
      <w:r>
        <w:rPr>
          <w:b/>
          <w:szCs w:val="21"/>
        </w:rPr>
        <w:t>特殊合同条款</w:t>
      </w:r>
      <w:r>
        <w:rPr>
          <w:rFonts w:hint="eastAsia"/>
          <w:szCs w:val="21"/>
        </w:rPr>
        <w:t>中规定的金额。</w:t>
      </w:r>
    </w:p>
    <w:p>
      <w:pPr>
        <w:pStyle w:val="5"/>
      </w:pPr>
      <w:bookmarkStart w:id="1805" w:name="_Toc171063216"/>
      <w:bookmarkStart w:id="1806" w:name="_Toc104482549"/>
      <w:bookmarkStart w:id="1807" w:name="_Toc391287417"/>
      <w:bookmarkStart w:id="1808" w:name="_Toc324772067"/>
      <w:r>
        <w:rPr>
          <w:rFonts w:hint="eastAsia"/>
        </w:rPr>
        <w:t>5</w:t>
      </w:r>
      <w:r>
        <w:t>9</w:t>
      </w:r>
      <w:r>
        <w:rPr>
          <w:rFonts w:hint="eastAsia"/>
        </w:rPr>
        <w:t>　终止合同</w:t>
      </w:r>
      <w:bookmarkEnd w:id="1805"/>
      <w:bookmarkEnd w:id="1806"/>
      <w:bookmarkEnd w:id="1807"/>
      <w:bookmarkEnd w:id="1808"/>
    </w:p>
    <w:p>
      <w:pPr>
        <w:suppressAutoHyphens/>
        <w:spacing w:before="120" w:after="120"/>
        <w:ind w:firstLine="420" w:firstLineChars="200"/>
        <w:textAlignment w:val="auto"/>
        <w:rPr>
          <w:szCs w:val="21"/>
        </w:rPr>
      </w:pPr>
      <w:r>
        <w:rPr>
          <w:rFonts w:hint="eastAsia"/>
          <w:szCs w:val="21"/>
        </w:rPr>
        <w:t>5</w:t>
      </w:r>
      <w:r>
        <w:rPr>
          <w:szCs w:val="21"/>
        </w:rPr>
        <w:t>9</w:t>
      </w:r>
      <w:r>
        <w:rPr>
          <w:rFonts w:hint="eastAsia"/>
          <w:szCs w:val="21"/>
        </w:rPr>
        <w:t>.1　业主或承包商可在另一方严重违反合同时终止合同。</w:t>
      </w:r>
    </w:p>
    <w:p>
      <w:pPr>
        <w:suppressAutoHyphens/>
        <w:spacing w:before="120" w:after="120"/>
        <w:ind w:firstLine="420" w:firstLineChars="200"/>
        <w:textAlignment w:val="auto"/>
        <w:rPr>
          <w:szCs w:val="21"/>
        </w:rPr>
      </w:pPr>
      <w:r>
        <w:rPr>
          <w:rFonts w:hint="eastAsia"/>
          <w:szCs w:val="21"/>
        </w:rPr>
        <w:t>5</w:t>
      </w:r>
      <w:r>
        <w:rPr>
          <w:szCs w:val="21"/>
        </w:rPr>
        <w:t>9</w:t>
      </w:r>
      <w:r>
        <w:rPr>
          <w:rFonts w:hint="eastAsia"/>
          <w:szCs w:val="21"/>
        </w:rPr>
        <w:t>.2　严重违反合同的行为包括，但不限于下列各项：</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）承包商在当时的进度计划并未表明有停工，且项目监理亦未授权停工的条件下，停止施工达二十八（</w:t>
      </w:r>
      <w:r>
        <w:rPr>
          <w:szCs w:val="21"/>
        </w:rPr>
        <w:t>28</w:t>
      </w:r>
      <w:r>
        <w:rPr>
          <w:rFonts w:hint="eastAsia"/>
          <w:szCs w:val="21"/>
        </w:rPr>
        <w:t>）天；</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）项目监理指示承包商推迟工程实施进度，且该指示在二十八（</w:t>
      </w:r>
      <w:r>
        <w:rPr>
          <w:szCs w:val="21"/>
        </w:rPr>
        <w:t>28</w:t>
      </w:r>
      <w:r>
        <w:rPr>
          <w:rFonts w:hint="eastAsia"/>
          <w:szCs w:val="21"/>
        </w:rPr>
        <w:t>）天内未予撤消。</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）业主或承包商破产或清偿，但属机构重组或联合的除外；</w:t>
      </w:r>
    </w:p>
    <w:p>
      <w:pPr>
        <w:spacing w:before="120" w:after="120" w:line="240" w:lineRule="atLeast"/>
        <w:ind w:left="936" w:hanging="576"/>
        <w:jc w:val="left"/>
        <w:textAlignment w:val="auto"/>
        <w:rPr>
          <w:szCs w:val="21"/>
        </w:rPr>
      </w:pPr>
      <w:r>
        <w:rPr>
          <w:rFonts w:hint="eastAsia"/>
          <w:szCs w:val="21"/>
        </w:rPr>
        <w:t>（</w:t>
      </w:r>
      <w:r>
        <w:rPr>
          <w:szCs w:val="21"/>
        </w:rPr>
        <w:t>4</w:t>
      </w:r>
      <w:r>
        <w:rPr>
          <w:rFonts w:hint="eastAsia"/>
          <w:szCs w:val="21"/>
        </w:rPr>
        <w:t>）项目监理签发支付证书后八＋四（</w:t>
      </w:r>
      <w:r>
        <w:rPr>
          <w:szCs w:val="21"/>
        </w:rPr>
        <w:t>84</w:t>
      </w:r>
      <w:r>
        <w:rPr>
          <w:rFonts w:hint="eastAsia"/>
          <w:szCs w:val="21"/>
        </w:rPr>
        <w:t>）天内业主未能向承包商支付该证书项下的金额；</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）项目监理通知承包商如不修复某一缺陷将构成严重违反合同的行为，而承包商未能在项目监理决定的合理时间内修复该缺陷；</w:t>
      </w:r>
    </w:p>
    <w:p>
      <w:pPr>
        <w:spacing w:before="120" w:after="120" w:line="240" w:lineRule="atLeast"/>
        <w:ind w:left="936" w:hanging="576"/>
        <w:jc w:val="left"/>
        <w:textAlignment w:val="auto"/>
        <w:rPr>
          <w:szCs w:val="21"/>
        </w:rPr>
      </w:pPr>
      <w:r>
        <w:rPr>
          <w:rFonts w:hint="eastAsia"/>
          <w:szCs w:val="21"/>
        </w:rPr>
        <w:t>（</w:t>
      </w:r>
      <w:r>
        <w:rPr>
          <w:szCs w:val="21"/>
        </w:rPr>
        <w:t>6</w:t>
      </w:r>
      <w:r>
        <w:rPr>
          <w:rFonts w:hint="eastAsia"/>
          <w:szCs w:val="21"/>
        </w:rPr>
        <w:t>）承包商未能维持要求提供的担保；</w:t>
      </w:r>
    </w:p>
    <w:p>
      <w:pPr>
        <w:spacing w:before="120" w:after="120" w:line="240" w:lineRule="atLeast"/>
        <w:ind w:left="936" w:hanging="576"/>
        <w:jc w:val="left"/>
        <w:textAlignment w:val="auto"/>
        <w:rPr>
          <w:szCs w:val="21"/>
        </w:rPr>
      </w:pPr>
      <w:r>
        <w:rPr>
          <w:rFonts w:hint="eastAsia"/>
          <w:szCs w:val="21"/>
        </w:rPr>
        <w:t>（</w:t>
      </w:r>
      <w:r>
        <w:rPr>
          <w:szCs w:val="21"/>
        </w:rPr>
        <w:t>7</w:t>
      </w:r>
      <w:r>
        <w:rPr>
          <w:rFonts w:hint="eastAsia"/>
          <w:szCs w:val="21"/>
        </w:rPr>
        <w:t>）承包商拖延完工，且可偿付的误期赔偿费已达到</w:t>
      </w:r>
      <w:r>
        <w:rPr>
          <w:b/>
          <w:szCs w:val="21"/>
        </w:rPr>
        <w:t>特殊合同条款</w:t>
      </w:r>
      <w:r>
        <w:rPr>
          <w:rFonts w:hint="eastAsia"/>
          <w:szCs w:val="21"/>
        </w:rPr>
        <w:t>中规定的最大限额。</w:t>
      </w:r>
    </w:p>
    <w:p>
      <w:pPr>
        <w:spacing w:before="120" w:after="120" w:line="240" w:lineRule="atLeast"/>
        <w:ind w:left="936" w:hanging="576"/>
        <w:jc w:val="left"/>
        <w:textAlignment w:val="auto"/>
        <w:rPr>
          <w:szCs w:val="21"/>
        </w:rPr>
      </w:pPr>
      <w:r>
        <w:rPr>
          <w:rFonts w:hint="eastAsia"/>
          <w:szCs w:val="21"/>
        </w:rPr>
        <w:t>（</w:t>
      </w:r>
      <w:r>
        <w:rPr>
          <w:szCs w:val="21"/>
        </w:rPr>
        <w:t>8</w:t>
      </w:r>
      <w:r>
        <w:rPr>
          <w:rFonts w:hint="eastAsia"/>
          <w:szCs w:val="21"/>
        </w:rPr>
        <w:t>）根据业主的判断，如果承包商在竞标或合同履行过程中发生了一般合同条款第</w:t>
      </w:r>
      <w:r>
        <w:rPr>
          <w:szCs w:val="21"/>
        </w:rPr>
        <w:t>60</w:t>
      </w:r>
      <w:r>
        <w:rPr>
          <w:rFonts w:hint="eastAsia"/>
          <w:szCs w:val="21"/>
        </w:rPr>
        <w:t>条所规定的禁止行为。</w:t>
      </w:r>
    </w:p>
    <w:p>
      <w:pPr>
        <w:suppressAutoHyphens/>
        <w:spacing w:before="120" w:after="120"/>
        <w:ind w:firstLine="420" w:firstLineChars="200"/>
        <w:textAlignment w:val="auto"/>
        <w:rPr>
          <w:szCs w:val="21"/>
        </w:rPr>
      </w:pPr>
      <w:r>
        <w:rPr>
          <w:rFonts w:hint="eastAsia"/>
          <w:szCs w:val="21"/>
        </w:rPr>
        <w:t>5</w:t>
      </w:r>
      <w:r>
        <w:rPr>
          <w:szCs w:val="21"/>
        </w:rPr>
        <w:t>9</w:t>
      </w:r>
      <w:r>
        <w:rPr>
          <w:rFonts w:hint="eastAsia"/>
          <w:szCs w:val="21"/>
        </w:rPr>
        <w:t>.3　如合同任一方通知项目监理另一方有一般合同条款</w:t>
      </w:r>
      <w:r>
        <w:rPr>
          <w:szCs w:val="21"/>
        </w:rPr>
        <w:t>59.2</w:t>
      </w:r>
      <w:r>
        <w:rPr>
          <w:rFonts w:hint="eastAsia"/>
          <w:szCs w:val="21"/>
        </w:rPr>
        <w:t>款所列行为之外的违反合同的行为时，项目监理应决定该行为是否属于严重违反合同的行为。</w:t>
      </w:r>
    </w:p>
    <w:p>
      <w:pPr>
        <w:suppressAutoHyphens/>
        <w:spacing w:before="120" w:after="120"/>
        <w:ind w:firstLine="420" w:firstLineChars="200"/>
        <w:textAlignment w:val="auto"/>
        <w:rPr>
          <w:szCs w:val="21"/>
        </w:rPr>
      </w:pPr>
      <w:r>
        <w:rPr>
          <w:rFonts w:hint="eastAsia"/>
          <w:szCs w:val="21"/>
        </w:rPr>
        <w:t>5</w:t>
      </w:r>
      <w:r>
        <w:rPr>
          <w:szCs w:val="21"/>
        </w:rPr>
        <w:t>9</w:t>
      </w:r>
      <w:r>
        <w:rPr>
          <w:rFonts w:hint="eastAsia"/>
          <w:szCs w:val="21"/>
        </w:rPr>
        <w:t>.4　尽管有上述规定，业主仍可随时终止合同。</w:t>
      </w:r>
    </w:p>
    <w:p>
      <w:pPr>
        <w:suppressAutoHyphens/>
        <w:spacing w:before="120" w:after="120"/>
        <w:ind w:firstLine="420" w:firstLineChars="200"/>
        <w:textAlignment w:val="auto"/>
        <w:rPr>
          <w:szCs w:val="21"/>
        </w:rPr>
      </w:pPr>
      <w:r>
        <w:rPr>
          <w:rFonts w:hint="eastAsia"/>
          <w:szCs w:val="21"/>
        </w:rPr>
        <w:t>5</w:t>
      </w:r>
      <w:r>
        <w:rPr>
          <w:szCs w:val="21"/>
        </w:rPr>
        <w:t>9</w:t>
      </w:r>
      <w:r>
        <w:rPr>
          <w:rFonts w:hint="eastAsia"/>
          <w:szCs w:val="21"/>
        </w:rPr>
        <w:t>.5　一旦合同终止，承包商应立即停止施工，保证现场安全，并在合理时间内尽快撤离现场。</w:t>
      </w:r>
    </w:p>
    <w:p>
      <w:pPr>
        <w:pStyle w:val="5"/>
      </w:pPr>
      <w:bookmarkStart w:id="1809" w:name="_Toc391287418"/>
      <w:bookmarkStart w:id="1810" w:name="_Toc104482550"/>
      <w:bookmarkStart w:id="1811" w:name="_Toc324772068"/>
      <w:bookmarkStart w:id="1812" w:name="_Toc171063217"/>
      <w:r>
        <w:t>60</w:t>
      </w:r>
      <w:r>
        <w:rPr>
          <w:rFonts w:hint="eastAsia"/>
        </w:rPr>
        <w:t>　</w:t>
      </w:r>
      <w:bookmarkEnd w:id="1809"/>
      <w:bookmarkEnd w:id="1810"/>
      <w:bookmarkEnd w:id="1811"/>
      <w:r>
        <w:rPr>
          <w:rFonts w:hint="eastAsia"/>
        </w:rPr>
        <w:t>禁止行为</w:t>
      </w:r>
      <w:bookmarkEnd w:id="1812"/>
    </w:p>
    <w:p>
      <w:pPr>
        <w:suppressAutoHyphens/>
        <w:spacing w:before="120" w:after="120"/>
        <w:ind w:firstLine="420" w:firstLineChars="200"/>
        <w:textAlignment w:val="auto"/>
        <w:rPr>
          <w:szCs w:val="21"/>
        </w:rPr>
      </w:pPr>
      <w:r>
        <w:rPr>
          <w:szCs w:val="21"/>
          <w:lang w:val="zh-CN"/>
        </w:rPr>
        <w:t>60</w:t>
      </w:r>
      <w:r>
        <w:rPr>
          <w:szCs w:val="21"/>
        </w:rPr>
        <w:t>.1</w:t>
      </w:r>
      <w:r>
        <w:rPr>
          <w:rFonts w:hint="eastAsia"/>
          <w:szCs w:val="21"/>
        </w:rPr>
        <w:t>　如果业主认定承包商在竞标或履行合同过程中参与了《亚投行禁止行为政策（2</w:t>
      </w:r>
      <w:r>
        <w:rPr>
          <w:szCs w:val="21"/>
        </w:rPr>
        <w:t>016</w:t>
      </w:r>
      <w:r>
        <w:rPr>
          <w:rFonts w:hint="eastAsia"/>
          <w:szCs w:val="21"/>
        </w:rPr>
        <w:t>版并不时更新）》中规定的胁迫、共谋、腐败、欺诈、滥用资源、妨碍和盗窃行为，可在提前十四</w:t>
      </w:r>
      <w:r>
        <w:rPr>
          <w:szCs w:val="21"/>
        </w:rPr>
        <w:t>（14）</w:t>
      </w:r>
      <w:r>
        <w:rPr>
          <w:rFonts w:hint="eastAsia"/>
          <w:szCs w:val="21"/>
        </w:rPr>
        <w:t>天通知承包商后终止合同，并将承包商按一般合同条款</w:t>
      </w:r>
      <w:r>
        <w:rPr>
          <w:szCs w:val="21"/>
        </w:rPr>
        <w:t>第59.5款的规定逐出现场</w:t>
      </w:r>
      <w:r>
        <w:rPr>
          <w:rFonts w:hint="eastAsia"/>
          <w:szCs w:val="21"/>
        </w:rPr>
        <w:t>。此</w:t>
      </w:r>
      <w:r>
        <w:rPr>
          <w:szCs w:val="21"/>
        </w:rPr>
        <w:t>时</w:t>
      </w:r>
      <w:r>
        <w:rPr>
          <w:rFonts w:hint="eastAsia"/>
          <w:szCs w:val="21"/>
        </w:rPr>
        <w:t>适用一般合同条款</w:t>
      </w:r>
      <w:r>
        <w:rPr>
          <w:szCs w:val="21"/>
        </w:rPr>
        <w:t>第59条有关业主终止合同的规定。</w:t>
      </w:r>
    </w:p>
    <w:p>
      <w:pPr>
        <w:suppressAutoHyphens/>
        <w:spacing w:before="120" w:after="120"/>
        <w:ind w:firstLine="420" w:firstLineChars="200"/>
        <w:textAlignment w:val="auto"/>
        <w:rPr>
          <w:szCs w:val="21"/>
        </w:rPr>
      </w:pPr>
      <w:r>
        <w:rPr>
          <w:szCs w:val="21"/>
        </w:rPr>
        <w:t>60.2　如果认定承包商的雇员在竞标或</w:t>
      </w:r>
      <w:r>
        <w:rPr>
          <w:rFonts w:hint="eastAsia"/>
          <w:szCs w:val="21"/>
        </w:rPr>
        <w:t>履行</w:t>
      </w:r>
      <w:r>
        <w:rPr>
          <w:szCs w:val="21"/>
        </w:rPr>
        <w:t>合同过程中参与了</w:t>
      </w:r>
      <w:r>
        <w:rPr>
          <w:rFonts w:hint="eastAsia"/>
          <w:szCs w:val="21"/>
        </w:rPr>
        <w:t>《亚投行禁止行为政策（2</w:t>
      </w:r>
      <w:r>
        <w:rPr>
          <w:szCs w:val="21"/>
        </w:rPr>
        <w:t>016</w:t>
      </w:r>
      <w:r>
        <w:rPr>
          <w:rFonts w:hint="eastAsia"/>
          <w:szCs w:val="21"/>
        </w:rPr>
        <w:t>版并不时更新）》中规定的胁迫、共谋、腐败、欺诈、滥用资源、妨碍和盗窃行为，承包商应按一般合同条款第9条的规定开除该雇员。</w:t>
      </w:r>
    </w:p>
    <w:p>
      <w:pPr>
        <w:suppressAutoHyphens/>
        <w:spacing w:before="120" w:after="120"/>
        <w:ind w:firstLine="420" w:firstLineChars="200"/>
        <w:textAlignment w:val="auto"/>
        <w:rPr>
          <w:szCs w:val="21"/>
        </w:rPr>
      </w:pPr>
      <w:r>
        <w:rPr>
          <w:szCs w:val="21"/>
        </w:rPr>
        <w:t>60.3</w:t>
      </w:r>
      <w:r>
        <w:rPr>
          <w:rFonts w:hint="eastAsia"/>
          <w:szCs w:val="21"/>
        </w:rPr>
        <w:t>　</w:t>
      </w:r>
      <w:bookmarkStart w:id="1813" w:name="_Toc104482551"/>
      <w:r>
        <w:rPr>
          <w:szCs w:val="21"/>
        </w:rPr>
        <w:t xml:space="preserve"> </w:t>
      </w:r>
      <w:r>
        <w:rPr>
          <w:rFonts w:hint="eastAsia"/>
          <w:szCs w:val="21"/>
        </w:rPr>
        <w:t>亚投行</w:t>
      </w:r>
      <w:bookmarkStart w:id="1814" w:name="OLE_LINK2"/>
      <w:r>
        <w:rPr>
          <w:rFonts w:hint="eastAsia"/>
          <w:szCs w:val="21"/>
        </w:rPr>
        <w:t>《借款人采购规则（2</w:t>
      </w:r>
      <w:r>
        <w:rPr>
          <w:szCs w:val="21"/>
        </w:rPr>
        <w:t>016</w:t>
      </w:r>
      <w:r>
        <w:rPr>
          <w:rFonts w:hint="eastAsia"/>
          <w:szCs w:val="21"/>
        </w:rPr>
        <w:t>版并不时更新）》</w:t>
      </w:r>
      <w:bookmarkEnd w:id="1814"/>
      <w:r>
        <w:rPr>
          <w:rFonts w:hint="eastAsia"/>
          <w:szCs w:val="21"/>
        </w:rPr>
        <w:t>要求业主（以及亚投行资助的所有其他受益人）以及亚投行资助的项目合同下的投标人、供应商、承包商、受惠方和顾问均遵守亚投行关于禁止行为的政策，在合同的采购、执行和实施过程中遵守最高标准的透明度和诚信。就本条款目的而言，</w:t>
      </w:r>
      <w:r>
        <w:rPr>
          <w:rFonts w:hint="eastAsia"/>
        </w:rPr>
        <w:t>亚投行将禁止行为定义如下</w:t>
      </w:r>
      <w:r>
        <w:rPr>
          <w:rFonts w:hint="eastAsia"/>
          <w:szCs w:val="21"/>
        </w:rPr>
        <w:t>：</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）“胁迫行为”系指直接或间接地损害或伤害，或威胁将要损害或伤害人身或财产安全，以不正当地影响另一方的行为；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2</w:t>
      </w:r>
      <w:r>
        <w:rPr>
          <w:rFonts w:hint="eastAsia"/>
          <w:szCs w:val="21"/>
        </w:rPr>
        <w:t>）“共谋行为”系指由双方或多方设计的一种为达到不当目的的安排，包括不正当地影响另一方的行为；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3</w:t>
      </w:r>
      <w:r>
        <w:rPr>
          <w:rFonts w:hint="eastAsia"/>
          <w:szCs w:val="21"/>
        </w:rPr>
        <w:t>）“腐败行为”系指直接地或间接地提供、给予、收受或要求任何有价财物来不正当地影响另一方的行为；</w:t>
      </w:r>
    </w:p>
    <w:p>
      <w:pPr>
        <w:spacing w:before="120" w:after="120" w:line="240" w:lineRule="atLeast"/>
        <w:ind w:left="936" w:hanging="576"/>
        <w:jc w:val="left"/>
        <w:textAlignment w:val="auto"/>
        <w:rPr>
          <w:szCs w:val="21"/>
        </w:rPr>
      </w:pPr>
      <w:r>
        <w:rPr>
          <w:rFonts w:hint="eastAsia"/>
          <w:szCs w:val="21"/>
        </w:rPr>
        <w:t>（</w:t>
      </w:r>
      <w:r>
        <w:rPr>
          <w:szCs w:val="21"/>
        </w:rPr>
        <w:t>4</w:t>
      </w:r>
      <w:r>
        <w:rPr>
          <w:rFonts w:hint="eastAsia"/>
          <w:szCs w:val="21"/>
        </w:rPr>
        <w:t>）“欺诈行为”系指任何行为或隐瞒，包括任何有意或无意地误导，或企图误导一方以获得财物或其它方面的利益或逃避义务；</w:t>
      </w:r>
    </w:p>
    <w:p>
      <w:pPr>
        <w:spacing w:before="120" w:after="120" w:line="240" w:lineRule="atLeast"/>
        <w:ind w:left="936" w:hanging="576"/>
        <w:jc w:val="left"/>
        <w:textAlignment w:val="auto"/>
        <w:rPr>
          <w:szCs w:val="21"/>
        </w:rPr>
      </w:pPr>
      <w:r>
        <w:rPr>
          <w:rFonts w:hint="eastAsia"/>
          <w:szCs w:val="21"/>
        </w:rPr>
        <w:t>（</w:t>
      </w:r>
      <w:r>
        <w:rPr>
          <w:szCs w:val="21"/>
        </w:rPr>
        <w:t>5</w:t>
      </w:r>
      <w:r>
        <w:rPr>
          <w:rFonts w:hint="eastAsia"/>
          <w:szCs w:val="21"/>
        </w:rPr>
        <w:t>）“滥用资源”系指有意或无意地不当使用银行资源；</w:t>
      </w:r>
    </w:p>
    <w:p>
      <w:pPr>
        <w:spacing w:before="120" w:after="120" w:line="240" w:lineRule="atLeast"/>
        <w:ind w:left="936" w:hanging="576"/>
        <w:jc w:val="left"/>
        <w:textAlignment w:val="auto"/>
        <w:rPr>
          <w:szCs w:val="21"/>
        </w:rPr>
      </w:pPr>
      <w:r>
        <w:rPr>
          <w:rFonts w:hint="eastAsia"/>
          <w:szCs w:val="21"/>
        </w:rPr>
        <w:t>（</w:t>
      </w:r>
      <w:r>
        <w:rPr>
          <w:szCs w:val="21"/>
        </w:rPr>
        <w:t>6</w:t>
      </w:r>
      <w:r>
        <w:rPr>
          <w:rFonts w:hint="eastAsia"/>
          <w:szCs w:val="21"/>
        </w:rPr>
        <w:t>）“妨碍行为”系指：（i）销毁、伪造、篡改或隐瞒银行调查所需的证据材料以妨碍银行调查，（ii）向调查人员做出虚假证明以严重妨碍亚投行对禁止行为进行调查，（iii）未能遵守提供与亚投行调查有关的信息、文件或记录的要求；（iv）威胁、骚扰或恐吓任何一方使其无法透露与调查相关的所知信息或参与调查；或（v）严重妨碍亚投行行使合同所赋予的审计、检查或获取信息的权利；</w:t>
      </w:r>
    </w:p>
    <w:p>
      <w:pPr>
        <w:spacing w:before="120" w:after="120" w:line="240" w:lineRule="atLeast"/>
        <w:ind w:left="936" w:hanging="576"/>
        <w:jc w:val="left"/>
        <w:textAlignment w:val="auto"/>
        <w:rPr>
          <w:szCs w:val="21"/>
        </w:rPr>
      </w:pPr>
      <w:r>
        <w:rPr>
          <w:rFonts w:hint="eastAsia"/>
          <w:szCs w:val="21"/>
        </w:rPr>
        <w:t>（</w:t>
      </w:r>
      <w:r>
        <w:rPr>
          <w:szCs w:val="21"/>
        </w:rPr>
        <w:t>7</w:t>
      </w:r>
      <w:r>
        <w:rPr>
          <w:rFonts w:hint="eastAsia"/>
          <w:szCs w:val="21"/>
        </w:rPr>
        <w:t>）“盗窃行为”系指挪用属于另一方的财产。</w:t>
      </w:r>
    </w:p>
    <w:p>
      <w:pPr>
        <w:spacing w:before="120" w:after="120" w:line="240" w:lineRule="atLeast"/>
        <w:ind w:firstLine="420" w:firstLineChars="200"/>
        <w:jc w:val="left"/>
        <w:textAlignment w:val="auto"/>
        <w:rPr>
          <w:szCs w:val="21"/>
        </w:rPr>
      </w:pPr>
      <w:r>
        <w:rPr>
          <w:szCs w:val="21"/>
        </w:rPr>
        <w:t xml:space="preserve">60.4  </w:t>
      </w:r>
      <w:r>
        <w:rPr>
          <w:rFonts w:hint="eastAsia"/>
          <w:szCs w:val="21"/>
        </w:rPr>
        <w:t>在亚投行资助合同的采购、授予或执行过程中发生或疑似发生的任何禁止行为，将按照亚投行禁止行为政策的规定进行处理。供应商、承包商、服务提供商和顾问，以及业主应充分配合亚投行（或“借款人采购规则”规定有权利进行调查的联合资助方）根据亚投行禁止行为政策对任何被指控的禁止行为进行调查，并允许亚投行或其代表（包括联合资助方）检查可能与此类调查相关的账户、记录和其他文件，并由亚投行指定的审计师对其进行审计。</w:t>
      </w:r>
    </w:p>
    <w:p>
      <w:pPr>
        <w:spacing w:before="120" w:after="120" w:line="240" w:lineRule="atLeast"/>
        <w:ind w:firstLine="420" w:firstLineChars="200"/>
        <w:jc w:val="left"/>
        <w:textAlignment w:val="auto"/>
        <w:rPr>
          <w:szCs w:val="21"/>
        </w:rPr>
      </w:pPr>
      <w:r>
        <w:rPr>
          <w:szCs w:val="21"/>
        </w:rPr>
        <w:t xml:space="preserve">60.5  </w:t>
      </w:r>
      <w:r>
        <w:rPr>
          <w:rFonts w:hint="eastAsia"/>
          <w:szCs w:val="21"/>
        </w:rPr>
        <w:t>如果项目是主权担保贷款，亚投行（或根据亚投行“借款人采购规则”规定进行调查的联合资助方）：</w:t>
      </w:r>
    </w:p>
    <w:p>
      <w:pPr>
        <w:spacing w:before="120" w:after="120" w:line="240" w:lineRule="atLeast"/>
        <w:ind w:left="936" w:hanging="576"/>
        <w:jc w:val="left"/>
        <w:textAlignment w:val="auto"/>
        <w:rPr>
          <w:szCs w:val="21"/>
        </w:rPr>
      </w:pPr>
      <w:r>
        <w:rPr>
          <w:rFonts w:hint="eastAsia"/>
          <w:szCs w:val="21"/>
        </w:rPr>
        <w:t>（</w:t>
      </w:r>
      <w:r>
        <w:rPr>
          <w:szCs w:val="21"/>
        </w:rPr>
        <w:t>1</w:t>
      </w:r>
      <w:r>
        <w:rPr>
          <w:rFonts w:hint="eastAsia"/>
          <w:szCs w:val="21"/>
        </w:rPr>
        <w:t>）可以针对与项目相关的禁止行为采取以下任何附加行动：</w:t>
      </w:r>
    </w:p>
    <w:p>
      <w:pPr>
        <w:spacing w:before="120" w:after="120" w:line="240" w:lineRule="atLeast"/>
        <w:ind w:left="1416" w:hanging="576"/>
        <w:jc w:val="left"/>
        <w:textAlignment w:val="auto"/>
        <w:rPr>
          <w:szCs w:val="21"/>
        </w:rPr>
      </w:pPr>
      <w:r>
        <w:rPr>
          <w:rFonts w:hint="eastAsia"/>
          <w:szCs w:val="21"/>
        </w:rPr>
        <w:t>（i）拒绝授予合同， 如果确定推荐的中标候选人或其任何人员、代理人、顾问、分包商、服务提供商、供应商或其雇员直接或间接地，在竞争有关合同时从事禁止行为；</w:t>
      </w:r>
    </w:p>
    <w:p>
      <w:pPr>
        <w:spacing w:before="120" w:after="120" w:line="240" w:lineRule="atLeast"/>
        <w:ind w:left="1416" w:hanging="576"/>
        <w:jc w:val="left"/>
        <w:textAlignment w:val="auto"/>
        <w:rPr>
          <w:szCs w:val="21"/>
        </w:rPr>
      </w:pPr>
      <w:r>
        <w:rPr>
          <w:rFonts w:hint="eastAsia"/>
          <w:szCs w:val="21"/>
        </w:rPr>
        <w:t>（ii） 取消分配给该合同的尚未拨付的贷款余额（并要求偿还分配给该合同的已拨付的贷款），如果在任何时候确定借款人代表或任一部分贷款接收方的代表在有关合同的采购、管理或执行期间从事禁止行为；</w:t>
      </w:r>
    </w:p>
    <w:p>
      <w:pPr>
        <w:spacing w:before="120" w:after="120" w:line="240" w:lineRule="atLeast"/>
        <w:ind w:left="936" w:hanging="576"/>
        <w:jc w:val="left"/>
        <w:textAlignment w:val="auto"/>
        <w:rPr>
          <w:lang w:val="zh-CN" w:eastAsia="zh-CN"/>
        </w:rPr>
      </w:pPr>
      <w:r>
        <w:rPr>
          <w:rFonts w:hint="eastAsia"/>
          <w:szCs w:val="21"/>
        </w:rPr>
        <w:t>（</w:t>
      </w:r>
      <w:r>
        <w:rPr>
          <w:szCs w:val="21"/>
        </w:rPr>
        <w:t>2</w:t>
      </w:r>
      <w:r>
        <w:rPr>
          <w:rFonts w:hint="eastAsia"/>
          <w:szCs w:val="21"/>
        </w:rPr>
        <w:t>） 要求在招标文件和合同中包含一个条款，要求投标人、供应商和承包商及其分包商、代理人、人员、顾问、服务提供商或供应商允许银行（或“借款人采购规则”规定有权利进行调查的联合资助方）或其代表检查其与投标和履行合同有关的账户、记录和其它文件，并由亚投行指定的审计师对其进行审计。</w:t>
      </w:r>
    </w:p>
    <w:p>
      <w:pPr>
        <w:pStyle w:val="5"/>
      </w:pPr>
      <w:bookmarkStart w:id="1815" w:name="_Toc391287419"/>
      <w:bookmarkStart w:id="1816" w:name="_Toc324772069"/>
      <w:bookmarkStart w:id="1817" w:name="_Toc171063218"/>
      <w:r>
        <w:rPr>
          <w:rFonts w:hint="eastAsia"/>
        </w:rPr>
        <w:t>6</w:t>
      </w:r>
      <w:r>
        <w:t>1</w:t>
      </w:r>
      <w:r>
        <w:rPr>
          <w:rFonts w:hint="eastAsia"/>
        </w:rPr>
        <w:t>　合同终止时的支付</w:t>
      </w:r>
      <w:bookmarkEnd w:id="1813"/>
      <w:bookmarkEnd w:id="1815"/>
      <w:bookmarkEnd w:id="1816"/>
      <w:bookmarkEnd w:id="1817"/>
    </w:p>
    <w:p>
      <w:pPr>
        <w:suppressAutoHyphens/>
        <w:spacing w:before="120" w:after="120"/>
        <w:ind w:firstLine="420" w:firstLineChars="200"/>
        <w:textAlignment w:val="auto"/>
        <w:rPr>
          <w:szCs w:val="21"/>
        </w:rPr>
      </w:pPr>
      <w:r>
        <w:rPr>
          <w:rFonts w:hint="eastAsia"/>
          <w:szCs w:val="21"/>
        </w:rPr>
        <w:t>6</w:t>
      </w:r>
      <w:r>
        <w:rPr>
          <w:szCs w:val="21"/>
        </w:rPr>
        <w:t>1</w:t>
      </w:r>
      <w:r>
        <w:rPr>
          <w:rFonts w:hint="eastAsia"/>
          <w:szCs w:val="21"/>
        </w:rPr>
        <w:t>.1　如果合同是由于承包商严重违约而终止，项目监理应发出一份对已完工程和已订购材料的支付证书，但应扣除至发出该证书之日承包商所收到的预付款和按</w:t>
      </w:r>
      <w:r>
        <w:rPr>
          <w:b/>
          <w:szCs w:val="21"/>
        </w:rPr>
        <w:t>特殊合同条款</w:t>
      </w:r>
      <w:r>
        <w:rPr>
          <w:rFonts w:hint="eastAsia"/>
          <w:szCs w:val="21"/>
        </w:rPr>
        <w:t>中规定比例计算的业主为继续完成那些未完工程而需要发生的额外成本。此后发生的误期赔偿费不再适用。如果应向业主支付的金额超过了应向承包商支付的金额，其差额将成为承包商欠业主的债务。</w:t>
      </w:r>
    </w:p>
    <w:p>
      <w:pPr>
        <w:suppressAutoHyphens/>
        <w:spacing w:before="120" w:after="120"/>
        <w:ind w:firstLine="420" w:firstLineChars="200"/>
        <w:textAlignment w:val="auto"/>
        <w:rPr>
          <w:szCs w:val="21"/>
        </w:rPr>
      </w:pPr>
      <w:r>
        <w:rPr>
          <w:rFonts w:hint="eastAsia"/>
          <w:szCs w:val="21"/>
        </w:rPr>
        <w:t>6</w:t>
      </w:r>
      <w:r>
        <w:rPr>
          <w:szCs w:val="21"/>
        </w:rPr>
        <w:t>1</w:t>
      </w:r>
      <w:r>
        <w:rPr>
          <w:rFonts w:hint="eastAsia"/>
          <w:szCs w:val="21"/>
        </w:rPr>
        <w:t>.2　如果业主随意终止合同或业主严重违约而造成合同终止，项目监理应就承包商所完成工程和已订购材料的价值、迁移施工机械的合理费用、受雇于本工程人员的遣返费用以及承包商保护工程的费用签发支付证书，但至发出证书之日所支付的预付款应予扣除。</w:t>
      </w:r>
    </w:p>
    <w:p>
      <w:pPr>
        <w:pStyle w:val="5"/>
      </w:pPr>
      <w:bookmarkStart w:id="1818" w:name="_Toc104482552"/>
      <w:bookmarkStart w:id="1819" w:name="_Toc324772070"/>
      <w:bookmarkStart w:id="1820" w:name="_Toc171063219"/>
      <w:bookmarkStart w:id="1821" w:name="_Toc391287420"/>
      <w:r>
        <w:rPr>
          <w:rFonts w:hint="eastAsia"/>
        </w:rPr>
        <w:t>6</w:t>
      </w:r>
      <w:r>
        <w:t>2</w:t>
      </w:r>
      <w:r>
        <w:rPr>
          <w:rFonts w:hint="eastAsia"/>
        </w:rPr>
        <w:t>　财产</w:t>
      </w:r>
      <w:bookmarkEnd w:id="1818"/>
      <w:bookmarkEnd w:id="1819"/>
      <w:bookmarkEnd w:id="1820"/>
      <w:bookmarkEnd w:id="1821"/>
    </w:p>
    <w:p>
      <w:pPr>
        <w:suppressAutoHyphens/>
        <w:spacing w:before="120" w:after="120"/>
        <w:ind w:firstLine="420" w:firstLineChars="200"/>
        <w:textAlignment w:val="auto"/>
        <w:rPr>
          <w:szCs w:val="21"/>
        </w:rPr>
      </w:pPr>
      <w:r>
        <w:rPr>
          <w:rFonts w:hint="eastAsia"/>
          <w:szCs w:val="21"/>
        </w:rPr>
        <w:t>61.1　如果因承包商的原因而造成合同终止，则现场的所有材料，承包商拥有的设备、施工机械、临时工程和本合同项下的工程均应视为业主的财产。</w:t>
      </w:r>
    </w:p>
    <w:p>
      <w:pPr>
        <w:pStyle w:val="5"/>
      </w:pPr>
      <w:bookmarkStart w:id="1822" w:name="_Toc104482553"/>
      <w:bookmarkStart w:id="1823" w:name="_Toc324772071"/>
      <w:bookmarkStart w:id="1824" w:name="_Toc171063220"/>
      <w:bookmarkStart w:id="1825" w:name="_Toc391287421"/>
      <w:r>
        <w:rPr>
          <w:rFonts w:hint="eastAsia"/>
        </w:rPr>
        <w:t>6</w:t>
      </w:r>
      <w:r>
        <w:t>3</w:t>
      </w:r>
      <w:r>
        <w:rPr>
          <w:rFonts w:hint="eastAsia"/>
        </w:rPr>
        <w:t>　</w:t>
      </w:r>
      <w:bookmarkEnd w:id="1822"/>
      <w:r>
        <w:rPr>
          <w:rFonts w:hint="eastAsia"/>
        </w:rPr>
        <w:t>合同解除</w:t>
      </w:r>
      <w:bookmarkEnd w:id="1823"/>
      <w:bookmarkEnd w:id="1824"/>
      <w:bookmarkEnd w:id="1825"/>
    </w:p>
    <w:p>
      <w:pPr>
        <w:suppressAutoHyphens/>
        <w:spacing w:before="120" w:after="120"/>
        <w:ind w:firstLine="420" w:firstLineChars="200"/>
        <w:textAlignment w:val="auto"/>
        <w:rPr>
          <w:szCs w:val="21"/>
        </w:rPr>
      </w:pPr>
      <w:r>
        <w:rPr>
          <w:rFonts w:hint="eastAsia"/>
          <w:szCs w:val="21"/>
        </w:rPr>
        <w:t>6</w:t>
      </w:r>
      <w:r>
        <w:rPr>
          <w:szCs w:val="21"/>
        </w:rPr>
        <w:t>3</w:t>
      </w:r>
      <w:r>
        <w:rPr>
          <w:rFonts w:hint="eastAsia"/>
          <w:szCs w:val="21"/>
        </w:rPr>
        <w:t>.1　如果因业主和承包商完全无法控制的事件而造成合同无法履行，项目监理应核准该合同解除。收到该证明后，承包商应保证现场安全并尽快停止施工。对于在收到此证明前承包商所完成的工程和此后承包商承诺完成的工作，应向承包商支付相应的报酬。</w:t>
      </w:r>
    </w:p>
    <w:p>
      <w:pPr>
        <w:pStyle w:val="5"/>
      </w:pPr>
      <w:bookmarkStart w:id="1826" w:name="_Toc104482554"/>
      <w:bookmarkStart w:id="1827" w:name="_Toc324772072"/>
      <w:bookmarkStart w:id="1828" w:name="_Toc171063221"/>
      <w:bookmarkStart w:id="1829" w:name="_Toc391287422"/>
      <w:r>
        <w:rPr>
          <w:rFonts w:hint="eastAsia"/>
        </w:rPr>
        <w:t>6</w:t>
      </w:r>
      <w:r>
        <w:t>4</w:t>
      </w:r>
      <w:r>
        <w:rPr>
          <w:rFonts w:hint="eastAsia"/>
        </w:rPr>
        <w:t>　停止贷款</w:t>
      </w:r>
      <w:bookmarkEnd w:id="1826"/>
      <w:bookmarkEnd w:id="1827"/>
      <w:bookmarkEnd w:id="1828"/>
      <w:bookmarkEnd w:id="1829"/>
    </w:p>
    <w:p>
      <w:pPr>
        <w:suppressAutoHyphens/>
        <w:spacing w:before="120" w:after="120"/>
        <w:ind w:firstLine="420" w:firstLineChars="200"/>
        <w:textAlignment w:val="auto"/>
        <w:rPr>
          <w:szCs w:val="21"/>
        </w:rPr>
      </w:pPr>
      <w:r>
        <w:rPr>
          <w:rFonts w:hint="eastAsia"/>
          <w:szCs w:val="21"/>
        </w:rPr>
        <w:t>6</w:t>
      </w:r>
      <w:r>
        <w:rPr>
          <w:szCs w:val="21"/>
        </w:rPr>
        <w:t>4</w:t>
      </w:r>
      <w:r>
        <w:rPr>
          <w:rFonts w:hint="eastAsia"/>
          <w:szCs w:val="21"/>
        </w:rPr>
        <w:t>.1　如果亚投行或中国政府有关部门停止向业主提供资金，而该资金的一部分系用于支付承包商的费用，则：</w:t>
      </w:r>
    </w:p>
    <w:p>
      <w:pPr>
        <w:spacing w:before="120" w:after="120" w:line="240" w:lineRule="atLeast"/>
        <w:ind w:left="936" w:hanging="576"/>
        <w:jc w:val="left"/>
        <w:textAlignment w:val="auto"/>
        <w:rPr>
          <w:szCs w:val="21"/>
        </w:rPr>
      </w:pPr>
      <w:r>
        <w:rPr>
          <w:rFonts w:hint="eastAsia"/>
          <w:szCs w:val="21"/>
        </w:rPr>
        <w:t>（1）业主将在接到金融机构中止支付的通知后七（7）天内将此事通知承包商。</w:t>
      </w:r>
    </w:p>
    <w:p>
      <w:pPr>
        <w:spacing w:before="120" w:after="120" w:line="240" w:lineRule="atLeast"/>
        <w:ind w:left="936" w:hanging="576"/>
        <w:jc w:val="left"/>
        <w:textAlignment w:val="auto"/>
        <w:rPr>
          <w:szCs w:val="21"/>
        </w:rPr>
      </w:pPr>
      <w:r>
        <w:rPr>
          <w:rFonts w:hint="eastAsia"/>
          <w:szCs w:val="21"/>
        </w:rPr>
        <w:t>（2）如果承包商在二十八（28）天内未能收到一般合同条款第41.1款规定的款项，承包商可立即发出限期十四（14）天的终止合同通知。</w:t>
      </w:r>
    </w:p>
    <w:p>
      <w:pPr>
        <w:suppressAutoHyphens/>
        <w:spacing w:before="120" w:after="120"/>
        <w:ind w:firstLine="420" w:firstLineChars="200"/>
        <w:textAlignment w:val="auto"/>
        <w:rPr>
          <w:szCs w:val="21"/>
        </w:rPr>
      </w:pPr>
    </w:p>
    <w:p>
      <w:pPr>
        <w:widowControl/>
        <w:adjustRightInd/>
        <w:spacing w:line="240" w:lineRule="auto"/>
        <w:jc w:val="left"/>
        <w:textAlignment w:val="auto"/>
        <w:rPr>
          <w:szCs w:val="21"/>
        </w:rPr>
      </w:pPr>
      <w:r>
        <w:rPr>
          <w:szCs w:val="21"/>
        </w:rPr>
        <w:br w:type="page"/>
      </w:r>
    </w:p>
    <w:p>
      <w:pPr>
        <w:widowControl/>
        <w:adjustRightInd/>
        <w:spacing w:line="240" w:lineRule="auto"/>
        <w:jc w:val="center"/>
        <w:textAlignment w:val="auto"/>
        <w:rPr>
          <w:szCs w:val="21"/>
        </w:rPr>
      </w:pPr>
    </w:p>
    <w:p>
      <w:pPr>
        <w:widowControl/>
        <w:adjustRightInd/>
        <w:spacing w:line="240" w:lineRule="auto"/>
        <w:jc w:val="center"/>
        <w:textAlignment w:val="auto"/>
        <w:rPr>
          <w:b/>
          <w:szCs w:val="21"/>
        </w:rPr>
      </w:pPr>
      <w:r>
        <w:rPr>
          <w:rFonts w:hint="eastAsia"/>
          <w:b/>
          <w:szCs w:val="21"/>
        </w:rPr>
        <w:t>附录</w:t>
      </w:r>
    </w:p>
    <w:p>
      <w:pPr>
        <w:widowControl/>
        <w:adjustRightInd/>
        <w:spacing w:line="240" w:lineRule="auto"/>
        <w:jc w:val="left"/>
        <w:textAlignment w:val="auto"/>
        <w:rPr>
          <w:b/>
          <w:szCs w:val="21"/>
          <w:highlight w:val="cyan"/>
        </w:rPr>
      </w:pPr>
    </w:p>
    <w:p>
      <w:pPr>
        <w:widowControl/>
        <w:adjustRightInd/>
        <w:spacing w:line="240" w:lineRule="auto"/>
        <w:jc w:val="center"/>
        <w:textAlignment w:val="auto"/>
        <w:rPr>
          <w:b/>
          <w:szCs w:val="21"/>
          <w:highlight w:val="none"/>
        </w:rPr>
      </w:pPr>
      <w:r>
        <w:rPr>
          <w:rFonts w:hint="eastAsia"/>
          <w:b/>
          <w:szCs w:val="21"/>
          <w:highlight w:val="none"/>
        </w:rPr>
        <w:t>环境-社会-健康-安全报告</w:t>
      </w:r>
    </w:p>
    <w:p>
      <w:pPr>
        <w:widowControl/>
        <w:adjustRightInd/>
        <w:spacing w:line="240" w:lineRule="auto"/>
        <w:jc w:val="left"/>
        <w:textAlignment w:val="auto"/>
        <w:rPr>
          <w:b/>
          <w:szCs w:val="21"/>
          <w:highlight w:val="none"/>
        </w:rPr>
      </w:pPr>
    </w:p>
    <w:p>
      <w:pPr>
        <w:widowControl/>
        <w:adjustRightInd/>
        <w:spacing w:line="240" w:lineRule="auto"/>
        <w:jc w:val="left"/>
        <w:textAlignment w:val="auto"/>
        <w:rPr>
          <w:szCs w:val="21"/>
          <w:highlight w:val="none"/>
        </w:rPr>
      </w:pPr>
      <w:r>
        <w:rPr>
          <w:rFonts w:hint="eastAsia"/>
          <w:szCs w:val="21"/>
          <w:highlight w:val="none"/>
        </w:rPr>
        <w:t>报告内容</w:t>
      </w:r>
      <w:r>
        <w:rPr>
          <w:szCs w:val="21"/>
          <w:highlight w:val="none"/>
        </w:rPr>
        <w:t>:</w:t>
      </w:r>
    </w:p>
    <w:p>
      <w:pPr>
        <w:widowControl/>
        <w:numPr>
          <w:ilvl w:val="0"/>
          <w:numId w:val="29"/>
        </w:numPr>
        <w:adjustRightInd/>
        <w:spacing w:line="240" w:lineRule="auto"/>
        <w:jc w:val="left"/>
        <w:textAlignment w:val="auto"/>
        <w:rPr>
          <w:szCs w:val="21"/>
          <w:highlight w:val="none"/>
        </w:rPr>
      </w:pPr>
      <w:r>
        <w:rPr>
          <w:rFonts w:hint="eastAsia"/>
          <w:szCs w:val="21"/>
          <w:highlight w:val="none"/>
        </w:rPr>
        <w:t>环境污染事件，包括对地下水或水源的污染</w:t>
      </w:r>
      <w:r>
        <w:rPr>
          <w:szCs w:val="21"/>
          <w:highlight w:val="none"/>
        </w:rPr>
        <w:t>;</w:t>
      </w:r>
    </w:p>
    <w:p>
      <w:pPr>
        <w:widowControl/>
        <w:adjustRightInd/>
        <w:spacing w:line="240" w:lineRule="auto"/>
        <w:jc w:val="left"/>
        <w:textAlignment w:val="auto"/>
        <w:rPr>
          <w:szCs w:val="21"/>
          <w:highlight w:val="none"/>
        </w:rPr>
      </w:pPr>
      <w:r>
        <w:rPr>
          <w:rFonts w:hint="eastAsia"/>
          <w:szCs w:val="21"/>
          <w:highlight w:val="none"/>
        </w:rPr>
        <w:t>卫生安全事件、事故、需要治疗的受伤或死亡事故</w:t>
      </w:r>
      <w:r>
        <w:rPr>
          <w:szCs w:val="21"/>
          <w:highlight w:val="none"/>
        </w:rPr>
        <w:t xml:space="preserve">; </w:t>
      </w:r>
    </w:p>
    <w:p>
      <w:pPr>
        <w:widowControl/>
        <w:adjustRightInd/>
        <w:spacing w:line="240" w:lineRule="auto"/>
        <w:jc w:val="left"/>
        <w:textAlignment w:val="auto"/>
        <w:rPr>
          <w:szCs w:val="21"/>
          <w:highlight w:val="none"/>
        </w:rPr>
      </w:pPr>
      <w:r>
        <w:rPr>
          <w:rFonts w:hint="eastAsia"/>
          <w:szCs w:val="21"/>
          <w:highlight w:val="none"/>
        </w:rPr>
        <w:t>与政府有关监督部门的工作来往</w:t>
      </w:r>
      <w:r>
        <w:rPr>
          <w:szCs w:val="21"/>
          <w:highlight w:val="none"/>
        </w:rPr>
        <w:t xml:space="preserve">:  </w:t>
      </w:r>
      <w:r>
        <w:rPr>
          <w:rFonts w:hint="eastAsia"/>
          <w:szCs w:val="21"/>
          <w:highlight w:val="none"/>
        </w:rPr>
        <w:t>部门名称、时间、事由、结果；</w:t>
      </w:r>
    </w:p>
    <w:p>
      <w:pPr>
        <w:widowControl/>
        <w:adjustRightInd/>
        <w:spacing w:line="240" w:lineRule="auto"/>
        <w:jc w:val="left"/>
        <w:textAlignment w:val="auto"/>
        <w:rPr>
          <w:szCs w:val="21"/>
          <w:highlight w:val="none"/>
        </w:rPr>
      </w:pPr>
      <w:r>
        <w:rPr>
          <w:rFonts w:hint="eastAsia"/>
          <w:szCs w:val="21"/>
          <w:highlight w:val="none"/>
        </w:rPr>
        <w:t>相关的许可证与协议的现状</w:t>
      </w:r>
      <w:r>
        <w:rPr>
          <w:szCs w:val="21"/>
          <w:highlight w:val="none"/>
        </w:rPr>
        <w:t xml:space="preserve">: </w:t>
      </w:r>
    </w:p>
    <w:p>
      <w:pPr>
        <w:widowControl/>
        <w:adjustRightInd/>
        <w:spacing w:line="240" w:lineRule="auto"/>
        <w:jc w:val="left"/>
        <w:textAlignment w:val="auto"/>
        <w:rPr>
          <w:szCs w:val="21"/>
          <w:highlight w:val="none"/>
        </w:rPr>
      </w:pPr>
      <w:r>
        <w:rPr>
          <w:rFonts w:hint="eastAsia"/>
          <w:szCs w:val="21"/>
          <w:highlight w:val="none"/>
        </w:rPr>
        <w:t>工作许可证：需要多少工作许可证、已经办理了多少工作许可证、对未办理到工作许可证的如何处理</w:t>
      </w:r>
    </w:p>
    <w:p>
      <w:pPr>
        <w:widowControl/>
        <w:adjustRightInd/>
        <w:spacing w:line="240" w:lineRule="auto"/>
        <w:jc w:val="left"/>
        <w:textAlignment w:val="auto"/>
        <w:rPr>
          <w:szCs w:val="21"/>
          <w:highlight w:val="none"/>
        </w:rPr>
      </w:pPr>
      <w:r>
        <w:rPr>
          <w:rFonts w:hint="eastAsia"/>
          <w:szCs w:val="21"/>
          <w:highlight w:val="none"/>
        </w:rPr>
        <w:t>工程许可证和协议</w:t>
      </w:r>
      <w:r>
        <w:rPr>
          <w:szCs w:val="21"/>
          <w:highlight w:val="none"/>
        </w:rPr>
        <w:t xml:space="preserve">: </w:t>
      </w:r>
    </w:p>
    <w:p>
      <w:pPr>
        <w:widowControl/>
        <w:adjustRightInd/>
        <w:spacing w:line="240" w:lineRule="auto"/>
        <w:jc w:val="left"/>
        <w:textAlignment w:val="auto"/>
        <w:rPr>
          <w:szCs w:val="21"/>
          <w:highlight w:val="none"/>
        </w:rPr>
      </w:pPr>
      <w:r>
        <w:rPr>
          <w:rFonts w:hint="eastAsia"/>
          <w:szCs w:val="21"/>
          <w:highlight w:val="none"/>
        </w:rPr>
        <w:t>哪些工作区域需要许可证</w:t>
      </w:r>
      <w:r>
        <w:rPr>
          <w:szCs w:val="21"/>
          <w:highlight w:val="none"/>
        </w:rPr>
        <w:t>(</w:t>
      </w:r>
      <w:r>
        <w:rPr>
          <w:rFonts w:hint="eastAsia"/>
          <w:szCs w:val="21"/>
          <w:highlight w:val="none"/>
        </w:rPr>
        <w:t>例如采石场、沥青拌合站</w:t>
      </w:r>
      <w:r>
        <w:rPr>
          <w:szCs w:val="21"/>
          <w:highlight w:val="none"/>
        </w:rPr>
        <w:t xml:space="preserve">), </w:t>
      </w:r>
      <w:r>
        <w:rPr>
          <w:rFonts w:hint="eastAsia"/>
          <w:szCs w:val="21"/>
          <w:highlight w:val="none"/>
        </w:rPr>
        <w:t>申请许可证的时间、、许可证颁发的时间（如尚未颁发，相应的跟踪措施）、许可证提交给现场监理的时间、这些工作区域的现状（等待许可证、正在使用、未复垦而处于废弃状态、拆除计划正在实施中等）;</w:t>
      </w:r>
    </w:p>
    <w:p>
      <w:pPr>
        <w:widowControl/>
        <w:adjustRightInd/>
        <w:spacing w:line="240" w:lineRule="auto"/>
        <w:jc w:val="left"/>
        <w:textAlignment w:val="auto"/>
        <w:rPr>
          <w:szCs w:val="21"/>
          <w:highlight w:val="none"/>
        </w:rPr>
      </w:pPr>
      <w:r>
        <w:rPr>
          <w:rFonts w:hint="eastAsia"/>
          <w:szCs w:val="21"/>
          <w:highlight w:val="none"/>
        </w:rPr>
        <w:t>哪些工作区域需要与土地所有者达成协议（取土场、弃土场、营地）、与土地所有者达成协议的时间、协议提交给现场监理的时间；</w:t>
      </w:r>
    </w:p>
    <w:p>
      <w:pPr>
        <w:widowControl/>
        <w:adjustRightInd/>
        <w:spacing w:line="240" w:lineRule="auto"/>
        <w:jc w:val="left"/>
        <w:textAlignment w:val="auto"/>
        <w:rPr>
          <w:szCs w:val="21"/>
          <w:highlight w:val="none"/>
        </w:rPr>
      </w:pPr>
      <w:r>
        <w:rPr>
          <w:rFonts w:hint="eastAsia"/>
          <w:szCs w:val="21"/>
          <w:highlight w:val="none"/>
        </w:rPr>
        <w:t>本月各工作区域的主要施工活动、环境社会保护措施（清场、施工边界标识、剩余表土、交通管理、拆除计划、拆除实施）</w:t>
      </w:r>
      <w:r>
        <w:rPr>
          <w:szCs w:val="21"/>
          <w:highlight w:val="none"/>
        </w:rPr>
        <w:t>;</w:t>
      </w:r>
    </w:p>
    <w:p>
      <w:pPr>
        <w:widowControl/>
        <w:adjustRightInd/>
        <w:spacing w:line="240" w:lineRule="auto"/>
        <w:jc w:val="left"/>
        <w:textAlignment w:val="auto"/>
        <w:rPr>
          <w:szCs w:val="21"/>
          <w:highlight w:val="none"/>
        </w:rPr>
      </w:pPr>
      <w:r>
        <w:rPr>
          <w:rFonts w:hint="eastAsia"/>
          <w:szCs w:val="21"/>
          <w:highlight w:val="none"/>
        </w:rPr>
        <w:t>采石场：拆迁和补偿（完成否、每月进度、现状）</w:t>
      </w:r>
    </w:p>
    <w:p>
      <w:pPr>
        <w:widowControl/>
        <w:adjustRightInd/>
        <w:spacing w:line="240" w:lineRule="auto"/>
        <w:jc w:val="left"/>
        <w:textAlignment w:val="auto"/>
        <w:rPr>
          <w:szCs w:val="21"/>
          <w:highlight w:val="none"/>
        </w:rPr>
      </w:pPr>
      <w:r>
        <w:rPr>
          <w:rFonts w:hint="eastAsia"/>
          <w:szCs w:val="21"/>
          <w:highlight w:val="none"/>
        </w:rPr>
        <w:t>健康和安全监管：</w:t>
      </w:r>
      <w:r>
        <w:rPr>
          <w:szCs w:val="21"/>
          <w:highlight w:val="none"/>
        </w:rPr>
        <w:t xml:space="preserve"> </w:t>
      </w:r>
    </w:p>
    <w:p>
      <w:pPr>
        <w:widowControl/>
        <w:numPr>
          <w:ilvl w:val="0"/>
          <w:numId w:val="30"/>
        </w:numPr>
        <w:adjustRightInd/>
        <w:spacing w:line="240" w:lineRule="auto"/>
        <w:jc w:val="left"/>
        <w:textAlignment w:val="auto"/>
        <w:rPr>
          <w:szCs w:val="21"/>
        </w:rPr>
      </w:pPr>
      <w:r>
        <w:rPr>
          <w:rFonts w:hint="eastAsia"/>
          <w:szCs w:val="21"/>
          <w:highlight w:val="none"/>
        </w:rPr>
        <w:t>安全工程师：工作天数、完成的全面安全检</w:t>
      </w:r>
      <w:r>
        <w:rPr>
          <w:rFonts w:hint="eastAsia"/>
          <w:szCs w:val="21"/>
        </w:rPr>
        <w:t>查和局部安全检查次数、向项目经理提交的报告</w:t>
      </w:r>
      <w:r>
        <w:rPr>
          <w:szCs w:val="21"/>
        </w:rPr>
        <w:t>;</w:t>
      </w:r>
    </w:p>
    <w:p>
      <w:pPr>
        <w:widowControl/>
        <w:numPr>
          <w:ilvl w:val="0"/>
          <w:numId w:val="30"/>
        </w:numPr>
        <w:adjustRightInd/>
        <w:spacing w:line="240" w:lineRule="auto"/>
        <w:jc w:val="left"/>
        <w:textAlignment w:val="auto"/>
        <w:rPr>
          <w:szCs w:val="21"/>
        </w:rPr>
      </w:pPr>
      <w:r>
        <w:rPr>
          <w:rFonts w:hint="eastAsia"/>
          <w:szCs w:val="21"/>
        </w:rPr>
        <w:t>工人数量、工人工作时间、配备了个人安全防护设备的工人百分数、发现的工人违反卫生-安全规定的案例（按照违反行为的类型、个人安全防护设备等），给出的警告、再次给出的警告、后续措施</w:t>
      </w:r>
      <w:r>
        <w:rPr>
          <w:szCs w:val="21"/>
        </w:rPr>
        <w:t>;</w:t>
      </w:r>
    </w:p>
    <w:p>
      <w:pPr>
        <w:widowControl/>
        <w:adjustRightInd/>
        <w:spacing w:line="240" w:lineRule="auto"/>
        <w:jc w:val="left"/>
        <w:textAlignment w:val="auto"/>
        <w:rPr>
          <w:szCs w:val="21"/>
        </w:rPr>
      </w:pPr>
      <w:r>
        <w:rPr>
          <w:rFonts w:hint="eastAsia"/>
          <w:szCs w:val="21"/>
        </w:rPr>
        <w:t>工人住所</w:t>
      </w:r>
      <w:r>
        <w:rPr>
          <w:szCs w:val="21"/>
        </w:rPr>
        <w:t>:</w:t>
      </w:r>
    </w:p>
    <w:p>
      <w:pPr>
        <w:widowControl/>
        <w:numPr>
          <w:ilvl w:val="0"/>
          <w:numId w:val="31"/>
        </w:numPr>
        <w:adjustRightInd/>
        <w:spacing w:line="240" w:lineRule="auto"/>
        <w:jc w:val="left"/>
        <w:textAlignment w:val="auto"/>
        <w:rPr>
          <w:szCs w:val="21"/>
        </w:rPr>
      </w:pPr>
      <w:r>
        <w:rPr>
          <w:rFonts w:hint="eastAsia"/>
          <w:szCs w:val="21"/>
        </w:rPr>
        <w:t>工人的人数</w:t>
      </w:r>
      <w:r>
        <w:rPr>
          <w:szCs w:val="21"/>
        </w:rPr>
        <w:t>;</w:t>
      </w:r>
    </w:p>
    <w:p>
      <w:pPr>
        <w:widowControl/>
        <w:numPr>
          <w:ilvl w:val="0"/>
          <w:numId w:val="30"/>
        </w:numPr>
        <w:adjustRightInd/>
        <w:spacing w:line="240" w:lineRule="auto"/>
        <w:jc w:val="left"/>
        <w:textAlignment w:val="auto"/>
        <w:rPr>
          <w:szCs w:val="21"/>
        </w:rPr>
      </w:pPr>
      <w:r>
        <w:rPr>
          <w:rFonts w:hint="eastAsia"/>
          <w:szCs w:val="21"/>
        </w:rPr>
        <w:t>最近一次检查工人住地的时间、发现的问题、住所是否符合国家和地方法律法规的规定（比如卫生条件、面积大小）</w:t>
      </w:r>
      <w:r>
        <w:rPr>
          <w:szCs w:val="21"/>
        </w:rPr>
        <w:t xml:space="preserve">; </w:t>
      </w:r>
    </w:p>
    <w:p>
      <w:pPr>
        <w:widowControl/>
        <w:numPr>
          <w:ilvl w:val="0"/>
          <w:numId w:val="30"/>
        </w:numPr>
        <w:adjustRightInd/>
        <w:spacing w:line="240" w:lineRule="auto"/>
        <w:jc w:val="left"/>
        <w:textAlignment w:val="auto"/>
        <w:rPr>
          <w:szCs w:val="21"/>
        </w:rPr>
      </w:pPr>
      <w:r>
        <w:rPr>
          <w:rFonts w:hint="eastAsia"/>
          <w:szCs w:val="21"/>
        </w:rPr>
        <w:t>改进或整改的建议</w:t>
      </w:r>
    </w:p>
    <w:p>
      <w:pPr>
        <w:widowControl/>
        <w:adjustRightInd/>
        <w:spacing w:line="240" w:lineRule="auto"/>
        <w:jc w:val="left"/>
        <w:textAlignment w:val="auto"/>
        <w:rPr>
          <w:szCs w:val="21"/>
        </w:rPr>
      </w:pPr>
      <w:r>
        <w:rPr>
          <w:rFonts w:hint="eastAsia"/>
          <w:szCs w:val="21"/>
        </w:rPr>
        <w:t>艾滋病</w:t>
      </w:r>
      <w:r>
        <w:rPr>
          <w:szCs w:val="21"/>
        </w:rPr>
        <w:t xml:space="preserve">: </w:t>
      </w:r>
      <w:r>
        <w:rPr>
          <w:rFonts w:hint="eastAsia"/>
          <w:szCs w:val="21"/>
        </w:rPr>
        <w:t>现场卫生服务方、信息及培训、医疗室位置、治疗和诊断的数量（患者姓名不需要提供）</w:t>
      </w:r>
      <w:r>
        <w:rPr>
          <w:szCs w:val="21"/>
        </w:rPr>
        <w:t>;</w:t>
      </w:r>
    </w:p>
    <w:p>
      <w:pPr>
        <w:widowControl/>
        <w:adjustRightInd/>
        <w:spacing w:line="240" w:lineRule="auto"/>
        <w:jc w:val="left"/>
        <w:textAlignment w:val="auto"/>
        <w:rPr>
          <w:szCs w:val="21"/>
        </w:rPr>
      </w:pPr>
      <w:r>
        <w:rPr>
          <w:rFonts w:hint="eastAsia"/>
          <w:szCs w:val="21"/>
        </w:rPr>
        <w:t>性别</w:t>
      </w:r>
      <w:r>
        <w:rPr>
          <w:szCs w:val="21"/>
        </w:rPr>
        <w:t xml:space="preserve">: </w:t>
      </w:r>
      <w:r>
        <w:rPr>
          <w:rFonts w:hint="eastAsia"/>
          <w:szCs w:val="21"/>
        </w:rPr>
        <w:t>女性工人数、百分比、与性别有关的问题及其处理措施</w:t>
      </w:r>
      <w:r>
        <w:rPr>
          <w:szCs w:val="21"/>
        </w:rPr>
        <w:t>;</w:t>
      </w:r>
    </w:p>
    <w:p>
      <w:pPr>
        <w:widowControl/>
        <w:adjustRightInd/>
        <w:spacing w:line="240" w:lineRule="auto"/>
        <w:jc w:val="left"/>
        <w:textAlignment w:val="auto"/>
        <w:rPr>
          <w:szCs w:val="21"/>
        </w:rPr>
      </w:pPr>
      <w:r>
        <w:rPr>
          <w:rFonts w:hint="eastAsia"/>
          <w:szCs w:val="21"/>
        </w:rPr>
        <w:t>培训</w:t>
      </w:r>
      <w:r>
        <w:rPr>
          <w:szCs w:val="21"/>
        </w:rPr>
        <w:t>:</w:t>
      </w:r>
    </w:p>
    <w:p>
      <w:pPr>
        <w:widowControl/>
        <w:numPr>
          <w:ilvl w:val="0"/>
          <w:numId w:val="30"/>
        </w:numPr>
        <w:adjustRightInd/>
        <w:spacing w:line="240" w:lineRule="auto"/>
        <w:jc w:val="left"/>
        <w:textAlignment w:val="auto"/>
        <w:rPr>
          <w:szCs w:val="21"/>
        </w:rPr>
      </w:pPr>
      <w:r>
        <w:rPr>
          <w:rFonts w:hint="eastAsia"/>
          <w:szCs w:val="21"/>
        </w:rPr>
        <w:t>新入职工人数、接受上岗培训的人数、上岗培训的时间</w:t>
      </w:r>
      <w:r>
        <w:rPr>
          <w:szCs w:val="21"/>
        </w:rPr>
        <w:t>;</w:t>
      </w:r>
    </w:p>
    <w:p>
      <w:pPr>
        <w:widowControl/>
        <w:numPr>
          <w:ilvl w:val="0"/>
          <w:numId w:val="30"/>
        </w:numPr>
        <w:adjustRightInd/>
        <w:spacing w:line="240" w:lineRule="auto"/>
        <w:jc w:val="left"/>
        <w:textAlignment w:val="auto"/>
        <w:rPr>
          <w:szCs w:val="21"/>
        </w:rPr>
      </w:pPr>
      <w:r>
        <w:rPr>
          <w:rFonts w:hint="eastAsia"/>
          <w:szCs w:val="21"/>
        </w:rPr>
        <w:t>针对安全工具箱使用的交流会（次数、时间）、接受职业卫生安全培训的工人数、接受环境社会培训的工人数</w:t>
      </w:r>
      <w:r>
        <w:rPr>
          <w:szCs w:val="21"/>
        </w:rPr>
        <w:t>;</w:t>
      </w:r>
    </w:p>
    <w:p>
      <w:pPr>
        <w:widowControl/>
        <w:numPr>
          <w:ilvl w:val="0"/>
          <w:numId w:val="30"/>
        </w:numPr>
        <w:adjustRightInd/>
        <w:spacing w:line="240" w:lineRule="auto"/>
        <w:jc w:val="left"/>
        <w:textAlignment w:val="auto"/>
        <w:rPr>
          <w:szCs w:val="21"/>
        </w:rPr>
      </w:pPr>
      <w:r>
        <w:rPr>
          <w:rFonts w:hint="eastAsia"/>
          <w:szCs w:val="21"/>
        </w:rPr>
        <w:t>艾滋病认知培训（次数、日期、本月及以往受训工人数）、性别问题认知培训（次数、日期、本月及以往受训工人数）、旗手培训</w:t>
      </w:r>
    </w:p>
    <w:p>
      <w:pPr>
        <w:widowControl/>
        <w:adjustRightInd/>
        <w:spacing w:line="240" w:lineRule="auto"/>
        <w:jc w:val="left"/>
        <w:textAlignment w:val="auto"/>
        <w:rPr>
          <w:szCs w:val="21"/>
        </w:rPr>
      </w:pPr>
      <w:r>
        <w:rPr>
          <w:rFonts w:hint="eastAsia"/>
          <w:szCs w:val="21"/>
        </w:rPr>
        <w:t>环境社会检查</w:t>
      </w:r>
      <w:r>
        <w:rPr>
          <w:szCs w:val="21"/>
        </w:rPr>
        <w:t>:</w:t>
      </w:r>
    </w:p>
    <w:p>
      <w:pPr>
        <w:widowControl/>
        <w:numPr>
          <w:ilvl w:val="0"/>
          <w:numId w:val="30"/>
        </w:numPr>
        <w:adjustRightInd/>
        <w:spacing w:line="240" w:lineRule="auto"/>
        <w:jc w:val="left"/>
        <w:textAlignment w:val="auto"/>
        <w:rPr>
          <w:szCs w:val="21"/>
        </w:rPr>
      </w:pPr>
      <w:r>
        <w:rPr>
          <w:rFonts w:hint="eastAsia"/>
          <w:szCs w:val="21"/>
        </w:rPr>
        <w:t>环境工程师</w:t>
      </w:r>
      <w:r>
        <w:rPr>
          <w:szCs w:val="21"/>
        </w:rPr>
        <w:t xml:space="preserve">: </w:t>
      </w:r>
      <w:r>
        <w:rPr>
          <w:rFonts w:hint="eastAsia"/>
          <w:szCs w:val="21"/>
        </w:rPr>
        <w:t>工作天数、检查的区域与检查的次数（公路现场、营地、住所、采石场、取土场、弃土场、沼泽、穿越森林的地带等）、发现的问题（违反环境社会通常做法的行为、采取的措施）、提交给项目管理层的报告；</w:t>
      </w:r>
    </w:p>
    <w:p>
      <w:pPr>
        <w:widowControl/>
        <w:adjustRightInd/>
        <w:spacing w:line="240" w:lineRule="auto"/>
        <w:jc w:val="left"/>
        <w:textAlignment w:val="auto"/>
        <w:rPr>
          <w:szCs w:val="21"/>
        </w:rPr>
      </w:pPr>
      <w:r>
        <w:rPr>
          <w:rFonts w:hint="eastAsia"/>
          <w:szCs w:val="21"/>
        </w:rPr>
        <w:t>社会专家</w:t>
      </w:r>
      <w:r>
        <w:rPr>
          <w:szCs w:val="21"/>
        </w:rPr>
        <w:t xml:space="preserve">: </w:t>
      </w:r>
      <w:r>
        <w:rPr>
          <w:rFonts w:hint="eastAsia"/>
          <w:szCs w:val="21"/>
        </w:rPr>
        <w:t>工作天数、全面和局部检查的区域与检查的次数（公路现场、营地、住所、采石场、取土场、弃土场、诊所、艾滋病中心、社区中心等）、发现的问题（违反环境社会通常做法的行为、采取的措施）、提交给项目管理层的报告</w:t>
      </w:r>
      <w:r>
        <w:rPr>
          <w:szCs w:val="21"/>
        </w:rPr>
        <w:t xml:space="preserve"> </w:t>
      </w:r>
    </w:p>
    <w:p>
      <w:pPr>
        <w:widowControl/>
        <w:adjustRightInd/>
        <w:spacing w:line="240" w:lineRule="auto"/>
        <w:jc w:val="left"/>
        <w:textAlignment w:val="auto"/>
        <w:rPr>
          <w:szCs w:val="21"/>
        </w:rPr>
      </w:pPr>
      <w:r>
        <w:rPr>
          <w:rFonts w:hint="eastAsia"/>
          <w:szCs w:val="21"/>
        </w:rPr>
        <w:t>社区联系人</w:t>
      </w:r>
      <w:r>
        <w:rPr>
          <w:szCs w:val="21"/>
        </w:rPr>
        <w:t xml:space="preserve">: </w:t>
      </w:r>
      <w:r>
        <w:rPr>
          <w:rFonts w:hint="eastAsia"/>
          <w:szCs w:val="21"/>
        </w:rPr>
        <w:t>工作天数（社区中心开放天数）、接待的人数、反映的问题、提交给环境工程师、社会专家、项目管理层的报告</w:t>
      </w:r>
    </w:p>
    <w:p>
      <w:pPr>
        <w:widowControl/>
        <w:adjustRightInd/>
        <w:spacing w:line="240" w:lineRule="auto"/>
        <w:jc w:val="left"/>
        <w:textAlignment w:val="auto"/>
        <w:rPr>
          <w:szCs w:val="21"/>
        </w:rPr>
      </w:pPr>
      <w:r>
        <w:rPr>
          <w:rFonts w:hint="eastAsia"/>
          <w:szCs w:val="21"/>
        </w:rPr>
        <w:t>申诉</w:t>
      </w:r>
      <w:r>
        <w:rPr>
          <w:szCs w:val="21"/>
        </w:rPr>
        <w:t xml:space="preserve">: </w:t>
      </w:r>
      <w:r>
        <w:rPr>
          <w:rFonts w:hint="eastAsia"/>
          <w:szCs w:val="21"/>
        </w:rPr>
        <w:t>本月以及以往收到的尚未解决的申诉、收到时间、申诉人、如何收到的、申诉请求何方采取行动、解决方案和解决时间、答复申诉人的时间、后续跟踪措施：</w:t>
      </w:r>
    </w:p>
    <w:p>
      <w:pPr>
        <w:widowControl/>
        <w:numPr>
          <w:ilvl w:val="0"/>
          <w:numId w:val="30"/>
        </w:numPr>
        <w:adjustRightInd/>
        <w:spacing w:line="240" w:lineRule="auto"/>
        <w:jc w:val="left"/>
        <w:textAlignment w:val="auto"/>
        <w:rPr>
          <w:szCs w:val="21"/>
        </w:rPr>
      </w:pPr>
      <w:r>
        <w:rPr>
          <w:rFonts w:hint="eastAsia"/>
          <w:szCs w:val="21"/>
        </w:rPr>
        <w:t>工人的申诉</w:t>
      </w:r>
    </w:p>
    <w:p>
      <w:pPr>
        <w:widowControl/>
        <w:numPr>
          <w:ilvl w:val="0"/>
          <w:numId w:val="30"/>
        </w:numPr>
        <w:adjustRightInd/>
        <w:spacing w:line="240" w:lineRule="auto"/>
        <w:jc w:val="left"/>
        <w:textAlignment w:val="auto"/>
        <w:rPr>
          <w:szCs w:val="21"/>
        </w:rPr>
      </w:pPr>
      <w:r>
        <w:rPr>
          <w:rFonts w:hint="eastAsia"/>
          <w:szCs w:val="21"/>
        </w:rPr>
        <w:t>社区的申诉</w:t>
      </w:r>
    </w:p>
    <w:p>
      <w:pPr>
        <w:widowControl/>
        <w:adjustRightInd/>
        <w:spacing w:line="240" w:lineRule="auto"/>
        <w:jc w:val="left"/>
        <w:textAlignment w:val="auto"/>
        <w:rPr>
          <w:szCs w:val="21"/>
        </w:rPr>
      </w:pPr>
      <w:r>
        <w:rPr>
          <w:rFonts w:hint="eastAsia"/>
          <w:szCs w:val="21"/>
        </w:rPr>
        <w:t>交通、车辆、设备</w:t>
      </w:r>
      <w:r>
        <w:rPr>
          <w:szCs w:val="21"/>
        </w:rPr>
        <w:t>:</w:t>
      </w:r>
    </w:p>
    <w:p>
      <w:pPr>
        <w:widowControl/>
        <w:numPr>
          <w:ilvl w:val="0"/>
          <w:numId w:val="30"/>
        </w:numPr>
        <w:adjustRightInd/>
        <w:spacing w:line="240" w:lineRule="auto"/>
        <w:jc w:val="left"/>
        <w:textAlignment w:val="auto"/>
        <w:rPr>
          <w:szCs w:val="21"/>
        </w:rPr>
      </w:pPr>
      <w:r>
        <w:rPr>
          <w:rFonts w:hint="eastAsia"/>
          <w:szCs w:val="21"/>
        </w:rPr>
        <w:t>涉及项目车辆设备的交通事故：时间、地点、损失、原因、后续跟进措施</w:t>
      </w:r>
      <w:r>
        <w:rPr>
          <w:szCs w:val="21"/>
        </w:rPr>
        <w:t>;</w:t>
      </w:r>
    </w:p>
    <w:p>
      <w:pPr>
        <w:widowControl/>
        <w:adjustRightInd/>
        <w:spacing w:line="240" w:lineRule="auto"/>
        <w:jc w:val="left"/>
        <w:textAlignment w:val="auto"/>
        <w:rPr>
          <w:szCs w:val="21"/>
        </w:rPr>
      </w:pPr>
      <w:r>
        <w:rPr>
          <w:rFonts w:hint="eastAsia"/>
          <w:szCs w:val="21"/>
        </w:rPr>
        <w:t>涉及非项目车辆设备的交通事故：时间、地点、损失、原因、后续跟进措施</w:t>
      </w:r>
      <w:r>
        <w:rPr>
          <w:szCs w:val="21"/>
        </w:rPr>
        <w:t xml:space="preserve">; </w:t>
      </w:r>
    </w:p>
    <w:p>
      <w:pPr>
        <w:widowControl/>
        <w:adjustRightInd/>
        <w:spacing w:line="240" w:lineRule="auto"/>
        <w:jc w:val="left"/>
        <w:textAlignment w:val="auto"/>
        <w:rPr>
          <w:szCs w:val="21"/>
        </w:rPr>
      </w:pPr>
      <w:r>
        <w:rPr>
          <w:rFonts w:hint="eastAsia"/>
          <w:szCs w:val="21"/>
        </w:rPr>
        <w:t>车辆设备的总体情况（环境工程师的评估）、出于安全环保要求对车辆设备需要进行的改造（例如为了减少排放）</w:t>
      </w:r>
    </w:p>
    <w:p>
      <w:pPr>
        <w:widowControl/>
        <w:adjustRightInd/>
        <w:spacing w:line="240" w:lineRule="auto"/>
        <w:jc w:val="left"/>
        <w:textAlignment w:val="auto"/>
        <w:rPr>
          <w:szCs w:val="21"/>
        </w:rPr>
      </w:pPr>
      <w:r>
        <w:rPr>
          <w:rFonts w:hint="eastAsia"/>
          <w:szCs w:val="21"/>
        </w:rPr>
        <w:t>与环境有关的防范措施和问题</w:t>
      </w:r>
      <w:r>
        <w:rPr>
          <w:szCs w:val="21"/>
        </w:rPr>
        <w:t>:</w:t>
      </w:r>
    </w:p>
    <w:p>
      <w:pPr>
        <w:widowControl/>
        <w:numPr>
          <w:ilvl w:val="0"/>
          <w:numId w:val="30"/>
        </w:numPr>
        <w:adjustRightInd/>
        <w:spacing w:line="240" w:lineRule="auto"/>
        <w:jc w:val="left"/>
        <w:textAlignment w:val="auto"/>
        <w:rPr>
          <w:szCs w:val="21"/>
        </w:rPr>
      </w:pPr>
      <w:r>
        <w:rPr>
          <w:rFonts w:hint="eastAsia"/>
          <w:szCs w:val="21"/>
        </w:rPr>
        <w:t>尘土</w:t>
      </w:r>
      <w:r>
        <w:rPr>
          <w:szCs w:val="21"/>
        </w:rPr>
        <w:t xml:space="preserve">: </w:t>
      </w:r>
      <w:r>
        <w:rPr>
          <w:rFonts w:hint="eastAsia"/>
          <w:szCs w:val="21"/>
        </w:rPr>
        <w:t>洒水车数、每天洒水次数、投诉数、亚投行环境专家提出的警告、采取的措施、采石场尘土控制（遮盖措施、洒水措施、作业现状）、采取遮盖措施的运石运土车辆百分数、对未采取遮盖措施的车辆的处理办法</w:t>
      </w:r>
      <w:r>
        <w:rPr>
          <w:szCs w:val="21"/>
        </w:rPr>
        <w:t>;</w:t>
      </w:r>
    </w:p>
    <w:p>
      <w:pPr>
        <w:widowControl/>
        <w:adjustRightInd/>
        <w:spacing w:line="240" w:lineRule="auto"/>
        <w:jc w:val="left"/>
        <w:textAlignment w:val="auto"/>
        <w:rPr>
          <w:szCs w:val="21"/>
        </w:rPr>
      </w:pPr>
      <w:r>
        <w:rPr>
          <w:rFonts w:hint="eastAsia"/>
          <w:szCs w:val="21"/>
        </w:rPr>
        <w:t>水土流失控制</w:t>
      </w:r>
      <w:r>
        <w:rPr>
          <w:szCs w:val="21"/>
        </w:rPr>
        <w:t xml:space="preserve">: </w:t>
      </w:r>
      <w:r>
        <w:rPr>
          <w:rFonts w:hint="eastAsia"/>
          <w:szCs w:val="21"/>
        </w:rPr>
        <w:t>不同区域采取的控制措施、过水断面现状、亚投行环境专家检查意见、采取的措施、需要的紧急修复</w:t>
      </w:r>
      <w:r>
        <w:rPr>
          <w:szCs w:val="21"/>
        </w:rPr>
        <w:t>;</w:t>
      </w:r>
    </w:p>
    <w:p>
      <w:pPr>
        <w:widowControl/>
        <w:adjustRightInd/>
        <w:spacing w:line="240" w:lineRule="auto"/>
        <w:jc w:val="left"/>
        <w:textAlignment w:val="auto"/>
        <w:rPr>
          <w:szCs w:val="21"/>
        </w:rPr>
      </w:pPr>
      <w:r>
        <w:rPr>
          <w:rFonts w:hint="eastAsia"/>
          <w:szCs w:val="21"/>
        </w:rPr>
        <w:t>采石场、取土场、弃土场、沥青站、拌合站</w:t>
      </w:r>
      <w:r>
        <w:rPr>
          <w:szCs w:val="21"/>
        </w:rPr>
        <w:t xml:space="preserve">: </w:t>
      </w:r>
      <w:r>
        <w:rPr>
          <w:rFonts w:hint="eastAsia"/>
          <w:szCs w:val="21"/>
        </w:rPr>
        <w:t>本月各工作区域的主要施工活动、环境社会保护措施（清场、施工边界标识、剩余表土、交通管理、拆除计划、拆除实施）</w:t>
      </w:r>
      <w:r>
        <w:rPr>
          <w:szCs w:val="21"/>
        </w:rPr>
        <w:t>;</w:t>
      </w:r>
    </w:p>
    <w:p>
      <w:pPr>
        <w:widowControl/>
        <w:adjustRightInd/>
        <w:spacing w:line="240" w:lineRule="auto"/>
        <w:jc w:val="left"/>
        <w:textAlignment w:val="auto"/>
        <w:rPr>
          <w:szCs w:val="21"/>
        </w:rPr>
      </w:pPr>
      <w:r>
        <w:rPr>
          <w:rFonts w:hint="eastAsia"/>
          <w:szCs w:val="21"/>
        </w:rPr>
        <w:t>爆破</w:t>
      </w:r>
      <w:r>
        <w:rPr>
          <w:szCs w:val="21"/>
        </w:rPr>
        <w:t xml:space="preserve">: </w:t>
      </w:r>
      <w:r>
        <w:rPr>
          <w:rFonts w:hint="eastAsia"/>
          <w:szCs w:val="21"/>
        </w:rPr>
        <w:t>爆破作业次数和地点、实施爆破计划的现状（提前通知、疏散等）、事故及其损失、投诉</w:t>
      </w:r>
      <w:r>
        <w:rPr>
          <w:szCs w:val="21"/>
        </w:rPr>
        <w:t>;</w:t>
      </w:r>
    </w:p>
    <w:p>
      <w:pPr>
        <w:widowControl/>
        <w:adjustRightInd/>
        <w:spacing w:line="240" w:lineRule="auto"/>
        <w:jc w:val="left"/>
        <w:textAlignment w:val="auto"/>
        <w:rPr>
          <w:szCs w:val="21"/>
        </w:rPr>
      </w:pPr>
      <w:r>
        <w:rPr>
          <w:rFonts w:hint="eastAsia"/>
          <w:szCs w:val="21"/>
        </w:rPr>
        <w:t>泄漏物清理</w:t>
      </w:r>
      <w:r>
        <w:rPr>
          <w:szCs w:val="21"/>
        </w:rPr>
        <w:t xml:space="preserve">: </w:t>
      </w:r>
      <w:r>
        <w:rPr>
          <w:rFonts w:hint="eastAsia"/>
          <w:szCs w:val="21"/>
        </w:rPr>
        <w:t>泄漏物名称、泄露地点、泄露量、采取的措施、泄漏物处理</w:t>
      </w:r>
      <w:r>
        <w:rPr>
          <w:szCs w:val="21"/>
        </w:rPr>
        <w:t>;</w:t>
      </w:r>
    </w:p>
    <w:p>
      <w:pPr>
        <w:widowControl/>
        <w:adjustRightInd/>
        <w:spacing w:line="240" w:lineRule="auto"/>
        <w:jc w:val="left"/>
        <w:textAlignment w:val="auto"/>
        <w:rPr>
          <w:szCs w:val="21"/>
        </w:rPr>
      </w:pPr>
      <w:r>
        <w:rPr>
          <w:rFonts w:hint="eastAsia"/>
          <w:szCs w:val="21"/>
        </w:rPr>
        <w:t>用水管理</w:t>
      </w:r>
      <w:r>
        <w:rPr>
          <w:szCs w:val="21"/>
        </w:rPr>
        <w:t xml:space="preserve">: </w:t>
      </w:r>
      <w:r>
        <w:rPr>
          <w:rFonts w:hint="eastAsia"/>
          <w:szCs w:val="21"/>
        </w:rPr>
        <w:t>工地用水分类和用水量、现场外取水量、取水来源、现场循环处理的水量</w:t>
      </w:r>
      <w:r>
        <w:rPr>
          <w:szCs w:val="21"/>
        </w:rPr>
        <w:t>;</w:t>
      </w:r>
    </w:p>
    <w:p>
      <w:pPr>
        <w:widowControl/>
        <w:adjustRightInd/>
        <w:spacing w:line="240" w:lineRule="auto"/>
        <w:jc w:val="left"/>
        <w:textAlignment w:val="auto"/>
        <w:rPr>
          <w:szCs w:val="21"/>
        </w:rPr>
      </w:pPr>
      <w:r>
        <w:rPr>
          <w:rFonts w:hint="eastAsia"/>
          <w:szCs w:val="21"/>
        </w:rPr>
        <w:t>本月与植被有关的问题、待采取的防范措施</w:t>
      </w:r>
      <w:r>
        <w:rPr>
          <w:szCs w:val="21"/>
        </w:rPr>
        <w:t>;</w:t>
      </w:r>
    </w:p>
    <w:p>
      <w:pPr>
        <w:widowControl/>
        <w:adjustRightInd/>
        <w:spacing w:line="240" w:lineRule="auto"/>
        <w:jc w:val="left"/>
        <w:textAlignment w:val="auto"/>
        <w:rPr>
          <w:szCs w:val="21"/>
        </w:rPr>
      </w:pPr>
      <w:r>
        <w:rPr>
          <w:rFonts w:hint="eastAsia"/>
          <w:szCs w:val="21"/>
        </w:rPr>
        <w:t>本月与水质沼泽保护有关的问题、待采取的防范措施</w:t>
      </w:r>
    </w:p>
    <w:p>
      <w:pPr>
        <w:widowControl/>
        <w:adjustRightInd/>
        <w:spacing w:line="240" w:lineRule="auto"/>
        <w:jc w:val="left"/>
        <w:textAlignment w:val="auto"/>
        <w:rPr>
          <w:szCs w:val="21"/>
        </w:rPr>
      </w:pPr>
      <w:r>
        <w:rPr>
          <w:rFonts w:hint="eastAsia"/>
          <w:szCs w:val="21"/>
        </w:rPr>
        <w:t>遵守相关规定的情况</w:t>
      </w:r>
      <w:r>
        <w:rPr>
          <w:szCs w:val="21"/>
        </w:rPr>
        <w:t>:</w:t>
      </w:r>
    </w:p>
    <w:p>
      <w:pPr>
        <w:widowControl/>
        <w:numPr>
          <w:ilvl w:val="0"/>
          <w:numId w:val="30"/>
        </w:numPr>
        <w:adjustRightInd/>
        <w:spacing w:line="240" w:lineRule="auto"/>
        <w:jc w:val="left"/>
        <w:textAlignment w:val="auto"/>
        <w:rPr>
          <w:szCs w:val="21"/>
        </w:rPr>
      </w:pPr>
      <w:r>
        <w:rPr>
          <w:rFonts w:hint="eastAsia"/>
          <w:szCs w:val="21"/>
        </w:rPr>
        <w:t>是否遵守了有关部门颁发许可证时的相关规定（含采石场）、存在的问题、已经采取的或计划采取的措施</w:t>
      </w:r>
    </w:p>
    <w:p>
      <w:pPr>
        <w:widowControl/>
        <w:adjustRightInd/>
        <w:spacing w:line="240" w:lineRule="auto"/>
        <w:jc w:val="left"/>
        <w:textAlignment w:val="auto"/>
        <w:rPr>
          <w:szCs w:val="21"/>
        </w:rPr>
      </w:pPr>
      <w:r>
        <w:rPr>
          <w:rFonts w:hint="eastAsia"/>
          <w:szCs w:val="21"/>
        </w:rPr>
        <w:t>是否遵守了项目环境社会管理计划和环境社会行动计划的相关规定、存在的问题、已经采取的或计划采取的措施</w:t>
      </w:r>
    </w:p>
    <w:p>
      <w:pPr>
        <w:widowControl/>
        <w:adjustRightInd/>
        <w:spacing w:line="240" w:lineRule="auto"/>
        <w:jc w:val="left"/>
        <w:textAlignment w:val="auto"/>
        <w:rPr>
          <w:szCs w:val="21"/>
        </w:rPr>
      </w:pPr>
      <w:r>
        <w:rPr>
          <w:rFonts w:hint="eastAsia"/>
          <w:szCs w:val="21"/>
        </w:rPr>
        <w:t>其它未解决的环境社会问题，例如尚未遵守规定的做法、设备失修带来的污染、运输车辆未进行遮盖、未处理的泄漏、未解决的赔偿、与爆破有关的问题等</w:t>
      </w:r>
    </w:p>
    <w:p>
      <w:pPr>
        <w:widowControl/>
        <w:adjustRightInd/>
        <w:spacing w:line="240" w:lineRule="auto"/>
        <w:jc w:val="left"/>
        <w:textAlignment w:val="auto"/>
        <w:rPr>
          <w:szCs w:val="21"/>
        </w:rPr>
      </w:pPr>
    </w:p>
    <w:p>
      <w:pPr>
        <w:suppressAutoHyphens/>
        <w:spacing w:before="120" w:after="120"/>
        <w:ind w:firstLine="420" w:firstLineChars="200"/>
        <w:textAlignment w:val="auto"/>
        <w:rPr>
          <w:szCs w:val="21"/>
        </w:rPr>
        <w:sectPr>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229"/>
      </w:pPr>
      <w:bookmarkStart w:id="1830" w:name="_Toc110265207"/>
      <w:bookmarkStart w:id="1831" w:name="_Toc110330473"/>
      <w:bookmarkStart w:id="1832" w:name="_Toc169103357"/>
      <w:bookmarkStart w:id="1833" w:name="_Toc324772290"/>
      <w:bookmarkStart w:id="1834" w:name="_Toc110264971"/>
      <w:bookmarkStart w:id="1835" w:name="_Toc110268543"/>
      <w:bookmarkStart w:id="1836" w:name="_Toc110264508"/>
      <w:bookmarkStart w:id="1837" w:name="_Toc391287423"/>
      <w:bookmarkStart w:id="1838" w:name="_Toc110264754"/>
      <w:bookmarkStart w:id="1839" w:name="_Toc110272077"/>
      <w:bookmarkStart w:id="1840" w:name="_Toc324772073"/>
      <w:bookmarkStart w:id="1841" w:name="_Toc110264807"/>
      <w:bookmarkStart w:id="1842" w:name="_Toc110330412"/>
      <w:bookmarkStart w:id="1843" w:name="_Toc171063222"/>
      <w:r>
        <w:t>第</w:t>
      </w:r>
      <w:r>
        <w:rPr>
          <w:rFonts w:hint="eastAsia"/>
        </w:rPr>
        <w:t>八</w:t>
      </w:r>
      <w:r>
        <w:t>章　</w:t>
      </w:r>
      <w:r>
        <w:rPr>
          <w:rStyle w:val="65"/>
        </w:rPr>
        <w:t>特殊合同条款</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tbl>
      <w:tblPr>
        <w:tblStyle w:val="62"/>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2" w:type="dxa"/>
            <w:gridSpan w:val="2"/>
          </w:tcPr>
          <w:p>
            <w:pPr>
              <w:tabs>
                <w:tab w:val="left" w:pos="556"/>
              </w:tabs>
              <w:spacing w:before="120" w:after="120"/>
              <w:ind w:firstLine="422"/>
              <w:jc w:val="center"/>
              <w:textAlignment w:val="auto"/>
              <w:rPr>
                <w:b/>
                <w:szCs w:val="21"/>
              </w:rPr>
            </w:pPr>
            <w:r>
              <w:rPr>
                <w:b/>
                <w:szCs w:val="21"/>
              </w:rPr>
              <w:t>第一节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款（18）项</w:t>
            </w:r>
          </w:p>
        </w:tc>
        <w:tc>
          <w:tcPr>
            <w:tcW w:w="5220" w:type="dxa"/>
            <w:vAlign w:val="top"/>
          </w:tcPr>
          <w:p>
            <w:pPr>
              <w:tabs>
                <w:tab w:val="left" w:pos="556"/>
              </w:tabs>
              <w:spacing w:before="120" w:after="120"/>
              <w:ind w:right="2" w:rightChars="0"/>
              <w:jc w:val="left"/>
              <w:textAlignment w:val="auto"/>
              <w:rPr>
                <w:i/>
                <w:szCs w:val="21"/>
              </w:rPr>
            </w:pPr>
            <w:r>
              <w:rPr>
                <w:rFonts w:hint="eastAsia" w:cs="Arial"/>
                <w:szCs w:val="21"/>
              </w:rPr>
              <w:t>业主为：焦作市住房和城乡建设局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w:t>
            </w:r>
            <w:r>
              <w:rPr>
                <w:szCs w:val="21"/>
              </w:rPr>
              <w:t>（</w:t>
            </w:r>
            <w:r>
              <w:rPr>
                <w:rFonts w:hint="eastAsia"/>
                <w:szCs w:val="21"/>
              </w:rPr>
              <w:t>23</w:t>
            </w:r>
            <w:r>
              <w:rPr>
                <w:szCs w:val="21"/>
              </w:rPr>
              <w:t>）</w:t>
            </w:r>
            <w:r>
              <w:rPr>
                <w:rFonts w:hint="eastAsia"/>
                <w:szCs w:val="21"/>
              </w:rPr>
              <w:t>项</w:t>
            </w:r>
          </w:p>
        </w:tc>
        <w:tc>
          <w:tcPr>
            <w:tcW w:w="5220" w:type="dxa"/>
            <w:vAlign w:val="top"/>
          </w:tcPr>
          <w:p>
            <w:pPr>
              <w:spacing w:before="120" w:after="120"/>
              <w:ind w:right="2" w:rightChars="0"/>
              <w:jc w:val="left"/>
              <w:textAlignment w:val="auto"/>
              <w:rPr>
                <w:rFonts w:ascii="宋体" w:hAnsi="宋体"/>
                <w:i/>
                <w:szCs w:val="21"/>
              </w:rPr>
            </w:pPr>
            <w:r>
              <w:rPr>
                <w:rFonts w:hint="eastAsia" w:ascii="宋体" w:hAnsi="宋体"/>
                <w:szCs w:val="21"/>
              </w:rPr>
              <w:t>全部工程的预计竣工日期为：以招标公告中工期为准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w:t>
            </w:r>
            <w:r>
              <w:rPr>
                <w:szCs w:val="21"/>
              </w:rPr>
              <w:t>（</w:t>
            </w:r>
            <w:r>
              <w:rPr>
                <w:rFonts w:hint="eastAsia"/>
                <w:szCs w:val="21"/>
              </w:rPr>
              <w:t>27</w:t>
            </w:r>
            <w:r>
              <w:rPr>
                <w:szCs w:val="21"/>
              </w:rPr>
              <w:t>）</w:t>
            </w:r>
            <w:r>
              <w:rPr>
                <w:rFonts w:hint="eastAsia"/>
                <w:szCs w:val="21"/>
              </w:rPr>
              <w:t>项</w:t>
            </w:r>
          </w:p>
        </w:tc>
        <w:tc>
          <w:tcPr>
            <w:tcW w:w="5220" w:type="dxa"/>
            <w:vAlign w:val="top"/>
          </w:tcPr>
          <w:p>
            <w:pPr>
              <w:tabs>
                <w:tab w:val="left" w:pos="556"/>
              </w:tabs>
              <w:spacing w:before="120" w:after="120"/>
              <w:ind w:right="2" w:rightChars="0"/>
              <w:jc w:val="left"/>
              <w:textAlignment w:val="auto"/>
              <w:rPr>
                <w:i/>
                <w:szCs w:val="21"/>
              </w:rPr>
            </w:pPr>
            <w:r>
              <w:rPr>
                <w:rFonts w:hint="eastAsia" w:cs="Arial"/>
                <w:szCs w:val="21"/>
              </w:rPr>
              <w:t>项目监理为：暂无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w:t>
            </w:r>
            <w:r>
              <w:rPr>
                <w:szCs w:val="21"/>
              </w:rPr>
              <w:t>（</w:t>
            </w:r>
            <w:r>
              <w:rPr>
                <w:rFonts w:hint="eastAsia"/>
                <w:szCs w:val="21"/>
              </w:rPr>
              <w:t>29</w:t>
            </w:r>
            <w:r>
              <w:rPr>
                <w:szCs w:val="21"/>
              </w:rPr>
              <w:t>）</w:t>
            </w:r>
            <w:r>
              <w:rPr>
                <w:rFonts w:hint="eastAsia"/>
                <w:szCs w:val="21"/>
              </w:rPr>
              <w:t>项</w:t>
            </w:r>
          </w:p>
        </w:tc>
        <w:tc>
          <w:tcPr>
            <w:tcW w:w="5220" w:type="dxa"/>
            <w:vAlign w:val="top"/>
          </w:tcPr>
          <w:p>
            <w:pPr>
              <w:spacing w:before="120" w:after="120"/>
              <w:ind w:right="2" w:rightChars="0"/>
              <w:jc w:val="left"/>
              <w:textAlignment w:val="auto"/>
              <w:rPr>
                <w:i/>
                <w:szCs w:val="21"/>
              </w:rPr>
            </w:pPr>
            <w:r>
              <w:rPr>
                <w:szCs w:val="21"/>
              </w:rPr>
              <w:t>现场位于：</w:t>
            </w:r>
            <w:r>
              <w:rPr>
                <w:rFonts w:hint="eastAsia"/>
                <w:szCs w:val="21"/>
              </w:rPr>
              <w:t>焦作市</w:t>
            </w:r>
            <w:r>
              <w:rPr>
                <w:szCs w:val="21"/>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w:t>
            </w:r>
            <w:r>
              <w:rPr>
                <w:szCs w:val="21"/>
              </w:rPr>
              <w:t>（</w:t>
            </w:r>
            <w:r>
              <w:rPr>
                <w:rFonts w:hint="eastAsia"/>
                <w:szCs w:val="21"/>
              </w:rPr>
              <w:t>32</w:t>
            </w:r>
            <w:r>
              <w:rPr>
                <w:szCs w:val="21"/>
              </w:rPr>
              <w:t>）</w:t>
            </w:r>
            <w:r>
              <w:rPr>
                <w:rFonts w:hint="eastAsia"/>
                <w:szCs w:val="21"/>
              </w:rPr>
              <w:t>项</w:t>
            </w:r>
          </w:p>
        </w:tc>
        <w:tc>
          <w:tcPr>
            <w:tcW w:w="5220" w:type="dxa"/>
          </w:tcPr>
          <w:p>
            <w:pPr>
              <w:tabs>
                <w:tab w:val="left" w:pos="556"/>
              </w:tabs>
              <w:spacing w:before="120" w:after="120"/>
              <w:ind w:right="2"/>
              <w:jc w:val="left"/>
              <w:textAlignment w:val="auto"/>
              <w:rPr>
                <w:i/>
                <w:szCs w:val="21"/>
              </w:rPr>
            </w:pPr>
            <w:r>
              <w:rPr>
                <w:rFonts w:hint="eastAsia" w:cs="Arial"/>
                <w:szCs w:val="21"/>
              </w:rPr>
              <w:t>预计开工日期为</w:t>
            </w:r>
            <w:r>
              <w:rPr>
                <w:rFonts w:hint="eastAsia" w:cs="Arial"/>
                <w:szCs w:val="21"/>
                <w:lang w:eastAsia="zh-CN"/>
              </w:rPr>
              <w:t>：</w:t>
            </w:r>
            <w:r>
              <w:rPr>
                <w:rFonts w:hint="eastAsia"/>
                <w:iCs/>
                <w:szCs w:val="21"/>
              </w:rPr>
              <w:t>业主提供现场后的28天内，以签发的开工令为准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1.1</w:t>
            </w:r>
            <w:r>
              <w:rPr>
                <w:rFonts w:hint="eastAsia"/>
                <w:szCs w:val="21"/>
              </w:rPr>
              <w:t>款</w:t>
            </w:r>
            <w:r>
              <w:rPr>
                <w:szCs w:val="21"/>
              </w:rPr>
              <w:t>（</w:t>
            </w:r>
            <w:r>
              <w:rPr>
                <w:rFonts w:hint="eastAsia"/>
                <w:szCs w:val="21"/>
              </w:rPr>
              <w:t>36</w:t>
            </w:r>
            <w:r>
              <w:rPr>
                <w:szCs w:val="21"/>
              </w:rPr>
              <w:t>）</w:t>
            </w:r>
            <w:r>
              <w:rPr>
                <w:rFonts w:hint="eastAsia"/>
                <w:szCs w:val="21"/>
              </w:rPr>
              <w:t>项</w:t>
            </w:r>
          </w:p>
        </w:tc>
        <w:tc>
          <w:tcPr>
            <w:tcW w:w="5220" w:type="dxa"/>
          </w:tcPr>
          <w:p>
            <w:pPr>
              <w:spacing w:before="120" w:after="120"/>
              <w:ind w:right="2"/>
              <w:jc w:val="left"/>
              <w:textAlignment w:val="auto"/>
              <w:rPr>
                <w:rFonts w:cs="Arial"/>
                <w:i/>
                <w:szCs w:val="21"/>
              </w:rPr>
            </w:pPr>
            <w:r>
              <w:rPr>
                <w:rFonts w:hint="eastAsia" w:cs="Arial"/>
                <w:szCs w:val="21"/>
              </w:rPr>
              <w:t>工程内容：</w:t>
            </w:r>
            <w:r>
              <w:rPr>
                <w:rFonts w:hint="eastAsia" w:ascii="宋体" w:hAnsi="宋体"/>
                <w:szCs w:val="21"/>
              </w:rPr>
              <w:t>以招标公告中工程内容为准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2.2</w:t>
            </w:r>
            <w:r>
              <w:rPr>
                <w:rFonts w:hint="eastAsia"/>
                <w:szCs w:val="21"/>
              </w:rPr>
              <w:t>款</w:t>
            </w:r>
          </w:p>
        </w:tc>
        <w:tc>
          <w:tcPr>
            <w:tcW w:w="5220" w:type="dxa"/>
          </w:tcPr>
          <w:p>
            <w:pPr>
              <w:spacing w:before="120" w:after="120"/>
              <w:ind w:right="-72"/>
              <w:jc w:val="left"/>
              <w:textAlignment w:val="auto"/>
              <w:rPr>
                <w:szCs w:val="21"/>
              </w:rPr>
            </w:pPr>
            <w:r>
              <w:rPr>
                <w:rFonts w:hint="eastAsia" w:cs="Arial"/>
                <w:szCs w:val="21"/>
              </w:rPr>
              <w:t>分部完工工程：不适用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w:t>
            </w:r>
            <w:r>
              <w:rPr>
                <w:rFonts w:hint="eastAsia"/>
                <w:szCs w:val="21"/>
              </w:rPr>
              <w:t>3</w:t>
            </w:r>
            <w:r>
              <w:rPr>
                <w:szCs w:val="21"/>
              </w:rPr>
              <w:t>（</w:t>
            </w:r>
            <w:r>
              <w:rPr>
                <w:rFonts w:hint="eastAsia"/>
                <w:szCs w:val="21"/>
              </w:rPr>
              <w:t>9</w:t>
            </w:r>
            <w:r>
              <w:rPr>
                <w:szCs w:val="21"/>
              </w:rPr>
              <w:t>）</w:t>
            </w:r>
            <w:r>
              <w:rPr>
                <w:rFonts w:hint="eastAsia"/>
                <w:szCs w:val="21"/>
              </w:rPr>
              <w:t>项</w:t>
            </w:r>
          </w:p>
        </w:tc>
        <w:tc>
          <w:tcPr>
            <w:tcW w:w="5220" w:type="dxa"/>
          </w:tcPr>
          <w:p>
            <w:pPr>
              <w:spacing w:before="120" w:after="120"/>
              <w:ind w:right="-72"/>
              <w:jc w:val="left"/>
              <w:textAlignment w:val="auto"/>
              <w:rPr>
                <w:rFonts w:cs="Arial"/>
                <w:szCs w:val="21"/>
              </w:rPr>
            </w:pPr>
            <w:r>
              <w:rPr>
                <w:rFonts w:hint="eastAsia" w:cs="Arial"/>
                <w:szCs w:val="21"/>
              </w:rPr>
              <w:t>下述文件也将成为合同的组成部分：</w:t>
            </w:r>
          </w:p>
          <w:p>
            <w:pPr>
              <w:spacing w:before="120" w:after="120"/>
              <w:ind w:right="-72"/>
              <w:rPr>
                <w:rFonts w:ascii="宋体" w:cs="Arial"/>
                <w:szCs w:val="21"/>
              </w:rPr>
            </w:pPr>
            <w:r>
              <w:rPr>
                <w:rFonts w:hint="eastAsia" w:ascii="宋体" w:hAnsi="宋体" w:cs="Arial"/>
                <w:szCs w:val="21"/>
              </w:rPr>
              <w:t>主要人员一览表；</w:t>
            </w:r>
          </w:p>
          <w:p>
            <w:pPr>
              <w:spacing w:before="120" w:after="120"/>
              <w:ind w:right="-72"/>
              <w:rPr>
                <w:rFonts w:ascii="宋体" w:cs="Arial"/>
                <w:szCs w:val="21"/>
              </w:rPr>
            </w:pPr>
            <w:r>
              <w:rPr>
                <w:rFonts w:hint="eastAsia" w:ascii="宋体" w:hAnsi="宋体" w:cs="Arial"/>
                <w:szCs w:val="21"/>
              </w:rPr>
              <w:t>主要施工设备一览表；</w:t>
            </w:r>
          </w:p>
          <w:p>
            <w:pPr>
              <w:spacing w:before="120" w:after="120"/>
              <w:ind w:right="-72"/>
              <w:rPr>
                <w:rFonts w:ascii="宋体" w:cs="Arial"/>
                <w:szCs w:val="21"/>
              </w:rPr>
            </w:pPr>
            <w:r>
              <w:rPr>
                <w:rFonts w:hint="eastAsia" w:ascii="宋体" w:hAnsi="宋体" w:cs="Arial"/>
                <w:szCs w:val="21"/>
              </w:rPr>
              <w:t>更新并或项目监理批准的进度计划；</w:t>
            </w:r>
          </w:p>
          <w:p>
            <w:pPr>
              <w:spacing w:before="120" w:after="120"/>
              <w:ind w:right="-72"/>
              <w:rPr>
                <w:rFonts w:ascii="宋体" w:cs="Arial"/>
                <w:szCs w:val="21"/>
              </w:rPr>
            </w:pPr>
            <w:r>
              <w:rPr>
                <w:rFonts w:hint="eastAsia" w:ascii="宋体" w:hAnsi="宋体" w:cs="Arial"/>
                <w:szCs w:val="21"/>
              </w:rPr>
              <w:t>标前会会议纪要及答疑（如有）；</w:t>
            </w:r>
          </w:p>
          <w:p>
            <w:pPr>
              <w:spacing w:before="120" w:after="120"/>
              <w:ind w:right="-72"/>
              <w:rPr>
                <w:rFonts w:ascii="宋体" w:hAnsi="宋体" w:cs="Arial"/>
                <w:szCs w:val="21"/>
              </w:rPr>
            </w:pPr>
            <w:r>
              <w:rPr>
                <w:rFonts w:hint="eastAsia" w:ascii="宋体" w:hAnsi="宋体" w:cs="Arial"/>
                <w:szCs w:val="21"/>
              </w:rPr>
              <w:t>补遗和澄清文件（如有）</w:t>
            </w:r>
          </w:p>
          <w:p>
            <w:pPr>
              <w:spacing w:before="120" w:after="120"/>
              <w:ind w:right="-72"/>
              <w:rPr>
                <w:rFonts w:ascii="宋体" w:hAnsi="宋体" w:cs="Arial"/>
                <w:szCs w:val="21"/>
              </w:rPr>
            </w:pPr>
            <w:r>
              <w:rPr>
                <w:rFonts w:hint="eastAsia" w:ascii="宋体" w:hAnsi="宋体" w:cs="Arial"/>
                <w:szCs w:val="21"/>
              </w:rPr>
              <w:t>环境-社会-卫生-安全管理策略和实施计划</w:t>
            </w:r>
          </w:p>
          <w:p>
            <w:pPr>
              <w:spacing w:before="120" w:after="120"/>
              <w:ind w:right="-72"/>
              <w:jc w:val="left"/>
              <w:textAlignment w:val="auto"/>
              <w:rPr>
                <w:i/>
                <w:szCs w:val="21"/>
              </w:rPr>
            </w:pPr>
            <w:r>
              <w:rPr>
                <w:rFonts w:hint="eastAsia" w:ascii="宋体" w:hAnsi="宋体" w:cs="Arial"/>
                <w:szCs w:val="21"/>
              </w:rPr>
              <w:t>环境-社会-卫生-安全行为准则</w:t>
            </w:r>
            <w:r>
              <w:rPr>
                <w:rFonts w:hint="eastAsia"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5.1</w:t>
            </w:r>
            <w:r>
              <w:rPr>
                <w:rFonts w:hint="eastAsia"/>
                <w:szCs w:val="21"/>
              </w:rPr>
              <w:t>款</w:t>
            </w:r>
          </w:p>
        </w:tc>
        <w:tc>
          <w:tcPr>
            <w:tcW w:w="5220" w:type="dxa"/>
            <w:vAlign w:val="top"/>
          </w:tcPr>
          <w:p>
            <w:pPr>
              <w:spacing w:before="120" w:after="120"/>
              <w:ind w:right="-72" w:rightChars="0"/>
              <w:jc w:val="left"/>
              <w:textAlignment w:val="auto"/>
              <w:rPr>
                <w:rFonts w:ascii="宋体" w:hAnsi="宋体"/>
                <w:szCs w:val="21"/>
              </w:rPr>
            </w:pPr>
            <w:r>
              <w:rPr>
                <w:rFonts w:hint="eastAsia" w:ascii="宋体" w:hAnsi="宋体"/>
                <w:szCs w:val="21"/>
              </w:rPr>
              <w:t>项目监理不得将其职责授权他人。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8.1</w:t>
            </w:r>
            <w:r>
              <w:rPr>
                <w:rFonts w:hint="eastAsia"/>
                <w:szCs w:val="21"/>
              </w:rPr>
              <w:t>款</w:t>
            </w:r>
          </w:p>
        </w:tc>
        <w:tc>
          <w:tcPr>
            <w:tcW w:w="5220" w:type="dxa"/>
            <w:vAlign w:val="top"/>
          </w:tcPr>
          <w:p>
            <w:pPr>
              <w:tabs>
                <w:tab w:val="right" w:pos="7254"/>
              </w:tabs>
              <w:spacing w:before="120" w:after="120"/>
              <w:jc w:val="left"/>
              <w:textAlignment w:val="auto"/>
              <w:rPr>
                <w:rFonts w:cs="Arial"/>
                <w:i/>
                <w:szCs w:val="21"/>
              </w:rPr>
            </w:pPr>
            <w:r>
              <w:rPr>
                <w:rFonts w:hint="eastAsia" w:cs="Arial"/>
                <w:szCs w:val="21"/>
              </w:rPr>
              <w:t>其它承包人进度表：不适用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Ansi="宋体"/>
                <w:szCs w:val="21"/>
                <w:highlight w:val="none"/>
              </w:rPr>
            </w:pPr>
            <w:r>
              <w:rPr>
                <w:rFonts w:hint="eastAsia"/>
                <w:szCs w:val="21"/>
                <w:highlight w:val="none"/>
              </w:rPr>
              <w:t>一般合同条款第</w:t>
            </w:r>
            <w:r>
              <w:rPr>
                <w:szCs w:val="21"/>
                <w:highlight w:val="none"/>
              </w:rPr>
              <w:t>9.1</w:t>
            </w:r>
            <w:r>
              <w:rPr>
                <w:rFonts w:hint="eastAsia"/>
                <w:szCs w:val="21"/>
                <w:highlight w:val="none"/>
              </w:rPr>
              <w:t>款</w:t>
            </w:r>
          </w:p>
        </w:tc>
        <w:tc>
          <w:tcPr>
            <w:tcW w:w="5220" w:type="dxa"/>
            <w:vAlign w:val="top"/>
          </w:tcPr>
          <w:p>
            <w:pPr>
              <w:tabs>
                <w:tab w:val="right" w:pos="7254"/>
              </w:tabs>
              <w:spacing w:before="120" w:after="120"/>
              <w:rPr>
                <w:szCs w:val="21"/>
                <w:highlight w:val="none"/>
              </w:rPr>
            </w:pPr>
            <w:r>
              <w:rPr>
                <w:rFonts w:hint="eastAsia"/>
                <w:szCs w:val="21"/>
                <w:highlight w:val="none"/>
              </w:rPr>
              <w:t>在第</w:t>
            </w:r>
            <w:r>
              <w:rPr>
                <w:szCs w:val="21"/>
                <w:highlight w:val="none"/>
              </w:rPr>
              <w:t>9.1</w:t>
            </w:r>
            <w:r>
              <w:rPr>
                <w:rFonts w:hint="eastAsia"/>
                <w:szCs w:val="21"/>
                <w:highlight w:val="none"/>
              </w:rPr>
              <w:t>款末尾插入：</w:t>
            </w:r>
          </w:p>
          <w:p>
            <w:pPr>
              <w:spacing w:before="120" w:after="120"/>
              <w:jc w:val="left"/>
              <w:textAlignment w:val="auto"/>
              <w:rPr>
                <w:rFonts w:hint="eastAsia"/>
                <w:szCs w:val="21"/>
                <w:highlight w:val="none"/>
              </w:rPr>
            </w:pPr>
            <w:r>
              <w:rPr>
                <w:rFonts w:hint="eastAsia"/>
                <w:szCs w:val="21"/>
                <w:highlight w:val="none"/>
              </w:rPr>
              <w:t>承包商若未按上述要求执行，项目监理在获得业主同意后</w:t>
            </w:r>
            <w:r>
              <w:rPr>
                <w:rFonts w:hint="eastAsia"/>
                <w:color w:val="000000"/>
                <w:szCs w:val="21"/>
                <w:highlight w:val="none"/>
              </w:rPr>
              <w:t>有权要求承包商停工，在承包商提供满足合同要求的主要管理人员后方可开工。主要管理人员在合同签署前须在当地建设行政主管部门备案证件原件，以确保在合同实施期间的投入。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rFonts w:hAnsi="宋体"/>
                <w:szCs w:val="21"/>
                <w:highlight w:val="none"/>
              </w:rPr>
              <w:t>一般合同条款</w:t>
            </w:r>
            <w:r>
              <w:rPr>
                <w:rFonts w:hint="eastAsia" w:hAnsi="宋体"/>
                <w:szCs w:val="21"/>
                <w:highlight w:val="none"/>
              </w:rPr>
              <w:t>第9.</w:t>
            </w:r>
            <w:r>
              <w:rPr>
                <w:rFonts w:hAnsi="宋体"/>
                <w:szCs w:val="21"/>
                <w:highlight w:val="none"/>
              </w:rPr>
              <w:t>2</w:t>
            </w:r>
            <w:r>
              <w:rPr>
                <w:rFonts w:hint="eastAsia"/>
                <w:szCs w:val="21"/>
                <w:highlight w:val="none"/>
              </w:rPr>
              <w:t>款</w:t>
            </w:r>
          </w:p>
        </w:tc>
        <w:tc>
          <w:tcPr>
            <w:tcW w:w="5220" w:type="dxa"/>
          </w:tcPr>
          <w:p>
            <w:pPr>
              <w:spacing w:before="120" w:after="120"/>
              <w:rPr>
                <w:rFonts w:ascii="宋体" w:hAnsi="宋体" w:cs="Arial"/>
                <w:szCs w:val="21"/>
                <w:highlight w:val="none"/>
              </w:rPr>
            </w:pPr>
            <w:r>
              <w:rPr>
                <w:rFonts w:hint="eastAsia" w:ascii="宋体" w:hAnsi="宋体" w:cs="Arial"/>
                <w:szCs w:val="21"/>
                <w:highlight w:val="none"/>
              </w:rPr>
              <w:t>环境-社会-健康-安全行为准则</w:t>
            </w:r>
          </w:p>
          <w:p>
            <w:pPr>
              <w:spacing w:before="120" w:after="120"/>
              <w:rPr>
                <w:szCs w:val="21"/>
                <w:highlight w:val="none"/>
              </w:rPr>
            </w:pPr>
            <w:r>
              <w:rPr>
                <w:rFonts w:hAnsi="宋体"/>
                <w:szCs w:val="21"/>
                <w:highlight w:val="none"/>
              </w:rPr>
              <w:t>一般合同条款</w:t>
            </w:r>
            <w:r>
              <w:rPr>
                <w:rFonts w:hint="eastAsia" w:hAnsi="宋体"/>
                <w:szCs w:val="21"/>
                <w:highlight w:val="none"/>
              </w:rPr>
              <w:t>第9.</w:t>
            </w:r>
            <w:r>
              <w:rPr>
                <w:rFonts w:hAnsi="宋体"/>
                <w:szCs w:val="21"/>
                <w:highlight w:val="none"/>
              </w:rPr>
              <w:t>2</w:t>
            </w:r>
            <w:r>
              <w:rPr>
                <w:rFonts w:hint="eastAsia"/>
                <w:szCs w:val="21"/>
                <w:highlight w:val="none"/>
              </w:rPr>
              <w:t>款结尾增加：</w:t>
            </w:r>
          </w:p>
          <w:p>
            <w:pPr>
              <w:spacing w:before="120" w:after="120"/>
              <w:rPr>
                <w:szCs w:val="21"/>
                <w:highlight w:val="none"/>
              </w:rPr>
            </w:pPr>
            <w:r>
              <w:rPr>
                <w:rFonts w:hint="eastAsia"/>
                <w:szCs w:val="21"/>
                <w:highlight w:val="none"/>
              </w:rPr>
              <w:t>要求人员调离现场的原因包括员工违反了</w:t>
            </w:r>
            <w:r>
              <w:rPr>
                <w:rFonts w:hint="eastAsia" w:ascii="宋体" w:hAnsi="宋体" w:cs="Arial"/>
                <w:szCs w:val="21"/>
                <w:highlight w:val="none"/>
              </w:rPr>
              <w:t>环境-社会-健康-安全行为准则（例如传播传染性疾病、性骚扰、性暴力、非法行为或犯罪）。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14.1</w:t>
            </w:r>
            <w:r>
              <w:rPr>
                <w:rFonts w:hint="eastAsia"/>
                <w:szCs w:val="21"/>
              </w:rPr>
              <w:t>款</w:t>
            </w:r>
          </w:p>
        </w:tc>
        <w:tc>
          <w:tcPr>
            <w:tcW w:w="5220" w:type="dxa"/>
          </w:tcPr>
          <w:p>
            <w:pPr>
              <w:spacing w:before="120" w:after="120"/>
              <w:jc w:val="left"/>
              <w:textAlignment w:val="auto"/>
              <w:rPr>
                <w:rFonts w:hint="eastAsia"/>
              </w:rPr>
            </w:pPr>
            <w:r>
              <w:rPr>
                <w:rFonts w:hint="eastAsia"/>
              </w:rPr>
              <w:t>其它保险为：</w:t>
            </w:r>
          </w:p>
          <w:p>
            <w:pPr>
              <w:spacing w:before="120" w:after="120"/>
              <w:jc w:val="left"/>
              <w:textAlignment w:val="auto"/>
              <w:rPr>
                <w:rFonts w:hint="eastAsia"/>
              </w:rPr>
            </w:pPr>
            <w:r>
              <w:rPr>
                <w:rFonts w:hint="eastAsia"/>
              </w:rPr>
              <w:t>本工程保险的具体要求如下：</w:t>
            </w:r>
          </w:p>
          <w:p>
            <w:pPr>
              <w:spacing w:before="120" w:after="120"/>
              <w:jc w:val="left"/>
              <w:textAlignment w:val="auto"/>
              <w:rPr>
                <w:rFonts w:hint="eastAsia"/>
              </w:rPr>
            </w:pPr>
            <w:r>
              <w:rPr>
                <w:rFonts w:hint="eastAsia"/>
              </w:rPr>
              <w:t>本工程、设备和材料保险的最大免赔额为每次事故损失额的10%；</w:t>
            </w:r>
          </w:p>
          <w:p>
            <w:pPr>
              <w:spacing w:before="120" w:after="120"/>
              <w:jc w:val="left"/>
              <w:textAlignment w:val="auto"/>
              <w:rPr>
                <w:rFonts w:hint="eastAsia"/>
              </w:rPr>
            </w:pPr>
            <w:r>
              <w:rPr>
                <w:rFonts w:hint="eastAsia"/>
              </w:rPr>
              <w:t>由于承包人设计失误而对本工程、设备和材料的最低保险额为100万元人民币；</w:t>
            </w:r>
          </w:p>
          <w:p>
            <w:pPr>
              <w:spacing w:before="120" w:after="120"/>
              <w:jc w:val="left"/>
              <w:textAlignment w:val="auto"/>
              <w:rPr>
                <w:rFonts w:hint="eastAsia"/>
              </w:rPr>
            </w:pPr>
            <w:r>
              <w:rPr>
                <w:rFonts w:hint="eastAsia"/>
              </w:rPr>
              <w:t>施工机械保险的最大免赔额为保险额的1%；</w:t>
            </w:r>
          </w:p>
          <w:p>
            <w:pPr>
              <w:spacing w:before="120" w:after="120"/>
              <w:jc w:val="left"/>
              <w:textAlignment w:val="auto"/>
              <w:rPr>
                <w:rFonts w:hint="eastAsia"/>
              </w:rPr>
            </w:pPr>
            <w:r>
              <w:rPr>
                <w:rFonts w:hint="eastAsia"/>
              </w:rPr>
              <w:t>施工机械损失或损坏的最低保险额为重置费用人民币；</w:t>
            </w:r>
          </w:p>
          <w:p>
            <w:pPr>
              <w:spacing w:before="120" w:after="120"/>
              <w:jc w:val="left"/>
              <w:textAlignment w:val="auto"/>
              <w:rPr>
                <w:rFonts w:hint="eastAsia"/>
              </w:rPr>
            </w:pPr>
            <w:r>
              <w:rPr>
                <w:rFonts w:hint="eastAsia"/>
              </w:rPr>
              <w:t>其它财产的最大免赔额为每次事故免赔5000元人民币；</w:t>
            </w:r>
          </w:p>
          <w:p>
            <w:pPr>
              <w:spacing w:before="120" w:after="120"/>
              <w:jc w:val="left"/>
              <w:textAlignment w:val="auto"/>
              <w:rPr>
                <w:rFonts w:hint="eastAsia"/>
              </w:rPr>
            </w:pPr>
            <w:r>
              <w:rPr>
                <w:rFonts w:hint="eastAsia"/>
              </w:rPr>
              <w:t>其它财产的最低保险额为20万人民币；</w:t>
            </w:r>
          </w:p>
          <w:p>
            <w:pPr>
              <w:spacing w:before="120" w:after="120"/>
              <w:jc w:val="left"/>
              <w:textAlignment w:val="auto"/>
              <w:rPr>
                <w:rFonts w:hint="eastAsia"/>
              </w:rPr>
            </w:pPr>
            <w:r>
              <w:rPr>
                <w:rFonts w:hint="eastAsia"/>
              </w:rPr>
              <w:t>对承包人雇员人身伤亡的最低保险额为40万人民币；</w:t>
            </w:r>
          </w:p>
          <w:p>
            <w:pPr>
              <w:spacing w:before="120" w:after="120"/>
              <w:jc w:val="left"/>
              <w:textAlignment w:val="auto"/>
              <w:rPr>
                <w:rFonts w:hint="eastAsia"/>
              </w:rPr>
            </w:pPr>
            <w:r>
              <w:rPr>
                <w:rFonts w:hint="eastAsia"/>
              </w:rPr>
              <w:t>对其他人员的最低保险额为40万人民币。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14.2</w:t>
            </w:r>
            <w:r>
              <w:rPr>
                <w:rFonts w:hint="eastAsia"/>
                <w:szCs w:val="21"/>
                <w:highlight w:val="none"/>
              </w:rPr>
              <w:t>款</w:t>
            </w:r>
          </w:p>
        </w:tc>
        <w:tc>
          <w:tcPr>
            <w:tcW w:w="5220" w:type="dxa"/>
            <w:vAlign w:val="top"/>
          </w:tcPr>
          <w:p>
            <w:pPr>
              <w:spacing w:before="120" w:after="120"/>
              <w:ind w:right="-72" w:rightChars="0"/>
              <w:jc w:val="left"/>
              <w:textAlignment w:val="auto"/>
              <w:rPr>
                <w:rFonts w:hint="eastAsia" w:cs="Arial"/>
                <w:szCs w:val="21"/>
                <w:highlight w:val="none"/>
              </w:rPr>
            </w:pPr>
            <w:r>
              <w:rPr>
                <w:rFonts w:hint="eastAsia"/>
                <w:szCs w:val="21"/>
                <w:highlight w:val="none"/>
              </w:rPr>
              <w:t>在开工日期十四（</w:t>
            </w:r>
            <w:r>
              <w:rPr>
                <w:szCs w:val="21"/>
                <w:highlight w:val="none"/>
              </w:rPr>
              <w:t>14</w:t>
            </w:r>
            <w:r>
              <w:rPr>
                <w:rFonts w:hint="eastAsia"/>
                <w:szCs w:val="21"/>
                <w:highlight w:val="none"/>
              </w:rPr>
              <w:t>）天之前，</w:t>
            </w:r>
            <w:r>
              <w:rPr>
                <w:rFonts w:hint="eastAsia" w:ascii="宋体" w:hAnsi="宋体"/>
                <w:szCs w:val="21"/>
                <w:highlight w:val="none"/>
              </w:rPr>
              <w:t>承包商应向业主和项目监理提交保险单和保险凭证以取得业主和项目监理的批准。所有保险均</w:t>
            </w:r>
            <w:r>
              <w:rPr>
                <w:rFonts w:hint="eastAsia" w:ascii="宋体" w:hAnsi="宋体" w:cs="宋体"/>
                <w:szCs w:val="21"/>
                <w:highlight w:val="none"/>
              </w:rPr>
              <w:t>应以</w:t>
            </w:r>
            <w:r>
              <w:rPr>
                <w:rFonts w:hint="eastAsia" w:ascii="宋体" w:hAnsi="宋体"/>
                <w:szCs w:val="21"/>
                <w:highlight w:val="none"/>
              </w:rPr>
              <w:t>人民币对所发生的损失或损害提供赔偿。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14.4</w:t>
            </w:r>
            <w:r>
              <w:rPr>
                <w:rFonts w:hint="eastAsia"/>
                <w:szCs w:val="21"/>
                <w:highlight w:val="none"/>
              </w:rPr>
              <w:t>款</w:t>
            </w:r>
          </w:p>
        </w:tc>
        <w:tc>
          <w:tcPr>
            <w:tcW w:w="5220" w:type="dxa"/>
            <w:vAlign w:val="top"/>
          </w:tcPr>
          <w:p>
            <w:pPr>
              <w:spacing w:before="120" w:after="120"/>
              <w:ind w:right="-72" w:rightChars="0"/>
              <w:jc w:val="left"/>
              <w:textAlignment w:val="auto"/>
              <w:rPr>
                <w:rFonts w:hint="eastAsia" w:cs="Arial"/>
                <w:szCs w:val="21"/>
                <w:highlight w:val="none"/>
              </w:rPr>
            </w:pPr>
            <w:r>
              <w:rPr>
                <w:rFonts w:hint="eastAsia"/>
                <w:szCs w:val="21"/>
                <w:highlight w:val="none"/>
              </w:rPr>
              <w:t>未经</w:t>
            </w:r>
            <w:r>
              <w:rPr>
                <w:rFonts w:hint="eastAsia" w:ascii="宋体" w:hAnsi="宋体"/>
                <w:szCs w:val="21"/>
                <w:highlight w:val="none"/>
              </w:rPr>
              <w:t>业主和项目监理</w:t>
            </w:r>
            <w:r>
              <w:rPr>
                <w:rFonts w:hint="eastAsia"/>
                <w:szCs w:val="21"/>
                <w:highlight w:val="none"/>
              </w:rPr>
              <w:t>批准不得改变保险条款。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15.1</w:t>
            </w:r>
            <w:r>
              <w:rPr>
                <w:rFonts w:hint="eastAsia"/>
                <w:szCs w:val="21"/>
              </w:rPr>
              <w:t>款</w:t>
            </w:r>
          </w:p>
        </w:tc>
        <w:tc>
          <w:tcPr>
            <w:tcW w:w="5220" w:type="dxa"/>
          </w:tcPr>
          <w:p>
            <w:pPr>
              <w:spacing w:before="120" w:after="120"/>
              <w:ind w:right="-72"/>
              <w:jc w:val="left"/>
              <w:textAlignment w:val="auto"/>
              <w:rPr>
                <w:rFonts w:hint="eastAsia" w:eastAsia="宋体"/>
                <w:i/>
                <w:szCs w:val="21"/>
                <w:lang w:eastAsia="zh-CN"/>
              </w:rPr>
            </w:pPr>
            <w:r>
              <w:rPr>
                <w:rFonts w:hint="eastAsia" w:cs="Arial"/>
                <w:szCs w:val="21"/>
              </w:rPr>
              <w:t>现场调查报告名称：</w:t>
            </w:r>
            <w:r>
              <w:rPr>
                <w:rFonts w:hint="eastAsia" w:cs="Arial"/>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szCs w:val="21"/>
                <w:highlight w:val="none"/>
              </w:rPr>
              <w:t>一般合同条款第</w:t>
            </w:r>
            <w:r>
              <w:rPr>
                <w:szCs w:val="21"/>
                <w:highlight w:val="none"/>
              </w:rPr>
              <w:t>15.2</w:t>
            </w:r>
            <w:r>
              <w:rPr>
                <w:rFonts w:hint="eastAsia"/>
                <w:szCs w:val="21"/>
                <w:highlight w:val="none"/>
              </w:rPr>
              <w:t>款</w:t>
            </w:r>
          </w:p>
        </w:tc>
        <w:tc>
          <w:tcPr>
            <w:tcW w:w="5220" w:type="dxa"/>
            <w:vAlign w:val="top"/>
          </w:tcPr>
          <w:p>
            <w:pPr>
              <w:tabs>
                <w:tab w:val="left" w:pos="1875"/>
              </w:tabs>
              <w:spacing w:before="120" w:after="120"/>
              <w:ind w:right="-72" w:rightChars="0"/>
              <w:jc w:val="left"/>
              <w:textAlignment w:val="auto"/>
              <w:rPr>
                <w:rFonts w:hint="eastAsia" w:ascii="宋体" w:hAnsi="宋体" w:cs="Arial"/>
                <w:szCs w:val="21"/>
                <w:highlight w:val="none"/>
              </w:rPr>
            </w:pPr>
            <w:r>
              <w:rPr>
                <w:rFonts w:hint="eastAsia"/>
                <w:szCs w:val="21"/>
                <w:highlight w:val="none"/>
              </w:rPr>
              <w:t>承包商应</w:t>
            </w:r>
            <w:r>
              <w:rPr>
                <w:rFonts w:hint="eastAsia" w:ascii="宋体" w:hAnsi="宋体"/>
                <w:szCs w:val="21"/>
                <w:highlight w:val="none"/>
              </w:rPr>
              <w:t>为合同细节保密。在未经业主和项目监理事先书面同意的条件下，承包商不得将合同细节或合同的任何部分在任何交易或技术文件或其它场合公布或披露。如果因履行合同的需要必须进行公布或披露而产生争议时，应提交业主作出最终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int="eastAsia"/>
                <w:szCs w:val="21"/>
                <w:highlight w:val="none"/>
              </w:rPr>
            </w:pPr>
            <w:r>
              <w:rPr>
                <w:szCs w:val="21"/>
                <w:highlight w:val="none"/>
              </w:rPr>
              <w:t>新增一般合同条款</w:t>
            </w:r>
            <w:r>
              <w:rPr>
                <w:rFonts w:hint="eastAsia"/>
                <w:szCs w:val="21"/>
                <w:highlight w:val="none"/>
              </w:rPr>
              <w:t>第</w:t>
            </w:r>
            <w:r>
              <w:rPr>
                <w:szCs w:val="21"/>
                <w:highlight w:val="none"/>
              </w:rPr>
              <w:t>1</w:t>
            </w:r>
            <w:r>
              <w:rPr>
                <w:rFonts w:hint="eastAsia"/>
                <w:szCs w:val="21"/>
                <w:highlight w:val="none"/>
              </w:rPr>
              <w:t>6</w:t>
            </w:r>
            <w:r>
              <w:rPr>
                <w:szCs w:val="21"/>
                <w:highlight w:val="none"/>
              </w:rPr>
              <w:t>.</w:t>
            </w:r>
            <w:r>
              <w:rPr>
                <w:rFonts w:hint="eastAsia"/>
                <w:szCs w:val="21"/>
                <w:highlight w:val="none"/>
              </w:rPr>
              <w:t>2款</w:t>
            </w:r>
          </w:p>
        </w:tc>
        <w:tc>
          <w:tcPr>
            <w:tcW w:w="5220" w:type="dxa"/>
            <w:vAlign w:val="top"/>
          </w:tcPr>
          <w:p>
            <w:pPr>
              <w:spacing w:before="120" w:after="120"/>
              <w:ind w:right="92"/>
              <w:jc w:val="left"/>
              <w:textAlignment w:val="auto"/>
              <w:rPr>
                <w:szCs w:val="21"/>
                <w:highlight w:val="none"/>
              </w:rPr>
            </w:pPr>
            <w:r>
              <w:rPr>
                <w:rFonts w:hint="eastAsia"/>
                <w:szCs w:val="21"/>
                <w:highlight w:val="none"/>
              </w:rPr>
              <w:t>1.在本次的投标过程中严格按照《中华人民共和国招标投标法》、《中华人民共和国政府采购法》等相关的法律法规开展投标工作，不存在围标、串标、弄虚作假等行为。若一经发现有违法、违规等行为的，建设单位有权终止合同，停止一切工程款的支付，并赔偿因此造成的所有损失。</w:t>
            </w:r>
            <w:r>
              <w:rPr>
                <w:szCs w:val="21"/>
                <w:highlight w:val="none"/>
              </w:rPr>
              <w:t>在施工过程</w:t>
            </w:r>
            <w:r>
              <w:rPr>
                <w:rFonts w:hint="eastAsia"/>
                <w:szCs w:val="21"/>
                <w:highlight w:val="none"/>
              </w:rPr>
              <w:t>中</w:t>
            </w:r>
            <w:r>
              <w:rPr>
                <w:szCs w:val="21"/>
                <w:highlight w:val="none"/>
              </w:rPr>
              <w:t>，</w:t>
            </w:r>
            <w:r>
              <w:rPr>
                <w:rFonts w:hint="eastAsia"/>
                <w:szCs w:val="21"/>
                <w:highlight w:val="none"/>
              </w:rPr>
              <w:t>若</w:t>
            </w:r>
            <w:r>
              <w:rPr>
                <w:szCs w:val="21"/>
                <w:highlight w:val="none"/>
              </w:rPr>
              <w:t>因企业</w:t>
            </w:r>
            <w:r>
              <w:rPr>
                <w:rFonts w:hint="eastAsia"/>
                <w:szCs w:val="21"/>
                <w:highlight w:val="none"/>
              </w:rPr>
              <w:t>自身</w:t>
            </w:r>
            <w:r>
              <w:rPr>
                <w:szCs w:val="21"/>
                <w:highlight w:val="none"/>
              </w:rPr>
              <w:t>的能力</w:t>
            </w:r>
            <w:r>
              <w:rPr>
                <w:rFonts w:hint="eastAsia"/>
                <w:szCs w:val="21"/>
                <w:highlight w:val="none"/>
              </w:rPr>
              <w:t>或</w:t>
            </w:r>
            <w:r>
              <w:rPr>
                <w:szCs w:val="21"/>
                <w:highlight w:val="none"/>
              </w:rPr>
              <w:t>资金问题，影响</w:t>
            </w:r>
            <w:r>
              <w:rPr>
                <w:rFonts w:hint="eastAsia"/>
                <w:szCs w:val="21"/>
                <w:highlight w:val="none"/>
              </w:rPr>
              <w:t>整体</w:t>
            </w:r>
            <w:r>
              <w:rPr>
                <w:szCs w:val="21"/>
                <w:highlight w:val="none"/>
              </w:rPr>
              <w:t>的施工进度停滞不前的，</w:t>
            </w:r>
            <w:r>
              <w:rPr>
                <w:rFonts w:hint="eastAsia"/>
                <w:szCs w:val="21"/>
                <w:highlight w:val="none"/>
              </w:rPr>
              <w:t>业主</w:t>
            </w:r>
            <w:r>
              <w:rPr>
                <w:szCs w:val="21"/>
                <w:highlight w:val="none"/>
              </w:rPr>
              <w:t>单位有权</w:t>
            </w:r>
            <w:r>
              <w:rPr>
                <w:rFonts w:hint="eastAsia"/>
                <w:szCs w:val="21"/>
                <w:highlight w:val="none"/>
              </w:rPr>
              <w:t>将终止</w:t>
            </w:r>
            <w:r>
              <w:rPr>
                <w:szCs w:val="21"/>
                <w:highlight w:val="none"/>
              </w:rPr>
              <w:t>合同</w:t>
            </w:r>
            <w:r>
              <w:rPr>
                <w:rFonts w:hint="eastAsia"/>
                <w:szCs w:val="21"/>
                <w:highlight w:val="none"/>
              </w:rPr>
              <w:t>，</w:t>
            </w:r>
            <w:r>
              <w:rPr>
                <w:szCs w:val="21"/>
                <w:highlight w:val="none"/>
              </w:rPr>
              <w:t>所造成的损失由承包商承担</w:t>
            </w:r>
            <w:r>
              <w:rPr>
                <w:rFonts w:hint="eastAsia"/>
                <w:szCs w:val="21"/>
                <w:highlight w:val="none"/>
              </w:rPr>
              <w:t>同时列入不诚信系统，三年内不进入焦作市场。</w:t>
            </w:r>
          </w:p>
          <w:p>
            <w:pPr>
              <w:spacing w:before="120" w:after="120"/>
              <w:ind w:right="92"/>
              <w:jc w:val="left"/>
              <w:textAlignment w:val="auto"/>
              <w:rPr>
                <w:szCs w:val="21"/>
                <w:highlight w:val="none"/>
              </w:rPr>
            </w:pPr>
            <w:r>
              <w:rPr>
                <w:rFonts w:hint="eastAsia"/>
                <w:szCs w:val="21"/>
                <w:highlight w:val="none"/>
              </w:rPr>
              <w:t>2.由于焦作市为京津冀大气污染传输通道的城市之一，承诺在施工中严格按照环保要求及相关文件要求，若因承包商未按照环保要求造成影响工期延误的，承包商负全部责任，并接受处罚合同价0.1%每天的罚款。提前完工的，不向建设单位索要工期的赶工费用。</w:t>
            </w:r>
          </w:p>
          <w:p>
            <w:pPr>
              <w:pStyle w:val="44"/>
              <w:spacing w:before="120" w:after="120"/>
              <w:ind w:right="92"/>
              <w:textAlignment w:val="auto"/>
              <w:rPr>
                <w:b w:val="0"/>
                <w:bCs w:val="0"/>
                <w:caps w:val="0"/>
                <w:sz w:val="21"/>
                <w:szCs w:val="21"/>
                <w:highlight w:val="none"/>
              </w:rPr>
            </w:pPr>
            <w:r>
              <w:rPr>
                <w:rFonts w:hint="eastAsia"/>
                <w:b w:val="0"/>
                <w:bCs w:val="0"/>
                <w:caps w:val="0"/>
                <w:sz w:val="21"/>
                <w:szCs w:val="21"/>
                <w:highlight w:val="none"/>
              </w:rPr>
              <w:t>3.按照招标文件中的工期，采取措施，科学合理有效的安排施工，施工中承包商应极主动协调施工外围环境比如：交警、园林、弱电等影响施工的外围环境和相关部门，协调所产生的费用由施工单位自己承担，保证工程工期控制在施工合同工期内。若因施工方案、协调或措施协调等不到位致使工期拖延的，接受合同价0.1%每天的罚款。并将承包商列入不诚信系统，三年内不在进入焦作市场。</w:t>
            </w:r>
          </w:p>
          <w:p>
            <w:pPr>
              <w:pStyle w:val="44"/>
              <w:spacing w:before="120" w:after="120"/>
              <w:ind w:right="92" w:rightChars="0"/>
              <w:textAlignment w:val="auto"/>
              <w:rPr>
                <w:rFonts w:hint="eastAsia"/>
                <w:szCs w:val="21"/>
                <w:highlight w:val="none"/>
              </w:rPr>
            </w:pPr>
            <w:r>
              <w:rPr>
                <w:rFonts w:hint="eastAsia"/>
                <w:b w:val="0"/>
                <w:bCs w:val="0"/>
                <w:caps w:val="0"/>
                <w:sz w:val="21"/>
                <w:szCs w:val="21"/>
                <w:highlight w:val="none"/>
              </w:rPr>
              <w:t>4.因不可抗力、大气管控等因素造成的停工，承包商不得以此向业主提出索赔，经业主同意后，可根据实际情况顺延工期。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int="eastAsia"/>
                <w:szCs w:val="21"/>
                <w:highlight w:val="none"/>
              </w:rPr>
            </w:pPr>
            <w:r>
              <w:rPr>
                <w:szCs w:val="21"/>
                <w:highlight w:val="none"/>
              </w:rPr>
              <w:t>新增一般合同条款</w:t>
            </w:r>
            <w:r>
              <w:rPr>
                <w:rFonts w:hint="eastAsia"/>
                <w:szCs w:val="21"/>
                <w:highlight w:val="none"/>
              </w:rPr>
              <w:t>第</w:t>
            </w:r>
            <w:r>
              <w:rPr>
                <w:szCs w:val="21"/>
                <w:highlight w:val="none"/>
              </w:rPr>
              <w:t>1</w:t>
            </w:r>
            <w:r>
              <w:rPr>
                <w:rFonts w:hint="eastAsia"/>
                <w:szCs w:val="21"/>
                <w:highlight w:val="none"/>
              </w:rPr>
              <w:t>6</w:t>
            </w:r>
            <w:r>
              <w:rPr>
                <w:szCs w:val="21"/>
                <w:highlight w:val="none"/>
              </w:rPr>
              <w:t>.</w:t>
            </w:r>
            <w:r>
              <w:rPr>
                <w:rFonts w:hint="eastAsia"/>
                <w:szCs w:val="21"/>
                <w:highlight w:val="none"/>
              </w:rPr>
              <w:t>3款</w:t>
            </w:r>
          </w:p>
        </w:tc>
        <w:tc>
          <w:tcPr>
            <w:tcW w:w="5220" w:type="dxa"/>
            <w:vAlign w:val="top"/>
          </w:tcPr>
          <w:p>
            <w:pPr>
              <w:pStyle w:val="44"/>
              <w:spacing w:before="120" w:after="120"/>
              <w:ind w:right="92" w:rightChars="0"/>
              <w:textAlignment w:val="auto"/>
              <w:rPr>
                <w:rFonts w:hint="eastAsia"/>
                <w:szCs w:val="21"/>
                <w:highlight w:val="none"/>
              </w:rPr>
            </w:pPr>
            <w:r>
              <w:rPr>
                <w:rFonts w:hint="eastAsia"/>
                <w:b w:val="0"/>
                <w:bCs w:val="0"/>
                <w:caps w:val="0"/>
                <w:sz w:val="21"/>
                <w:szCs w:val="21"/>
                <w:highlight w:val="none"/>
              </w:rPr>
              <w:t>项目施工现场项目经理、技术负责人须投标的人员到岗履职，不得更换。项目经理、项目负责人、项目技术负责人、施工员、质量员、安全员等投标人员每月出勤不得少于</w:t>
            </w:r>
            <w:r>
              <w:rPr>
                <w:b w:val="0"/>
                <w:bCs w:val="0"/>
                <w:caps w:val="0"/>
                <w:sz w:val="21"/>
                <w:szCs w:val="21"/>
                <w:highlight w:val="none"/>
              </w:rPr>
              <w:t>22</w:t>
            </w:r>
            <w:r>
              <w:rPr>
                <w:rFonts w:hint="eastAsia"/>
                <w:b w:val="0"/>
                <w:bCs w:val="0"/>
                <w:caps w:val="0"/>
                <w:sz w:val="21"/>
                <w:szCs w:val="21"/>
                <w:highlight w:val="none"/>
              </w:rPr>
              <w:t>天，并按相关规定实行考核管理，其中项目经理、负责人未按要求到岗的按合同价</w:t>
            </w:r>
            <w:r>
              <w:rPr>
                <w:b w:val="0"/>
                <w:bCs w:val="0"/>
                <w:caps w:val="0"/>
                <w:sz w:val="21"/>
                <w:szCs w:val="21"/>
                <w:highlight w:val="none"/>
              </w:rPr>
              <w:t>0.1%</w:t>
            </w:r>
            <w:r>
              <w:rPr>
                <w:rFonts w:hint="eastAsia"/>
                <w:b w:val="0"/>
                <w:bCs w:val="0"/>
                <w:caps w:val="0"/>
                <w:sz w:val="21"/>
                <w:szCs w:val="21"/>
                <w:highlight w:val="none"/>
              </w:rPr>
              <w:t>每天进行处罚，项目班子其它成员未按要求到岗的按</w:t>
            </w:r>
            <w:r>
              <w:rPr>
                <w:b w:val="0"/>
                <w:bCs w:val="0"/>
                <w:caps w:val="0"/>
                <w:sz w:val="21"/>
                <w:szCs w:val="21"/>
                <w:highlight w:val="none"/>
              </w:rPr>
              <w:t>1000</w:t>
            </w:r>
            <w:r>
              <w:rPr>
                <w:rFonts w:hint="eastAsia"/>
                <w:b w:val="0"/>
                <w:bCs w:val="0"/>
                <w:caps w:val="0"/>
                <w:sz w:val="21"/>
                <w:szCs w:val="21"/>
                <w:highlight w:val="none"/>
              </w:rPr>
              <w:t>元</w:t>
            </w:r>
            <w:r>
              <w:rPr>
                <w:b w:val="0"/>
                <w:bCs w:val="0"/>
                <w:caps w:val="0"/>
                <w:sz w:val="21"/>
                <w:szCs w:val="21"/>
                <w:highlight w:val="none"/>
              </w:rPr>
              <w:t>/</w:t>
            </w:r>
            <w:r>
              <w:rPr>
                <w:rFonts w:hint="eastAsia"/>
                <w:b w:val="0"/>
                <w:bCs w:val="0"/>
                <w:caps w:val="0"/>
                <w:sz w:val="21"/>
                <w:szCs w:val="21"/>
                <w:highlight w:val="none"/>
              </w:rPr>
              <w:t>天进行处罚，连续</w:t>
            </w:r>
            <w:r>
              <w:rPr>
                <w:b w:val="0"/>
                <w:bCs w:val="0"/>
                <w:caps w:val="0"/>
                <w:sz w:val="21"/>
                <w:szCs w:val="21"/>
                <w:highlight w:val="none"/>
              </w:rPr>
              <w:t>7</w:t>
            </w:r>
            <w:r>
              <w:rPr>
                <w:rFonts w:hint="eastAsia"/>
                <w:b w:val="0"/>
                <w:bCs w:val="0"/>
                <w:caps w:val="0"/>
                <w:sz w:val="21"/>
                <w:szCs w:val="21"/>
                <w:highlight w:val="none"/>
              </w:rPr>
              <w:t>天不到位或累计</w:t>
            </w:r>
            <w:r>
              <w:rPr>
                <w:b w:val="0"/>
                <w:bCs w:val="0"/>
                <w:caps w:val="0"/>
                <w:sz w:val="21"/>
                <w:szCs w:val="21"/>
                <w:highlight w:val="none"/>
              </w:rPr>
              <w:t>1</w:t>
            </w:r>
            <w:r>
              <w:rPr>
                <w:rFonts w:hint="eastAsia"/>
                <w:b w:val="0"/>
                <w:bCs w:val="0"/>
                <w:caps w:val="0"/>
                <w:sz w:val="21"/>
                <w:szCs w:val="21"/>
                <w:highlight w:val="none"/>
              </w:rPr>
              <w:t>个月不到位的，根据到岗率情况对企业或个人进行不良行为上报处理。若投标的人员未能按时到岗的经建设单位</w:t>
            </w:r>
            <w:r>
              <w:rPr>
                <w:b w:val="0"/>
                <w:bCs w:val="0"/>
                <w:caps w:val="0"/>
                <w:sz w:val="21"/>
                <w:szCs w:val="21"/>
                <w:highlight w:val="none"/>
              </w:rPr>
              <w:t>3</w:t>
            </w:r>
            <w:r>
              <w:rPr>
                <w:rFonts w:hint="eastAsia"/>
                <w:b w:val="0"/>
                <w:bCs w:val="0"/>
                <w:caps w:val="0"/>
                <w:sz w:val="21"/>
                <w:szCs w:val="21"/>
                <w:highlight w:val="none"/>
              </w:rPr>
              <w:t>次书面通知还仍未履约到岗的，建设单位有权终止合同并列入不良行为记录，三年内不在进入焦作市场。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int="eastAsia"/>
                <w:szCs w:val="21"/>
                <w:highlight w:val="none"/>
              </w:rPr>
            </w:pPr>
            <w:r>
              <w:rPr>
                <w:szCs w:val="21"/>
                <w:highlight w:val="none"/>
              </w:rPr>
              <w:t>新增一般合同条款</w:t>
            </w:r>
            <w:r>
              <w:rPr>
                <w:rFonts w:hint="eastAsia"/>
                <w:szCs w:val="21"/>
                <w:highlight w:val="none"/>
              </w:rPr>
              <w:t>第</w:t>
            </w:r>
            <w:r>
              <w:rPr>
                <w:szCs w:val="21"/>
                <w:highlight w:val="none"/>
              </w:rPr>
              <w:t>1</w:t>
            </w:r>
            <w:r>
              <w:rPr>
                <w:rFonts w:hint="eastAsia"/>
                <w:szCs w:val="21"/>
                <w:highlight w:val="none"/>
              </w:rPr>
              <w:t>6</w:t>
            </w:r>
            <w:r>
              <w:rPr>
                <w:szCs w:val="21"/>
                <w:highlight w:val="none"/>
              </w:rPr>
              <w:t>.</w:t>
            </w:r>
            <w:r>
              <w:rPr>
                <w:rFonts w:hint="eastAsia"/>
                <w:szCs w:val="21"/>
                <w:highlight w:val="none"/>
              </w:rPr>
              <w:t>4款</w:t>
            </w:r>
          </w:p>
        </w:tc>
        <w:tc>
          <w:tcPr>
            <w:tcW w:w="5220" w:type="dxa"/>
            <w:vAlign w:val="top"/>
          </w:tcPr>
          <w:p>
            <w:pPr>
              <w:pStyle w:val="44"/>
              <w:spacing w:before="120" w:after="120"/>
              <w:ind w:right="92" w:rightChars="0"/>
              <w:textAlignment w:val="auto"/>
              <w:rPr>
                <w:rFonts w:hint="eastAsia"/>
                <w:szCs w:val="21"/>
                <w:highlight w:val="none"/>
              </w:rPr>
            </w:pPr>
            <w:r>
              <w:rPr>
                <w:rFonts w:hint="eastAsia"/>
                <w:b w:val="0"/>
                <w:bCs w:val="0"/>
                <w:caps w:val="0"/>
                <w:sz w:val="21"/>
                <w:szCs w:val="21"/>
                <w:highlight w:val="none"/>
              </w:rPr>
              <w:t>按规范施工，并做好施工的安全文明和工程质量，保证无安全事故发生，工程质量达到合格标准，确保焦作市“山阳杯”质量奖，力争河南省“中州杯”质量奖。若出现安全或质量事故的，责任和经济损失由我公司负责全部责任，并列入不良行为记录，三年内不在进入焦作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int="eastAsia"/>
                <w:szCs w:val="21"/>
                <w:highlight w:val="none"/>
              </w:rPr>
            </w:pPr>
            <w:r>
              <w:rPr>
                <w:szCs w:val="21"/>
                <w:highlight w:val="none"/>
              </w:rPr>
              <w:t>新增一般合同条款</w:t>
            </w:r>
            <w:r>
              <w:rPr>
                <w:rFonts w:hint="eastAsia"/>
                <w:szCs w:val="21"/>
                <w:highlight w:val="none"/>
              </w:rPr>
              <w:t>第</w:t>
            </w:r>
            <w:r>
              <w:rPr>
                <w:szCs w:val="21"/>
                <w:highlight w:val="none"/>
              </w:rPr>
              <w:t>1</w:t>
            </w:r>
            <w:r>
              <w:rPr>
                <w:rFonts w:hint="eastAsia"/>
                <w:szCs w:val="21"/>
                <w:highlight w:val="none"/>
              </w:rPr>
              <w:t>6</w:t>
            </w:r>
            <w:r>
              <w:rPr>
                <w:szCs w:val="21"/>
                <w:highlight w:val="none"/>
              </w:rPr>
              <w:t>.</w:t>
            </w:r>
            <w:r>
              <w:rPr>
                <w:rFonts w:hint="eastAsia"/>
                <w:szCs w:val="21"/>
                <w:highlight w:val="none"/>
              </w:rPr>
              <w:t>5款</w:t>
            </w:r>
          </w:p>
        </w:tc>
        <w:tc>
          <w:tcPr>
            <w:tcW w:w="5220" w:type="dxa"/>
            <w:vAlign w:val="top"/>
          </w:tcPr>
          <w:p>
            <w:pPr>
              <w:pStyle w:val="44"/>
              <w:spacing w:before="120" w:after="120"/>
              <w:ind w:right="92" w:rightChars="0"/>
              <w:textAlignment w:val="auto"/>
              <w:rPr>
                <w:rFonts w:hint="eastAsia"/>
                <w:szCs w:val="21"/>
                <w:highlight w:val="none"/>
              </w:rPr>
            </w:pPr>
            <w:r>
              <w:rPr>
                <w:rFonts w:hint="eastAsia"/>
                <w:b w:val="0"/>
                <w:bCs w:val="0"/>
                <w:caps w:val="0"/>
                <w:sz w:val="21"/>
                <w:szCs w:val="21"/>
                <w:highlight w:val="none"/>
              </w:rPr>
              <w:t>严格执行合同，同时做好廉洁自律工作，不会出现违规违法的不廉洁行为。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int="eastAsia"/>
                <w:szCs w:val="21"/>
                <w:highlight w:val="none"/>
              </w:rPr>
            </w:pPr>
            <w:r>
              <w:rPr>
                <w:szCs w:val="21"/>
                <w:highlight w:val="none"/>
              </w:rPr>
              <w:t>新增一般合同条款</w:t>
            </w:r>
            <w:r>
              <w:rPr>
                <w:rFonts w:hint="eastAsia"/>
                <w:szCs w:val="21"/>
                <w:highlight w:val="none"/>
              </w:rPr>
              <w:t>第</w:t>
            </w:r>
            <w:r>
              <w:rPr>
                <w:szCs w:val="21"/>
                <w:highlight w:val="none"/>
              </w:rPr>
              <w:t>1</w:t>
            </w:r>
            <w:r>
              <w:rPr>
                <w:rFonts w:hint="eastAsia"/>
                <w:szCs w:val="21"/>
                <w:highlight w:val="none"/>
              </w:rPr>
              <w:t>6</w:t>
            </w:r>
            <w:r>
              <w:rPr>
                <w:szCs w:val="21"/>
                <w:highlight w:val="none"/>
              </w:rPr>
              <w:t>.</w:t>
            </w:r>
            <w:r>
              <w:rPr>
                <w:rFonts w:hint="eastAsia"/>
                <w:szCs w:val="21"/>
                <w:highlight w:val="none"/>
              </w:rPr>
              <w:t>6款</w:t>
            </w:r>
          </w:p>
        </w:tc>
        <w:tc>
          <w:tcPr>
            <w:tcW w:w="5220" w:type="dxa"/>
            <w:vAlign w:val="top"/>
          </w:tcPr>
          <w:p>
            <w:pPr>
              <w:spacing w:before="120" w:after="120"/>
              <w:ind w:right="2" w:rightChars="0"/>
              <w:jc w:val="left"/>
              <w:textAlignment w:val="auto"/>
              <w:rPr>
                <w:rFonts w:hint="eastAsia"/>
                <w:szCs w:val="21"/>
                <w:highlight w:val="none"/>
              </w:rPr>
            </w:pPr>
            <w:r>
              <w:rPr>
                <w:rFonts w:hint="eastAsia"/>
                <w:szCs w:val="21"/>
                <w:highlight w:val="none"/>
              </w:rPr>
              <w:t>所有的违约处罚、质量不合格处罚等均从工程款中扣除。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szCs w:val="21"/>
                <w:highlight w:val="none"/>
              </w:rPr>
              <w:t>一般合同条款第</w:t>
            </w:r>
            <w:r>
              <w:rPr>
                <w:szCs w:val="21"/>
                <w:highlight w:val="none"/>
              </w:rPr>
              <w:t>17.1</w:t>
            </w:r>
            <w:r>
              <w:rPr>
                <w:rFonts w:hint="eastAsia"/>
                <w:szCs w:val="21"/>
                <w:highlight w:val="none"/>
              </w:rPr>
              <w:t>款</w:t>
            </w:r>
          </w:p>
        </w:tc>
        <w:tc>
          <w:tcPr>
            <w:tcW w:w="5220" w:type="dxa"/>
            <w:vAlign w:val="top"/>
          </w:tcPr>
          <w:p>
            <w:pPr>
              <w:tabs>
                <w:tab w:val="left" w:pos="3265"/>
              </w:tabs>
              <w:spacing w:before="120" w:after="120"/>
              <w:ind w:right="-72" w:rightChars="0"/>
              <w:jc w:val="left"/>
              <w:textAlignment w:val="auto"/>
              <w:rPr>
                <w:rFonts w:hint="eastAsia" w:ascii="宋体" w:hAnsi="宋体" w:cs="Arial"/>
                <w:szCs w:val="21"/>
                <w:highlight w:val="none"/>
              </w:rPr>
            </w:pPr>
            <w:r>
              <w:rPr>
                <w:rFonts w:hint="eastAsia"/>
                <w:szCs w:val="21"/>
                <w:highlight w:val="none"/>
              </w:rPr>
              <w:t>承包商应在规定的</w:t>
            </w:r>
            <w:r>
              <w:rPr>
                <w:rFonts w:hint="eastAsia" w:ascii="宋体" w:hAnsi="宋体"/>
                <w:szCs w:val="21"/>
                <w:highlight w:val="none"/>
              </w:rPr>
              <w:t>开工日开始按其提交并经业主和项目监理批准更新过的进度计划进行施工，并在预计竣工日前完成本工程。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rFonts w:hAnsi="宋体"/>
                <w:szCs w:val="21"/>
                <w:highlight w:val="none"/>
              </w:rPr>
              <w:t>一般合同条款</w:t>
            </w:r>
            <w:r>
              <w:rPr>
                <w:rFonts w:hint="eastAsia" w:hAnsi="宋体"/>
                <w:szCs w:val="21"/>
                <w:highlight w:val="none"/>
              </w:rPr>
              <w:t>第17.2</w:t>
            </w:r>
            <w:r>
              <w:rPr>
                <w:rFonts w:hint="eastAsia"/>
                <w:szCs w:val="21"/>
                <w:highlight w:val="none"/>
              </w:rPr>
              <w:t>款</w:t>
            </w:r>
          </w:p>
        </w:tc>
        <w:tc>
          <w:tcPr>
            <w:tcW w:w="5220" w:type="dxa"/>
          </w:tcPr>
          <w:p>
            <w:pPr>
              <w:spacing w:before="120" w:after="120"/>
              <w:ind w:right="-72"/>
              <w:rPr>
                <w:rFonts w:ascii="宋体" w:hAnsi="宋体" w:cs="Arial"/>
                <w:szCs w:val="21"/>
                <w:highlight w:val="none"/>
              </w:rPr>
            </w:pPr>
            <w:r>
              <w:rPr>
                <w:rFonts w:hint="eastAsia" w:ascii="宋体" w:hAnsi="宋体" w:cs="Arial"/>
                <w:szCs w:val="21"/>
                <w:highlight w:val="none"/>
              </w:rPr>
              <w:t>环境-社会-健康-安全实施计划</w:t>
            </w:r>
          </w:p>
          <w:p>
            <w:pPr>
              <w:spacing w:before="120" w:after="120"/>
              <w:ind w:right="-72"/>
              <w:rPr>
                <w:rFonts w:ascii="宋体" w:hAnsi="宋体" w:cs="Arial"/>
                <w:szCs w:val="21"/>
                <w:highlight w:val="none"/>
              </w:rPr>
            </w:pPr>
            <w:r>
              <w:rPr>
                <w:rFonts w:hint="eastAsia" w:ascii="宋体" w:hAnsi="宋体" w:cs="Arial"/>
                <w:szCs w:val="21"/>
                <w:highlight w:val="none"/>
              </w:rPr>
              <w:t>增加以下第</w:t>
            </w:r>
            <w:r>
              <w:rPr>
                <w:rFonts w:hint="eastAsia" w:hAnsi="宋体"/>
                <w:szCs w:val="21"/>
                <w:highlight w:val="none"/>
              </w:rPr>
              <w:t>17.2</w:t>
            </w:r>
            <w:r>
              <w:rPr>
                <w:rFonts w:hint="eastAsia"/>
                <w:szCs w:val="21"/>
                <w:highlight w:val="none"/>
              </w:rPr>
              <w:t>款：</w:t>
            </w:r>
          </w:p>
          <w:p>
            <w:pPr>
              <w:spacing w:before="120" w:after="120"/>
              <w:ind w:right="-72"/>
              <w:jc w:val="left"/>
              <w:textAlignment w:val="auto"/>
              <w:rPr>
                <w:rFonts w:cs="Arial"/>
                <w:szCs w:val="21"/>
                <w:highlight w:val="none"/>
              </w:rPr>
            </w:pPr>
            <w:r>
              <w:rPr>
                <w:rFonts w:hint="eastAsia" w:ascii="宋体" w:hAnsi="宋体" w:cs="Arial"/>
                <w:szCs w:val="21"/>
                <w:highlight w:val="none"/>
              </w:rPr>
              <w:t>17</w:t>
            </w:r>
            <w:r>
              <w:rPr>
                <w:rFonts w:ascii="宋体" w:hAnsi="宋体" w:cs="Arial"/>
                <w:szCs w:val="21"/>
                <w:highlight w:val="none"/>
              </w:rPr>
              <w:t xml:space="preserve">.2 </w:t>
            </w:r>
            <w:r>
              <w:rPr>
                <w:rFonts w:hint="eastAsia" w:ascii="宋体" w:hAnsi="宋体" w:cs="Arial"/>
                <w:szCs w:val="21"/>
                <w:highlight w:val="none"/>
              </w:rPr>
              <w:t>承包商不允许开始任何现场工作包括进场和/或施工准备工作（例如运料道路清场、入场道路、营地建设、取土场/石料场等土工勘探），除非监理认为承包商防范环境-社会-健康-安全风险与影响的措施已经到位。作为最低要求，承包商应实施环境-社会-健康-安全管理策略和实施计划以及环境-社会-健康-安全行为准则。这些管理策略和实施计划以及行为准则是承包商投标文件的一部分，在签订合同时也成为合同的一部分。在合同执行期间承包商应根据现场情况随时向监理报批补充的环境-社会-健康-安全管理策略和实施计划以有效管控相关的风险和影响。所有这些实施计划构成承包商的环境-社会管理计划（C-</w:t>
            </w:r>
            <w:r>
              <w:rPr>
                <w:rFonts w:ascii="宋体" w:hAnsi="宋体" w:cs="Arial"/>
                <w:szCs w:val="21"/>
                <w:highlight w:val="none"/>
              </w:rPr>
              <w:t>ESMP）</w:t>
            </w:r>
            <w:r>
              <w:rPr>
                <w:rFonts w:hint="eastAsia" w:ascii="宋体" w:hAnsi="宋体" w:cs="Arial"/>
                <w:szCs w:val="21"/>
                <w:highlight w:val="none"/>
              </w:rPr>
              <w:t>。承包商的环境-社会管理计划应在施工（例如开挖、土方工程、桥梁与结构工程、河道和道路改线、石料厂和取土场作业、混凝土拌合、沥青生产）开始前获得批准。承包商应随时（至少每6个月一次）评估和更新环境-社会管理计划以确保其包含与施工相关的风险防范措施。更新的环境-社会管理计划应获得监理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18.5</w:t>
            </w:r>
            <w:r>
              <w:rPr>
                <w:rFonts w:hint="eastAsia"/>
                <w:szCs w:val="21"/>
                <w:highlight w:val="none"/>
              </w:rPr>
              <w:t>款</w:t>
            </w:r>
          </w:p>
        </w:tc>
        <w:tc>
          <w:tcPr>
            <w:tcW w:w="5220" w:type="dxa"/>
            <w:vAlign w:val="top"/>
          </w:tcPr>
          <w:p>
            <w:pPr>
              <w:spacing w:before="120" w:after="120"/>
              <w:ind w:right="-72" w:rightChars="0"/>
              <w:jc w:val="left"/>
              <w:textAlignment w:val="auto"/>
              <w:rPr>
                <w:rFonts w:hint="eastAsia" w:cs="Arial"/>
                <w:szCs w:val="21"/>
                <w:highlight w:val="none"/>
              </w:rPr>
            </w:pPr>
            <w:r>
              <w:rPr>
                <w:rFonts w:hint="eastAsia" w:ascii="宋体" w:hAnsi="宋体"/>
                <w:szCs w:val="21"/>
                <w:highlight w:val="none"/>
              </w:rPr>
              <w:t>承包商为临时工程所设计的全部图纸，在使用前应获得业主、设计和项目监理等单位的批准。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21.1</w:t>
            </w:r>
            <w:r>
              <w:rPr>
                <w:rFonts w:hint="eastAsia"/>
                <w:szCs w:val="21"/>
              </w:rPr>
              <w:t>款</w:t>
            </w:r>
          </w:p>
        </w:tc>
        <w:tc>
          <w:tcPr>
            <w:tcW w:w="5220" w:type="dxa"/>
          </w:tcPr>
          <w:p>
            <w:pPr>
              <w:spacing w:before="120" w:after="120"/>
              <w:ind w:right="-72"/>
              <w:jc w:val="left"/>
              <w:textAlignment w:val="auto"/>
              <w:rPr>
                <w:rFonts w:cs="Arial"/>
                <w:szCs w:val="21"/>
              </w:rPr>
            </w:pPr>
            <w:r>
              <w:rPr>
                <w:rFonts w:hint="eastAsia" w:cs="Arial"/>
                <w:szCs w:val="21"/>
              </w:rPr>
              <w:t>现场提供的地点为：</w:t>
            </w:r>
          </w:p>
          <w:p>
            <w:pPr>
              <w:spacing w:before="120" w:after="120"/>
              <w:ind w:right="-72"/>
              <w:jc w:val="left"/>
              <w:textAlignment w:val="auto"/>
              <w:rPr>
                <w:i/>
                <w:szCs w:val="21"/>
              </w:rPr>
            </w:pPr>
            <w:r>
              <w:rPr>
                <w:rFonts w:hint="eastAsia" w:cs="Arial"/>
                <w:szCs w:val="21"/>
              </w:rPr>
              <w:t>时间为：</w:t>
            </w:r>
            <w:r>
              <w:rPr>
                <w:rFonts w:hint="eastAsia" w:ascii="宋体" w:hAnsi="宋体" w:cs="Arial"/>
                <w:szCs w:val="21"/>
              </w:rPr>
              <w:t>签订合同后</w:t>
            </w:r>
            <w:r>
              <w:rPr>
                <w:rFonts w:ascii="宋体" w:hAnsi="宋体" w:cs="Arial"/>
                <w:szCs w:val="21"/>
              </w:rPr>
              <w:t>28</w:t>
            </w:r>
            <w:r>
              <w:rPr>
                <w:rFonts w:hint="eastAsia" w:ascii="宋体" w:hAnsi="宋体" w:cs="Arial"/>
                <w:szCs w:val="21"/>
              </w:rPr>
              <w:t>日内开始提供</w:t>
            </w:r>
            <w:r>
              <w:rPr>
                <w:rFonts w:hint="eastAsia" w:ascii="宋体" w:hAnsi="宋体"/>
                <w:szCs w:val="21"/>
              </w:rPr>
              <w:t>承包商应允许业主和项目监理及业主授权的任何人进入现场和与实施本合同有关的任何地点。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24.1</w:t>
            </w:r>
            <w:r>
              <w:rPr>
                <w:rFonts w:hint="eastAsia"/>
                <w:szCs w:val="21"/>
              </w:rPr>
              <w:t>款</w:t>
            </w:r>
            <w:r>
              <w:rPr>
                <w:szCs w:val="21"/>
              </w:rPr>
              <w:t>和</w:t>
            </w:r>
            <w:r>
              <w:rPr>
                <w:rFonts w:hint="eastAsia"/>
                <w:szCs w:val="21"/>
              </w:rPr>
              <w:t>第</w:t>
            </w:r>
            <w:r>
              <w:rPr>
                <w:szCs w:val="21"/>
              </w:rPr>
              <w:t>24.2</w:t>
            </w:r>
            <w:r>
              <w:rPr>
                <w:rFonts w:hint="eastAsia"/>
                <w:szCs w:val="21"/>
              </w:rPr>
              <w:t>款</w:t>
            </w:r>
          </w:p>
        </w:tc>
        <w:tc>
          <w:tcPr>
            <w:tcW w:w="5220" w:type="dxa"/>
            <w:vAlign w:val="top"/>
          </w:tcPr>
          <w:p>
            <w:pPr>
              <w:spacing w:before="120" w:after="120"/>
              <w:ind w:right="-72" w:rightChars="0"/>
              <w:jc w:val="left"/>
              <w:textAlignment w:val="auto"/>
              <w:rPr>
                <w:i/>
                <w:szCs w:val="21"/>
              </w:rPr>
            </w:pPr>
            <w:r>
              <w:rPr>
                <w:rFonts w:hint="eastAsia" w:cs="Arial"/>
                <w:szCs w:val="21"/>
              </w:rPr>
              <w:t>调解员指派机构名称：</w:t>
            </w:r>
            <w:r>
              <w:rPr>
                <w:rFonts w:hint="eastAsia"/>
                <w:color w:val="000000"/>
                <w:szCs w:val="21"/>
              </w:rPr>
              <w:t>焦作仲裁委员会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25.3</w:t>
            </w:r>
            <w:r>
              <w:rPr>
                <w:rFonts w:hint="eastAsia"/>
                <w:szCs w:val="21"/>
              </w:rPr>
              <w:t>款</w:t>
            </w:r>
          </w:p>
        </w:tc>
        <w:tc>
          <w:tcPr>
            <w:tcW w:w="5220" w:type="dxa"/>
            <w:vAlign w:val="top"/>
          </w:tcPr>
          <w:p>
            <w:pPr>
              <w:spacing w:before="120" w:after="120"/>
              <w:ind w:right="-72" w:rightChars="0"/>
              <w:jc w:val="left"/>
              <w:textAlignment w:val="auto"/>
              <w:rPr>
                <w:rFonts w:hint="default" w:eastAsia="宋体"/>
                <w:szCs w:val="21"/>
                <w:lang w:val="en-US" w:eastAsia="zh-CN"/>
              </w:rPr>
            </w:pPr>
            <w:r>
              <w:rPr>
                <w:rFonts w:hint="eastAsia" w:cs="Arial"/>
                <w:szCs w:val="21"/>
              </w:rPr>
              <w:t>调解员小时工资及可报销费用类别：160/小时</w:t>
            </w:r>
            <w:r>
              <w:rPr>
                <w:rFonts w:hint="eastAsia" w:cs="Arial"/>
                <w:szCs w:val="21"/>
                <w:lang w:eastAsia="zh-CN"/>
              </w:rPr>
              <w:t>，</w:t>
            </w:r>
            <w:r>
              <w:rPr>
                <w:rFonts w:hint="eastAsia" w:cs="Arial"/>
                <w:szCs w:val="21"/>
                <w:lang w:val="en-US" w:eastAsia="zh-CN"/>
              </w:rPr>
              <w:t>可以报销差旅费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25.4</w:t>
            </w:r>
            <w:r>
              <w:rPr>
                <w:rFonts w:hint="eastAsia"/>
                <w:szCs w:val="21"/>
              </w:rPr>
              <w:t>款</w:t>
            </w:r>
          </w:p>
        </w:tc>
        <w:tc>
          <w:tcPr>
            <w:tcW w:w="5220" w:type="dxa"/>
            <w:vAlign w:val="top"/>
          </w:tcPr>
          <w:p>
            <w:pPr>
              <w:spacing w:before="120" w:after="120"/>
              <w:ind w:right="86" w:rightChars="0"/>
              <w:jc w:val="left"/>
              <w:textAlignment w:val="auto"/>
              <w:rPr>
                <w:rFonts w:ascii="宋体" w:hAnsi="宋体"/>
                <w:i/>
                <w:szCs w:val="21"/>
              </w:rPr>
            </w:pPr>
            <w:r>
              <w:rPr>
                <w:rFonts w:hint="eastAsia" w:ascii="宋体" w:hAnsi="宋体"/>
                <w:szCs w:val="21"/>
              </w:rPr>
              <w:t>双方同意的仲裁机构为：焦作仲裁委员会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2" w:type="dxa"/>
            <w:gridSpan w:val="2"/>
          </w:tcPr>
          <w:p>
            <w:pPr>
              <w:spacing w:before="120" w:after="120"/>
              <w:ind w:right="-72"/>
              <w:jc w:val="center"/>
              <w:textAlignment w:val="auto"/>
              <w:rPr>
                <w:b/>
                <w:bCs/>
                <w:szCs w:val="21"/>
              </w:rPr>
            </w:pPr>
            <w:r>
              <w:rPr>
                <w:rFonts w:hint="eastAsia"/>
                <w:b/>
                <w:bCs/>
                <w:szCs w:val="21"/>
              </w:rPr>
              <w:t>第二节　</w:t>
            </w:r>
            <w:r>
              <w:rPr>
                <w:b/>
                <w:bCs/>
                <w:szCs w:val="21"/>
              </w:rPr>
              <w:t>工期</w:t>
            </w:r>
            <w:r>
              <w:rPr>
                <w:rFonts w:hint="eastAsia"/>
                <w:b/>
                <w:bCs/>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szCs w:val="21"/>
                <w:highlight w:val="none"/>
              </w:rPr>
              <w:t>一般合同条款</w:t>
            </w:r>
            <w:r>
              <w:rPr>
                <w:rFonts w:hint="eastAsia"/>
                <w:szCs w:val="21"/>
                <w:highlight w:val="none"/>
              </w:rPr>
              <w:t>第</w:t>
            </w:r>
            <w:r>
              <w:rPr>
                <w:szCs w:val="21"/>
                <w:highlight w:val="none"/>
              </w:rPr>
              <w:t>26.1</w:t>
            </w:r>
            <w:r>
              <w:rPr>
                <w:rFonts w:hint="eastAsia"/>
                <w:szCs w:val="21"/>
                <w:highlight w:val="none"/>
              </w:rPr>
              <w:t>款</w:t>
            </w:r>
          </w:p>
        </w:tc>
        <w:tc>
          <w:tcPr>
            <w:tcW w:w="5220" w:type="dxa"/>
          </w:tcPr>
          <w:p>
            <w:pPr>
              <w:spacing w:before="120" w:after="120"/>
              <w:ind w:right="92"/>
              <w:jc w:val="left"/>
              <w:textAlignment w:val="auto"/>
              <w:rPr>
                <w:szCs w:val="21"/>
                <w:highlight w:val="none"/>
              </w:rPr>
            </w:pPr>
            <w:r>
              <w:rPr>
                <w:rFonts w:hint="eastAsia" w:hAnsi="宋体"/>
                <w:szCs w:val="21"/>
                <w:highlight w:val="none"/>
              </w:rPr>
              <w:t>承包人应在收到中标通知后</w:t>
            </w:r>
            <w:r>
              <w:rPr>
                <w:rFonts w:hAnsi="宋体"/>
                <w:szCs w:val="21"/>
                <w:highlight w:val="none"/>
              </w:rPr>
              <w:t>28</w:t>
            </w:r>
            <w:r>
              <w:rPr>
                <w:rFonts w:hint="eastAsia" w:hAnsi="宋体"/>
                <w:szCs w:val="21"/>
                <w:highlight w:val="none"/>
              </w:rPr>
              <w:t>天内向项目业主提交一份进度计划以供审核。</w:t>
            </w:r>
            <w:r>
              <w:rPr>
                <w:rFonts w:hint="eastAsia"/>
                <w:szCs w:val="21"/>
                <w:highlight w:val="none"/>
              </w:rPr>
              <w:t>在</w:t>
            </w:r>
            <w:r>
              <w:rPr>
                <w:rFonts w:hint="eastAsia"/>
                <w:b/>
                <w:szCs w:val="21"/>
                <w:highlight w:val="none"/>
              </w:rPr>
              <w:t>特殊合同条款</w:t>
            </w:r>
            <w:r>
              <w:rPr>
                <w:rFonts w:hint="eastAsia"/>
                <w:szCs w:val="21"/>
                <w:highlight w:val="none"/>
              </w:rPr>
              <w:t>中规定的时间内或在收到中标通知后，承包商应以业主和项目监理认可的格式向其提交一份详细的施工组织设计</w:t>
            </w:r>
            <w:r>
              <w:rPr>
                <w:rFonts w:hint="eastAsia" w:ascii="宋体" w:hAnsi="宋体"/>
                <w:szCs w:val="21"/>
                <w:highlight w:val="none"/>
              </w:rPr>
              <w:t>以供其审批。该施工组织设计应详细描述承包商就实施工程的所有施工作业所作出的总体施工方案、施工安排、施工工序、作业时间和进度计划。在总价合同中，该施工组织设计所列的施工作业应与单项工程价单的内容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rFonts w:hAnsi="宋体"/>
                <w:szCs w:val="21"/>
                <w:highlight w:val="none"/>
              </w:rPr>
              <w:t>一般合同条款</w:t>
            </w:r>
            <w:r>
              <w:rPr>
                <w:rFonts w:hint="eastAsia" w:hAnsi="宋体"/>
                <w:szCs w:val="21"/>
                <w:highlight w:val="none"/>
              </w:rPr>
              <w:t>第</w:t>
            </w:r>
            <w:r>
              <w:rPr>
                <w:szCs w:val="21"/>
                <w:highlight w:val="none"/>
              </w:rPr>
              <w:t>26.</w:t>
            </w:r>
            <w:r>
              <w:rPr>
                <w:rFonts w:hint="eastAsia"/>
                <w:szCs w:val="21"/>
                <w:highlight w:val="none"/>
              </w:rPr>
              <w:t>2款</w:t>
            </w:r>
          </w:p>
        </w:tc>
        <w:tc>
          <w:tcPr>
            <w:tcW w:w="5220" w:type="dxa"/>
          </w:tcPr>
          <w:p>
            <w:pPr>
              <w:spacing w:before="120" w:after="120"/>
              <w:ind w:right="92"/>
              <w:rPr>
                <w:rFonts w:ascii="宋体" w:hAnsi="宋体" w:cs="Arial"/>
                <w:szCs w:val="21"/>
                <w:highlight w:val="none"/>
              </w:rPr>
            </w:pPr>
            <w:r>
              <w:rPr>
                <w:rFonts w:hint="eastAsia" w:ascii="宋体" w:hAnsi="宋体" w:cs="Arial"/>
                <w:szCs w:val="21"/>
                <w:highlight w:val="none"/>
              </w:rPr>
              <w:t>环境-社会-健康-安全报告</w:t>
            </w:r>
          </w:p>
          <w:p>
            <w:pPr>
              <w:spacing w:before="120" w:after="120"/>
              <w:ind w:right="92"/>
              <w:rPr>
                <w:rFonts w:ascii="宋体" w:hAnsi="宋体" w:cs="Arial"/>
                <w:szCs w:val="21"/>
                <w:highlight w:val="none"/>
              </w:rPr>
            </w:pPr>
            <w:r>
              <w:rPr>
                <w:rFonts w:hint="eastAsia" w:ascii="宋体" w:hAnsi="宋体" w:cs="Arial"/>
                <w:szCs w:val="21"/>
                <w:highlight w:val="none"/>
              </w:rPr>
              <w:t>在一般合同条款第26.2款结尾增加以下内容：</w:t>
            </w:r>
          </w:p>
          <w:p>
            <w:pPr>
              <w:spacing w:before="120" w:after="120"/>
              <w:ind w:right="92"/>
              <w:rPr>
                <w:rFonts w:ascii="宋体" w:hAnsi="宋体" w:cs="Arial"/>
                <w:szCs w:val="21"/>
                <w:highlight w:val="none"/>
              </w:rPr>
            </w:pPr>
            <w:r>
              <w:rPr>
                <w:rFonts w:hint="eastAsia" w:ascii="宋体" w:hAnsi="宋体" w:cs="Arial"/>
                <w:szCs w:val="21"/>
                <w:highlight w:val="none"/>
              </w:rPr>
              <w:t>除进度报告外，承包商应提交环境-社会-健康-安全报告（要求见一般合同条款附件B）。此外，承包商还应在与监理商定的时间内及时向监理报告以下的事故的详细情况：</w:t>
            </w:r>
          </w:p>
          <w:p>
            <w:pPr>
              <w:spacing w:before="120" w:after="120"/>
              <w:ind w:right="92"/>
              <w:rPr>
                <w:rFonts w:ascii="宋体" w:hAnsi="宋体" w:cs="Arial"/>
                <w:szCs w:val="21"/>
                <w:highlight w:val="none"/>
              </w:rPr>
            </w:pPr>
            <w:r>
              <w:rPr>
                <w:rFonts w:hint="eastAsia" w:ascii="宋体" w:hAnsi="宋体" w:cs="Arial"/>
                <w:szCs w:val="21"/>
                <w:highlight w:val="none"/>
              </w:rPr>
              <w:t>(a)已经确认的或可能的违反法律或国际条约的行为</w:t>
            </w:r>
          </w:p>
          <w:p>
            <w:pPr>
              <w:spacing w:before="120" w:after="120"/>
              <w:ind w:right="92"/>
              <w:rPr>
                <w:rFonts w:ascii="宋体" w:hAnsi="宋体" w:cs="Arial"/>
                <w:szCs w:val="21"/>
                <w:highlight w:val="none"/>
              </w:rPr>
            </w:pPr>
            <w:r>
              <w:rPr>
                <w:rFonts w:ascii="宋体" w:hAnsi="宋体" w:cs="Arial"/>
                <w:szCs w:val="21"/>
                <w:highlight w:val="none"/>
              </w:rPr>
              <w:t>(b)</w:t>
            </w:r>
            <w:r>
              <w:rPr>
                <w:rFonts w:hint="eastAsia" w:ascii="宋体" w:hAnsi="宋体" w:cs="Arial"/>
                <w:szCs w:val="21"/>
                <w:highlight w:val="none"/>
              </w:rPr>
              <w:t>人员死亡或严重伤残事件</w:t>
            </w:r>
          </w:p>
          <w:p>
            <w:pPr>
              <w:spacing w:before="120" w:after="120"/>
              <w:ind w:right="92"/>
              <w:rPr>
                <w:rFonts w:ascii="宋体" w:hAnsi="宋体" w:cs="Arial"/>
                <w:szCs w:val="21"/>
                <w:highlight w:val="none"/>
              </w:rPr>
            </w:pPr>
            <w:r>
              <w:rPr>
                <w:rFonts w:ascii="宋体" w:hAnsi="宋体" w:cs="Arial"/>
                <w:szCs w:val="21"/>
                <w:highlight w:val="none"/>
              </w:rPr>
              <w:t>(c)</w:t>
            </w:r>
            <w:r>
              <w:rPr>
                <w:rFonts w:hint="eastAsia" w:ascii="宋体" w:hAnsi="宋体" w:cs="Arial"/>
                <w:szCs w:val="21"/>
                <w:highlight w:val="none"/>
              </w:rPr>
              <w:t>对个人财产造成的严重损失（例如交通事故、采石造成的财产损失、越界施工）</w:t>
            </w:r>
          </w:p>
          <w:p>
            <w:pPr>
              <w:spacing w:before="120" w:after="120"/>
              <w:ind w:right="92"/>
              <w:rPr>
                <w:rFonts w:ascii="宋体" w:hAnsi="宋体" w:cs="Arial"/>
                <w:szCs w:val="21"/>
                <w:highlight w:val="none"/>
              </w:rPr>
            </w:pPr>
            <w:r>
              <w:rPr>
                <w:rFonts w:ascii="宋体" w:hAnsi="宋体" w:cs="Arial"/>
                <w:szCs w:val="21"/>
                <w:highlight w:val="none"/>
              </w:rPr>
              <w:t>(d)</w:t>
            </w:r>
            <w:r>
              <w:rPr>
                <w:rFonts w:hint="eastAsia" w:ascii="宋体" w:hAnsi="宋体" w:cs="Arial"/>
                <w:szCs w:val="21"/>
                <w:highlight w:val="none"/>
              </w:rPr>
              <w:t>严重的饮用水污染、对珍稀频危物种或其栖息地（含保护区）的严重破坏</w:t>
            </w:r>
          </w:p>
          <w:p>
            <w:pPr>
              <w:spacing w:before="120" w:after="120"/>
              <w:ind w:right="92"/>
              <w:jc w:val="left"/>
              <w:textAlignment w:val="auto"/>
              <w:rPr>
                <w:szCs w:val="21"/>
                <w:highlight w:val="none"/>
              </w:rPr>
            </w:pPr>
            <w:r>
              <w:rPr>
                <w:rFonts w:ascii="宋体" w:hAnsi="宋体" w:cs="Arial"/>
                <w:szCs w:val="21"/>
                <w:highlight w:val="none"/>
              </w:rPr>
              <w:t xml:space="preserve">(e) </w:t>
            </w:r>
            <w:r>
              <w:rPr>
                <w:rFonts w:hint="eastAsia" w:ascii="宋体" w:hAnsi="宋体" w:cs="Arial"/>
                <w:szCs w:val="21"/>
                <w:highlight w:val="none"/>
              </w:rPr>
              <w:t>性骚扰、虐待儿童、亵渎、其它针对儿童的暴力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26.3</w:t>
            </w:r>
            <w:r>
              <w:rPr>
                <w:rFonts w:hint="eastAsia"/>
                <w:szCs w:val="21"/>
              </w:rPr>
              <w:t>款</w:t>
            </w:r>
          </w:p>
        </w:tc>
        <w:tc>
          <w:tcPr>
            <w:tcW w:w="5220" w:type="dxa"/>
          </w:tcPr>
          <w:p>
            <w:pPr>
              <w:spacing w:before="120" w:after="120"/>
              <w:ind w:right="92"/>
              <w:jc w:val="left"/>
              <w:textAlignment w:val="auto"/>
              <w:rPr>
                <w:szCs w:val="21"/>
              </w:rPr>
            </w:pPr>
            <w:r>
              <w:rPr>
                <w:szCs w:val="21"/>
              </w:rPr>
              <w:t>进度计划更新的周期为</w:t>
            </w:r>
            <w:r>
              <w:rPr>
                <w:rFonts w:hint="eastAsia"/>
                <w:szCs w:val="21"/>
              </w:rPr>
              <w:t>28</w:t>
            </w:r>
            <w:r>
              <w:rPr>
                <w:szCs w:val="21"/>
              </w:rPr>
              <w:t>天。</w:t>
            </w:r>
          </w:p>
          <w:p>
            <w:pPr>
              <w:spacing w:before="120" w:after="120"/>
              <w:ind w:right="92"/>
              <w:jc w:val="left"/>
              <w:textAlignment w:val="auto"/>
              <w:rPr>
                <w:szCs w:val="21"/>
              </w:rPr>
            </w:pPr>
            <w:r>
              <w:rPr>
                <w:szCs w:val="21"/>
              </w:rPr>
              <w:t>迟交更新的进度计划应扣留的金额为</w:t>
            </w:r>
            <w:r>
              <w:rPr>
                <w:rFonts w:hint="eastAsia"/>
                <w:szCs w:val="21"/>
              </w:rPr>
              <w:t>人民币10000</w:t>
            </w:r>
            <w:r>
              <w:rPr>
                <w:szCs w:val="21"/>
              </w:rPr>
              <w:t>元。</w:t>
            </w:r>
            <w:r>
              <w:rPr>
                <w:rFonts w:hint="eastAsia" w:ascii="宋体" w:hAnsi="宋体"/>
                <w:szCs w:val="21"/>
              </w:rPr>
              <w:t>在</w:t>
            </w:r>
            <w:r>
              <w:rPr>
                <w:rFonts w:hint="eastAsia" w:ascii="宋体" w:hAnsi="宋体"/>
                <w:b/>
                <w:szCs w:val="21"/>
              </w:rPr>
              <w:t>特殊合同条款</w:t>
            </w:r>
            <w:r>
              <w:rPr>
                <w:rFonts w:hint="eastAsia" w:ascii="宋体" w:hAnsi="宋体"/>
                <w:szCs w:val="21"/>
              </w:rPr>
              <w:t>规定的间隔周期内，承包商应定期向</w:t>
            </w:r>
            <w:r>
              <w:rPr>
                <w:rFonts w:hint="eastAsia"/>
                <w:szCs w:val="21"/>
              </w:rPr>
              <w:t>业主和项目监理</w:t>
            </w:r>
            <w:r>
              <w:rPr>
                <w:rFonts w:hint="eastAsia" w:ascii="宋体" w:hAnsi="宋体"/>
                <w:szCs w:val="21"/>
              </w:rPr>
              <w:t>提交更新的进度计划以供其审批。如果承包商未能在该期限内提交更新的进度计划，项目监理可在下一期的支付证书中扣留</w:t>
            </w:r>
            <w:r>
              <w:rPr>
                <w:rFonts w:hint="eastAsia" w:ascii="宋体" w:hAnsi="宋体"/>
                <w:b/>
                <w:szCs w:val="21"/>
              </w:rPr>
              <w:t>特殊合同条款</w:t>
            </w:r>
            <w:r>
              <w:rPr>
                <w:rFonts w:hint="eastAsia" w:ascii="宋体" w:hAnsi="宋体"/>
                <w:szCs w:val="21"/>
              </w:rPr>
              <w:t>中规定的款项。项目监理可在承包商提交该进度计划后的下一期支付证书中停止扣留此款项。在总价合同中，承包商应在接到项目监理的指令后十四（</w:t>
            </w:r>
            <w:r>
              <w:rPr>
                <w:szCs w:val="21"/>
              </w:rPr>
              <w:t>14</w:t>
            </w:r>
            <w:r>
              <w:rPr>
                <w:rFonts w:hint="eastAsia"/>
                <w:szCs w:val="21"/>
              </w:rPr>
              <w:t>）</w:t>
            </w:r>
            <w:r>
              <w:rPr>
                <w:rFonts w:hint="eastAsia" w:ascii="宋体" w:hAnsi="宋体"/>
                <w:szCs w:val="21"/>
              </w:rPr>
              <w:t>天内提供更新的单项工程价单。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27.1</w:t>
            </w:r>
            <w:r>
              <w:rPr>
                <w:rFonts w:hint="eastAsia"/>
                <w:szCs w:val="21"/>
                <w:highlight w:val="none"/>
              </w:rPr>
              <w:t>款</w:t>
            </w:r>
          </w:p>
        </w:tc>
        <w:tc>
          <w:tcPr>
            <w:tcW w:w="5220" w:type="dxa"/>
            <w:vAlign w:val="top"/>
          </w:tcPr>
          <w:p>
            <w:pPr>
              <w:spacing w:before="120" w:after="120"/>
              <w:ind w:right="92" w:rightChars="0"/>
              <w:jc w:val="left"/>
              <w:textAlignment w:val="auto"/>
              <w:rPr>
                <w:szCs w:val="21"/>
                <w:highlight w:val="none"/>
              </w:rPr>
            </w:pPr>
            <w:r>
              <w:rPr>
                <w:rFonts w:hint="eastAsia"/>
                <w:szCs w:val="21"/>
                <w:highlight w:val="none"/>
              </w:rPr>
              <w:t>如果发生了补偿事件或收到了变更指示，承包商在不采取措施加快剩余工程进度</w:t>
            </w:r>
            <w:r>
              <w:rPr>
                <w:rFonts w:hint="eastAsia" w:ascii="宋体" w:hAnsi="宋体"/>
                <w:szCs w:val="21"/>
                <w:highlight w:val="none"/>
              </w:rPr>
              <w:t>的情况下无法在预计竣工日前完成工程，而加快进度又会使其增加成本，则项目监理</w:t>
            </w:r>
            <w:r>
              <w:rPr>
                <w:rFonts w:hint="eastAsia"/>
                <w:highlight w:val="none"/>
              </w:rPr>
              <w:t>经业主同意或批准后</w:t>
            </w:r>
            <w:r>
              <w:rPr>
                <w:rFonts w:hint="eastAsia" w:ascii="宋体" w:hAnsi="宋体"/>
                <w:szCs w:val="21"/>
                <w:highlight w:val="none"/>
              </w:rPr>
              <w:t>顺延预计竣工日。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29.1</w:t>
            </w:r>
            <w:r>
              <w:rPr>
                <w:rFonts w:hint="eastAsia"/>
                <w:szCs w:val="21"/>
                <w:highlight w:val="none"/>
              </w:rPr>
              <w:t>款</w:t>
            </w:r>
          </w:p>
        </w:tc>
        <w:tc>
          <w:tcPr>
            <w:tcW w:w="5220" w:type="dxa"/>
            <w:vAlign w:val="top"/>
          </w:tcPr>
          <w:p>
            <w:pPr>
              <w:spacing w:before="120" w:after="120"/>
              <w:ind w:right="92" w:rightChars="0"/>
              <w:jc w:val="left"/>
              <w:textAlignment w:val="auto"/>
              <w:rPr>
                <w:szCs w:val="21"/>
                <w:highlight w:val="none"/>
              </w:rPr>
            </w:pPr>
            <w:r>
              <w:rPr>
                <w:rFonts w:hint="eastAsia" w:ascii="宋体" w:hAnsi="宋体"/>
                <w:szCs w:val="21"/>
                <w:highlight w:val="none"/>
              </w:rPr>
              <w:t>项目监理</w:t>
            </w:r>
            <w:r>
              <w:rPr>
                <w:rFonts w:hint="eastAsia"/>
                <w:highlight w:val="none"/>
              </w:rPr>
              <w:t>经业主同意或批准后</w:t>
            </w:r>
            <w:r>
              <w:rPr>
                <w:rFonts w:hint="eastAsia" w:ascii="宋体" w:hAnsi="宋体"/>
                <w:szCs w:val="21"/>
                <w:highlight w:val="none"/>
              </w:rPr>
              <w:t>指示承包商延缓已开始工程的任一施工作业或放慢其进度。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31.2</w:t>
            </w:r>
            <w:r>
              <w:rPr>
                <w:rFonts w:hint="eastAsia"/>
                <w:szCs w:val="21"/>
                <w:highlight w:val="none"/>
              </w:rPr>
              <w:t>款</w:t>
            </w:r>
          </w:p>
        </w:tc>
        <w:tc>
          <w:tcPr>
            <w:tcW w:w="5220" w:type="dxa"/>
            <w:vAlign w:val="top"/>
          </w:tcPr>
          <w:p>
            <w:pPr>
              <w:suppressAutoHyphens/>
              <w:overflowPunct w:val="0"/>
              <w:autoSpaceDE w:val="0"/>
              <w:autoSpaceDN w:val="0"/>
              <w:spacing w:before="120" w:after="120"/>
              <w:ind w:firstLine="420" w:firstLineChars="200"/>
              <w:rPr>
                <w:szCs w:val="21"/>
                <w:highlight w:val="none"/>
              </w:rPr>
            </w:pPr>
            <w:r>
              <w:rPr>
                <w:rFonts w:hint="eastAsia" w:ascii="宋体" w:hAnsi="宋体"/>
                <w:szCs w:val="21"/>
                <w:highlight w:val="none"/>
              </w:rPr>
              <w:t>在项目监理</w:t>
            </w:r>
            <w:r>
              <w:rPr>
                <w:rFonts w:hint="eastAsia"/>
                <w:highlight w:val="none"/>
              </w:rPr>
              <w:t>经业主同意或批准后</w:t>
            </w:r>
            <w:r>
              <w:rPr>
                <w:rFonts w:hint="eastAsia" w:ascii="宋体" w:hAnsi="宋体"/>
                <w:szCs w:val="21"/>
                <w:highlight w:val="none"/>
              </w:rPr>
              <w:t>和考虑让参与工程实施的各方采取措施来避免和减轻上述事件或情形所造成影响的方案时，承包商应予以配合，并执行项目监理据此发出的指示。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2" w:type="dxa"/>
            <w:gridSpan w:val="2"/>
          </w:tcPr>
          <w:p>
            <w:pPr>
              <w:spacing w:before="120" w:after="120"/>
              <w:ind w:right="-72"/>
              <w:jc w:val="left"/>
              <w:textAlignment w:val="auto"/>
              <w:rPr>
                <w:szCs w:val="21"/>
              </w:rPr>
            </w:pPr>
            <w:r>
              <w:rPr>
                <w:rFonts w:hint="eastAsia"/>
                <w:szCs w:val="21"/>
              </w:rPr>
              <w:t>第三节　</w:t>
            </w:r>
            <w:r>
              <w:rPr>
                <w:szCs w:val="21"/>
              </w:rPr>
              <w:t>质量</w:t>
            </w:r>
            <w:r>
              <w:rPr>
                <w:rFonts w:hint="eastAsia"/>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32.1</w:t>
            </w:r>
            <w:r>
              <w:rPr>
                <w:rFonts w:hint="eastAsia"/>
                <w:szCs w:val="21"/>
                <w:highlight w:val="none"/>
              </w:rPr>
              <w:t>款</w:t>
            </w:r>
          </w:p>
        </w:tc>
        <w:tc>
          <w:tcPr>
            <w:tcW w:w="5220" w:type="dxa"/>
            <w:vAlign w:val="top"/>
          </w:tcPr>
          <w:p>
            <w:pPr>
              <w:spacing w:before="120" w:after="120"/>
              <w:ind w:right="92" w:rightChars="0"/>
              <w:jc w:val="left"/>
              <w:textAlignment w:val="auto"/>
              <w:rPr>
                <w:rFonts w:hint="eastAsia" w:ascii="宋体" w:hAnsi="宋体" w:cs="Arial"/>
                <w:i/>
                <w:iCs/>
                <w:szCs w:val="21"/>
                <w:highlight w:val="none"/>
              </w:rPr>
            </w:pPr>
            <w:r>
              <w:rPr>
                <w:rFonts w:hint="eastAsia" w:ascii="宋体" w:hAnsi="宋体"/>
                <w:szCs w:val="21"/>
                <w:highlight w:val="none"/>
              </w:rPr>
              <w:t>项目监理应检查承包商的工作，并将其发现的缺陷通知承包商。项目监理所做的检查不影响承包商的责任。项目监理可指示承包商查找某项缺陷，或</w:t>
            </w:r>
            <w:r>
              <w:rPr>
                <w:rFonts w:hint="eastAsia"/>
                <w:highlight w:val="none"/>
              </w:rPr>
              <w:t>经业主同意或批准后</w:t>
            </w:r>
            <w:r>
              <w:rPr>
                <w:rFonts w:hint="eastAsia" w:ascii="宋体" w:hAnsi="宋体"/>
                <w:szCs w:val="21"/>
                <w:highlight w:val="none"/>
              </w:rPr>
              <w:t>项目监理认为可能有缺陷的任何工程部分进行剥露或试验。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34.1</w:t>
            </w:r>
            <w:r>
              <w:rPr>
                <w:rFonts w:hint="eastAsia"/>
                <w:szCs w:val="21"/>
              </w:rPr>
              <w:t>款</w:t>
            </w:r>
          </w:p>
        </w:tc>
        <w:tc>
          <w:tcPr>
            <w:tcW w:w="5220" w:type="dxa"/>
          </w:tcPr>
          <w:p>
            <w:pPr>
              <w:spacing w:before="120" w:after="120"/>
              <w:ind w:right="92"/>
              <w:jc w:val="left"/>
              <w:textAlignment w:val="auto"/>
              <w:rPr>
                <w:rFonts w:ascii="宋体" w:hAnsi="宋体"/>
                <w:szCs w:val="21"/>
              </w:rPr>
            </w:pPr>
            <w:r>
              <w:rPr>
                <w:rFonts w:hint="eastAsia" w:hAnsi="宋体"/>
                <w:szCs w:val="21"/>
              </w:rPr>
              <w:t>缺陷责任期为</w:t>
            </w:r>
            <w:r>
              <w:rPr>
                <w:rFonts w:hAnsi="宋体"/>
                <w:szCs w:val="21"/>
              </w:rPr>
              <w:t>24</w:t>
            </w:r>
            <w:r>
              <w:rPr>
                <w:rFonts w:hint="eastAsia" w:hAnsi="宋体"/>
                <w:szCs w:val="21"/>
              </w:rPr>
              <w:t>个月。</w:t>
            </w:r>
            <w:r>
              <w:rPr>
                <w:rFonts w:hint="eastAsia" w:ascii="宋体" w:hAnsi="宋体"/>
                <w:szCs w:val="21"/>
              </w:rPr>
              <w:t>在</w:t>
            </w:r>
            <w:r>
              <w:rPr>
                <w:rFonts w:hint="eastAsia" w:ascii="宋体" w:hAnsi="宋体"/>
                <w:b/>
                <w:szCs w:val="21"/>
              </w:rPr>
              <w:t>合同条款</w:t>
            </w:r>
            <w:r>
              <w:rPr>
                <w:rFonts w:hint="eastAsia" w:ascii="宋体" w:hAnsi="宋体"/>
                <w:szCs w:val="21"/>
              </w:rPr>
              <w:t>中规定的、自竣工日起开始计算的缺陷责任期结束之前，项目监理应</w:t>
            </w:r>
            <w:r>
              <w:rPr>
                <w:rFonts w:hint="eastAsia"/>
              </w:rPr>
              <w:t>经业主同意或批准后</w:t>
            </w:r>
            <w:r>
              <w:rPr>
                <w:rFonts w:hint="eastAsia" w:ascii="宋体" w:hAnsi="宋体"/>
                <w:szCs w:val="21"/>
              </w:rPr>
              <w:t>存在的任何缺陷向承包商发出通知。缺陷责任期应延长至完成缺陷修复为止。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2" w:type="dxa"/>
            <w:gridSpan w:val="2"/>
          </w:tcPr>
          <w:p>
            <w:pPr>
              <w:spacing w:before="120" w:after="120"/>
              <w:ind w:right="-72"/>
              <w:jc w:val="center"/>
              <w:textAlignment w:val="auto"/>
              <w:rPr>
                <w:b/>
                <w:bCs/>
                <w:szCs w:val="21"/>
              </w:rPr>
            </w:pPr>
            <w:r>
              <w:rPr>
                <w:rFonts w:hint="eastAsia"/>
                <w:b/>
                <w:bCs/>
                <w:szCs w:val="21"/>
              </w:rPr>
              <w:t>第四节　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Ansi="宋体"/>
                <w:szCs w:val="21"/>
                <w:highlight w:val="none"/>
              </w:rPr>
            </w:pPr>
            <w:r>
              <w:rPr>
                <w:rFonts w:hint="eastAsia" w:hAnsi="宋体"/>
                <w:szCs w:val="21"/>
                <w:highlight w:val="none"/>
              </w:rPr>
              <w:t>一般合同条款第</w:t>
            </w:r>
            <w:r>
              <w:rPr>
                <w:szCs w:val="21"/>
                <w:highlight w:val="none"/>
              </w:rPr>
              <w:t>37.1(1)</w:t>
            </w:r>
            <w:r>
              <w:rPr>
                <w:rFonts w:hint="eastAsia"/>
                <w:szCs w:val="21"/>
                <w:highlight w:val="none"/>
              </w:rPr>
              <w:t>款</w:t>
            </w:r>
          </w:p>
        </w:tc>
        <w:tc>
          <w:tcPr>
            <w:tcW w:w="5220" w:type="dxa"/>
            <w:vAlign w:val="top"/>
          </w:tcPr>
          <w:p>
            <w:pPr>
              <w:spacing w:before="120" w:after="120"/>
              <w:ind w:right="2" w:rightChars="0"/>
              <w:jc w:val="left"/>
              <w:textAlignment w:val="auto"/>
              <w:rPr>
                <w:rFonts w:hint="eastAsia" w:hAnsi="宋体"/>
                <w:szCs w:val="21"/>
                <w:highlight w:val="none"/>
              </w:rPr>
            </w:pPr>
            <w:r>
              <w:rPr>
                <w:rFonts w:hint="eastAsia" w:ascii="宋体" w:hAnsi="宋体"/>
                <w:color w:val="000000"/>
                <w:szCs w:val="21"/>
                <w:highlight w:val="none"/>
              </w:rPr>
              <w:t>如果工程量清单中任一细目的最终完成工程量与工程量清单中所标工程量存在百分之二十五</w:t>
            </w:r>
            <w:r>
              <w:rPr>
                <w:rFonts w:ascii="宋体" w:hAnsi="宋体"/>
                <w:color w:val="000000"/>
                <w:szCs w:val="21"/>
                <w:highlight w:val="none"/>
              </w:rPr>
              <w:t>(</w:t>
            </w:r>
            <w:r>
              <w:rPr>
                <w:szCs w:val="21"/>
                <w:highlight w:val="none"/>
              </w:rPr>
              <w:t>25</w:t>
            </w:r>
            <w:r>
              <w:rPr>
                <w:rFonts w:hint="eastAsia" w:ascii="宋体" w:hAnsi="宋体"/>
                <w:color w:val="000000"/>
                <w:szCs w:val="21"/>
                <w:highlight w:val="none"/>
              </w:rPr>
              <w:t>％</w:t>
            </w:r>
            <w:r>
              <w:rPr>
                <w:rFonts w:ascii="宋体" w:hAnsi="宋体"/>
                <w:color w:val="000000"/>
                <w:szCs w:val="21"/>
                <w:highlight w:val="none"/>
              </w:rPr>
              <w:t>)</w:t>
            </w:r>
            <w:r>
              <w:rPr>
                <w:rFonts w:hint="eastAsia" w:ascii="宋体" w:hAnsi="宋体"/>
                <w:color w:val="000000"/>
                <w:szCs w:val="21"/>
                <w:highlight w:val="none"/>
              </w:rPr>
              <w:t>以上的差异，并且该差异将导致中标合同额产生百分之一</w:t>
            </w:r>
            <w:r>
              <w:rPr>
                <w:rFonts w:ascii="宋体" w:hAnsi="宋体"/>
                <w:color w:val="000000"/>
                <w:szCs w:val="21"/>
                <w:highlight w:val="none"/>
              </w:rPr>
              <w:t>(</w:t>
            </w:r>
            <w:r>
              <w:rPr>
                <w:szCs w:val="21"/>
                <w:highlight w:val="none"/>
              </w:rPr>
              <w:t>1</w:t>
            </w:r>
            <w:r>
              <w:rPr>
                <w:rFonts w:hint="eastAsia" w:ascii="宋体" w:hAnsi="宋体"/>
                <w:color w:val="000000"/>
                <w:szCs w:val="21"/>
                <w:highlight w:val="none"/>
              </w:rPr>
              <w:t>％</w:t>
            </w:r>
            <w:r>
              <w:rPr>
                <w:rFonts w:ascii="宋体" w:hAnsi="宋体"/>
                <w:color w:val="000000"/>
                <w:szCs w:val="21"/>
                <w:highlight w:val="none"/>
              </w:rPr>
              <w:t>)</w:t>
            </w:r>
            <w:r>
              <w:rPr>
                <w:rFonts w:hint="eastAsia" w:ascii="宋体" w:hAnsi="宋体"/>
                <w:color w:val="000000"/>
                <w:szCs w:val="21"/>
                <w:highlight w:val="none"/>
              </w:rPr>
              <w:t>以上的变化，项目监理</w:t>
            </w:r>
            <w:r>
              <w:rPr>
                <w:rFonts w:hint="eastAsia"/>
                <w:highlight w:val="none"/>
              </w:rPr>
              <w:t>经业主同意或批准后</w:t>
            </w:r>
            <w:r>
              <w:rPr>
                <w:rFonts w:hint="eastAsia" w:ascii="宋体" w:hAnsi="宋体"/>
                <w:color w:val="000000"/>
                <w:szCs w:val="21"/>
                <w:highlight w:val="none"/>
              </w:rPr>
              <w:t>单价进行调整以适应这一变化。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rFonts w:hAnsi="宋体"/>
                <w:szCs w:val="21"/>
                <w:highlight w:val="none"/>
              </w:rPr>
              <w:t>一般合同条款</w:t>
            </w:r>
            <w:r>
              <w:rPr>
                <w:rFonts w:hint="eastAsia" w:hAnsi="宋体"/>
                <w:szCs w:val="21"/>
                <w:highlight w:val="none"/>
              </w:rPr>
              <w:t>第38.2</w:t>
            </w:r>
            <w:r>
              <w:rPr>
                <w:rFonts w:hint="eastAsia"/>
                <w:szCs w:val="21"/>
                <w:highlight w:val="none"/>
              </w:rPr>
              <w:t>款</w:t>
            </w:r>
          </w:p>
        </w:tc>
        <w:tc>
          <w:tcPr>
            <w:tcW w:w="5220" w:type="dxa"/>
          </w:tcPr>
          <w:p>
            <w:pPr>
              <w:spacing w:before="120" w:after="120"/>
              <w:ind w:right="2"/>
              <w:rPr>
                <w:rFonts w:hAnsi="宋体"/>
                <w:szCs w:val="21"/>
                <w:highlight w:val="none"/>
              </w:rPr>
            </w:pPr>
            <w:r>
              <w:rPr>
                <w:rFonts w:hint="eastAsia" w:hAnsi="宋体"/>
                <w:szCs w:val="21"/>
                <w:highlight w:val="none"/>
              </w:rPr>
              <w:t>在第一句结尾增加：</w:t>
            </w:r>
          </w:p>
          <w:p>
            <w:pPr>
              <w:spacing w:before="120" w:after="120"/>
              <w:ind w:right="2"/>
              <w:jc w:val="left"/>
              <w:textAlignment w:val="auto"/>
              <w:rPr>
                <w:szCs w:val="21"/>
                <w:highlight w:val="none"/>
              </w:rPr>
            </w:pPr>
            <w:r>
              <w:rPr>
                <w:rFonts w:hint="eastAsia" w:hAnsi="宋体"/>
                <w:szCs w:val="21"/>
                <w:highlight w:val="none"/>
              </w:rPr>
              <w:t>承包商还应说明与变更工程有关的任何可能的环境-社会-健康-安全风险与影响。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Ansi="宋体"/>
                <w:szCs w:val="21"/>
                <w:highlight w:val="none"/>
              </w:rPr>
            </w:pPr>
            <w:r>
              <w:rPr>
                <w:rFonts w:hint="eastAsia" w:hAnsi="宋体"/>
                <w:szCs w:val="21"/>
                <w:highlight w:val="none"/>
              </w:rPr>
              <w:t>一般合同条款第</w:t>
            </w:r>
            <w:r>
              <w:rPr>
                <w:szCs w:val="21"/>
                <w:highlight w:val="none"/>
              </w:rPr>
              <w:t>38.3</w:t>
            </w:r>
            <w:r>
              <w:rPr>
                <w:rFonts w:hint="eastAsia"/>
                <w:szCs w:val="21"/>
                <w:highlight w:val="none"/>
              </w:rPr>
              <w:t>款</w:t>
            </w:r>
          </w:p>
        </w:tc>
        <w:tc>
          <w:tcPr>
            <w:tcW w:w="5220" w:type="dxa"/>
            <w:vAlign w:val="top"/>
          </w:tcPr>
          <w:p>
            <w:pPr>
              <w:spacing w:before="120" w:after="120"/>
              <w:ind w:right="2" w:rightChars="0"/>
              <w:jc w:val="left"/>
              <w:textAlignment w:val="auto"/>
              <w:rPr>
                <w:rFonts w:hAnsi="宋体"/>
                <w:szCs w:val="21"/>
                <w:highlight w:val="none"/>
              </w:rPr>
            </w:pPr>
            <w:r>
              <w:rPr>
                <w:rFonts w:hint="eastAsia"/>
                <w:szCs w:val="21"/>
                <w:highlight w:val="none"/>
              </w:rPr>
              <w:t>如果承包商的报价不合理，项目监理可</w:t>
            </w:r>
            <w:r>
              <w:rPr>
                <w:rFonts w:hint="eastAsia"/>
                <w:highlight w:val="none"/>
              </w:rPr>
              <w:t>经业主同意或批准后</w:t>
            </w:r>
            <w:r>
              <w:rPr>
                <w:rFonts w:hint="eastAsia"/>
                <w:szCs w:val="21"/>
                <w:highlight w:val="none"/>
              </w:rPr>
              <w:t>变更指令，并根据其对变更将引起的承包商成本的变化作出的估算修改合同价。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Ansi="宋体"/>
                <w:szCs w:val="21"/>
                <w:highlight w:val="none"/>
              </w:rPr>
            </w:pPr>
            <w:r>
              <w:rPr>
                <w:rFonts w:hint="eastAsia" w:hAnsi="宋体"/>
                <w:szCs w:val="21"/>
                <w:highlight w:val="none"/>
              </w:rPr>
              <w:t>一般合同条款第</w:t>
            </w:r>
            <w:r>
              <w:rPr>
                <w:szCs w:val="21"/>
                <w:highlight w:val="none"/>
              </w:rPr>
              <w:t>38.4</w:t>
            </w:r>
            <w:r>
              <w:rPr>
                <w:rFonts w:hint="eastAsia"/>
                <w:szCs w:val="21"/>
                <w:highlight w:val="none"/>
              </w:rPr>
              <w:t>款</w:t>
            </w:r>
          </w:p>
        </w:tc>
        <w:tc>
          <w:tcPr>
            <w:tcW w:w="5220" w:type="dxa"/>
            <w:vAlign w:val="top"/>
          </w:tcPr>
          <w:p>
            <w:pPr>
              <w:spacing w:before="120" w:after="120"/>
              <w:ind w:right="2" w:rightChars="0"/>
              <w:jc w:val="left"/>
              <w:textAlignment w:val="auto"/>
              <w:rPr>
                <w:rFonts w:hAnsi="宋体"/>
                <w:szCs w:val="21"/>
                <w:highlight w:val="none"/>
              </w:rPr>
            </w:pPr>
            <w:r>
              <w:rPr>
                <w:rFonts w:hint="eastAsia"/>
                <w:szCs w:val="21"/>
                <w:highlight w:val="none"/>
              </w:rPr>
              <w:t>如果项目监理认为变更工作紧急而来不及报价，为避免造成延误，则此类变更无需报价，但应</w:t>
            </w:r>
            <w:r>
              <w:rPr>
                <w:rFonts w:hint="eastAsia"/>
                <w:highlight w:val="none"/>
              </w:rPr>
              <w:t>紧急报告业主并经业主同意后</w:t>
            </w:r>
            <w:r>
              <w:rPr>
                <w:rFonts w:hint="eastAsia"/>
                <w:szCs w:val="21"/>
                <w:highlight w:val="none"/>
              </w:rPr>
              <w:t>补偿事件处理。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rFonts w:hAnsi="宋体"/>
                <w:szCs w:val="21"/>
                <w:highlight w:val="none"/>
              </w:rPr>
              <w:t>一般合同条款</w:t>
            </w:r>
            <w:r>
              <w:rPr>
                <w:rFonts w:hint="eastAsia" w:hAnsi="宋体"/>
                <w:szCs w:val="21"/>
                <w:highlight w:val="none"/>
              </w:rPr>
              <w:t>第40</w:t>
            </w:r>
            <w:r>
              <w:rPr>
                <w:rFonts w:hint="eastAsia"/>
                <w:szCs w:val="21"/>
                <w:highlight w:val="none"/>
              </w:rPr>
              <w:t>款</w:t>
            </w:r>
          </w:p>
        </w:tc>
        <w:tc>
          <w:tcPr>
            <w:tcW w:w="5220" w:type="dxa"/>
          </w:tcPr>
          <w:p>
            <w:pPr>
              <w:spacing w:before="120" w:after="120"/>
              <w:ind w:right="2"/>
              <w:rPr>
                <w:rFonts w:hAnsi="宋体"/>
                <w:szCs w:val="21"/>
                <w:highlight w:val="none"/>
              </w:rPr>
            </w:pPr>
            <w:r>
              <w:rPr>
                <w:rFonts w:hint="eastAsia" w:hAnsi="宋体"/>
                <w:szCs w:val="21"/>
                <w:highlight w:val="none"/>
              </w:rPr>
              <w:t>增加第40.7款：</w:t>
            </w:r>
          </w:p>
          <w:p>
            <w:pPr>
              <w:spacing w:before="120" w:after="120"/>
              <w:ind w:right="2"/>
              <w:rPr>
                <w:rFonts w:hAnsi="宋体"/>
                <w:szCs w:val="21"/>
                <w:highlight w:val="none"/>
              </w:rPr>
            </w:pPr>
            <w:r>
              <w:rPr>
                <w:rFonts w:hint="eastAsia" w:hAnsi="宋体"/>
                <w:szCs w:val="21"/>
                <w:highlight w:val="none"/>
              </w:rPr>
              <w:t>如果承包商未履行与环境-社会-健康-安全相关的合同义务或完成相关的工程，则到承包商完全履行这些合同义务或完成这些工程之前相应的款项（具体金额由监理确定）不应支付给承包商。直到整改结束，与整改有关的费用（具体金额由监理确定）不应支付给承包商。承包商未履行与环境-社会-健康-安全相关的合同义务或完成相关的工程包括但不限于以下情况：</w:t>
            </w:r>
          </w:p>
          <w:p>
            <w:pPr>
              <w:spacing w:before="120" w:after="120"/>
              <w:ind w:right="2"/>
              <w:rPr>
                <w:rFonts w:hAnsi="宋体"/>
                <w:szCs w:val="21"/>
                <w:highlight w:val="none"/>
              </w:rPr>
            </w:pPr>
            <w:r>
              <w:rPr>
                <w:rFonts w:hAnsi="宋体"/>
                <w:szCs w:val="21"/>
                <w:highlight w:val="none"/>
              </w:rPr>
              <w:t>(i)</w:t>
            </w:r>
            <w:r>
              <w:rPr>
                <w:rFonts w:hint="eastAsia" w:hAnsi="宋体"/>
                <w:szCs w:val="21"/>
                <w:highlight w:val="none"/>
              </w:rPr>
              <w:t xml:space="preserve"> 未履行合同技术部分要求的与环境-社会-健康-安全相关的合同义务或完成相关的工程，例如越界施工、尘土过度、未能维护公共道路、对蔬菜作物的破坏、油或淤积物对水的污染、对考古或文化遗产的破坏、未经批准或不完全燃烧引起的空气污染；</w:t>
            </w:r>
          </w:p>
          <w:p>
            <w:pPr>
              <w:spacing w:before="120" w:after="120"/>
              <w:ind w:right="2"/>
              <w:rPr>
                <w:rFonts w:hAnsi="宋体"/>
                <w:szCs w:val="21"/>
                <w:highlight w:val="none"/>
              </w:rPr>
            </w:pPr>
            <w:r>
              <w:rPr>
                <w:rFonts w:hAnsi="宋体"/>
                <w:szCs w:val="21"/>
                <w:highlight w:val="none"/>
              </w:rPr>
              <w:t xml:space="preserve">(ii) </w:t>
            </w:r>
            <w:r>
              <w:rPr>
                <w:rFonts w:hint="eastAsia" w:hAnsi="宋体"/>
                <w:szCs w:val="21"/>
                <w:highlight w:val="none"/>
              </w:rPr>
              <w:t>未能定期评估并及时更新承包商的环境-社会管理计划以应对出现的环境-社会-健康-安全新问题或预计出现的新风险或影响；</w:t>
            </w:r>
          </w:p>
          <w:p>
            <w:pPr>
              <w:spacing w:before="120" w:after="120"/>
              <w:ind w:right="2"/>
              <w:rPr>
                <w:rFonts w:hAnsi="宋体"/>
                <w:szCs w:val="21"/>
                <w:highlight w:val="none"/>
              </w:rPr>
            </w:pPr>
            <w:r>
              <w:rPr>
                <w:rFonts w:hAnsi="宋体"/>
                <w:szCs w:val="21"/>
                <w:highlight w:val="none"/>
              </w:rPr>
              <w:t xml:space="preserve">(iii) </w:t>
            </w:r>
            <w:r>
              <w:rPr>
                <w:rFonts w:hint="eastAsia" w:hAnsi="宋体"/>
                <w:szCs w:val="21"/>
                <w:highlight w:val="none"/>
              </w:rPr>
              <w:t>未能实施承包商的环境-社会管理计划；</w:t>
            </w:r>
          </w:p>
          <w:p>
            <w:pPr>
              <w:spacing w:before="120" w:after="120"/>
              <w:ind w:right="2"/>
              <w:rPr>
                <w:rFonts w:hAnsi="宋体"/>
                <w:szCs w:val="21"/>
                <w:highlight w:val="none"/>
              </w:rPr>
            </w:pPr>
            <w:r>
              <w:rPr>
                <w:rFonts w:hAnsi="宋体"/>
                <w:szCs w:val="21"/>
                <w:highlight w:val="none"/>
              </w:rPr>
              <w:t xml:space="preserve">(iv) </w:t>
            </w:r>
            <w:r>
              <w:rPr>
                <w:rFonts w:hint="eastAsia" w:hAnsi="宋体"/>
                <w:szCs w:val="21"/>
                <w:highlight w:val="none"/>
              </w:rPr>
              <w:t>在施工开始前未能从相关部门获得许可；</w:t>
            </w:r>
          </w:p>
          <w:p>
            <w:pPr>
              <w:spacing w:before="120" w:after="120"/>
              <w:ind w:right="2"/>
              <w:rPr>
                <w:rFonts w:hAnsi="宋体"/>
                <w:szCs w:val="21"/>
                <w:highlight w:val="none"/>
              </w:rPr>
            </w:pPr>
            <w:r>
              <w:rPr>
                <w:rFonts w:hAnsi="宋体"/>
                <w:szCs w:val="21"/>
                <w:highlight w:val="none"/>
              </w:rPr>
              <w:t xml:space="preserve">(v) </w:t>
            </w:r>
            <w:r>
              <w:rPr>
                <w:rFonts w:hint="eastAsia" w:hAnsi="宋体"/>
                <w:szCs w:val="21"/>
                <w:highlight w:val="none"/>
              </w:rPr>
              <w:t>未能提交环境-社会-健康-安全报告（见一般合同条款附录），或未能及时提交此类报告；</w:t>
            </w:r>
          </w:p>
          <w:p>
            <w:pPr>
              <w:spacing w:before="120" w:after="120"/>
              <w:ind w:right="2"/>
              <w:jc w:val="left"/>
              <w:textAlignment w:val="auto"/>
              <w:rPr>
                <w:szCs w:val="21"/>
                <w:highlight w:val="none"/>
              </w:rPr>
            </w:pPr>
            <w:r>
              <w:rPr>
                <w:rFonts w:hAnsi="宋体"/>
                <w:szCs w:val="21"/>
                <w:highlight w:val="none"/>
              </w:rPr>
              <w:t xml:space="preserve">(vi) </w:t>
            </w:r>
            <w:r>
              <w:rPr>
                <w:rFonts w:hint="eastAsia" w:hAnsi="宋体"/>
                <w:szCs w:val="21"/>
                <w:highlight w:val="none"/>
              </w:rPr>
              <w:t>未能在规定时间内实施监理要求的补救措施（例如针对未遵守相关规定而应采取的补救措施）。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41.1</w:t>
            </w:r>
            <w:r>
              <w:rPr>
                <w:rFonts w:hint="eastAsia"/>
                <w:szCs w:val="21"/>
                <w:highlight w:val="none"/>
              </w:rPr>
              <w:t>款</w:t>
            </w:r>
          </w:p>
        </w:tc>
        <w:tc>
          <w:tcPr>
            <w:tcW w:w="5220" w:type="dxa"/>
            <w:vAlign w:val="top"/>
          </w:tcPr>
          <w:p>
            <w:pPr>
              <w:spacing w:before="120" w:after="120"/>
              <w:ind w:right="2" w:rightChars="0"/>
              <w:jc w:val="left"/>
              <w:textAlignment w:val="auto"/>
              <w:rPr>
                <w:rFonts w:hint="eastAsia"/>
                <w:i/>
                <w:szCs w:val="21"/>
                <w:highlight w:val="none"/>
                <w:lang w:val="fr-FR"/>
              </w:rPr>
            </w:pPr>
            <w:r>
              <w:rPr>
                <w:rFonts w:hint="eastAsia"/>
                <w:szCs w:val="21"/>
                <w:highlight w:val="none"/>
              </w:rPr>
              <w:t>支</w:t>
            </w:r>
            <w:r>
              <w:rPr>
                <w:rFonts w:hint="eastAsia" w:ascii="宋体" w:hAnsi="宋体"/>
                <w:szCs w:val="21"/>
                <w:highlight w:val="none"/>
              </w:rPr>
              <w:t>付应根据合同的规定扣还预付款、扣留保留金和扣除应支付给业主的款项。项目监理核发支付证书后，业主将在六十</w:t>
            </w:r>
            <w:r>
              <w:rPr>
                <w:rFonts w:hint="eastAsia"/>
                <w:szCs w:val="21"/>
                <w:highlight w:val="none"/>
              </w:rPr>
              <w:t>（</w:t>
            </w:r>
            <w:r>
              <w:rPr>
                <w:szCs w:val="21"/>
                <w:highlight w:val="none"/>
              </w:rPr>
              <w:t>60</w:t>
            </w:r>
            <w:r>
              <w:rPr>
                <w:rFonts w:hint="eastAsia"/>
                <w:szCs w:val="21"/>
                <w:highlight w:val="none"/>
              </w:rPr>
              <w:t>）天内将项目监理在每期支付证书中所签证的金额支付给承包商。如果业主延误支付，将在下期支付时向承包商就延误支付的部分加付延期支付利息。利息从该笔款项应付之日起算至该笔款项实际支付之日止，按日计算。利率按付款当时商业借款年利率除以</w:t>
            </w:r>
            <w:r>
              <w:rPr>
                <w:szCs w:val="21"/>
                <w:highlight w:val="none"/>
              </w:rPr>
              <w:t>365</w:t>
            </w:r>
            <w:r>
              <w:rPr>
                <w:rFonts w:hint="eastAsia"/>
                <w:szCs w:val="21"/>
                <w:highlight w:val="none"/>
              </w:rPr>
              <w:t>得出</w:t>
            </w:r>
            <w:r>
              <w:rPr>
                <w:rFonts w:hint="eastAsia" w:ascii="宋体" w:hAnsi="宋体"/>
                <w:szCs w:val="21"/>
                <w:highlight w:val="none"/>
              </w:rPr>
              <w:t>的日利率计算。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42.2</w:t>
            </w:r>
            <w:r>
              <w:rPr>
                <w:rFonts w:hint="eastAsia"/>
                <w:szCs w:val="21"/>
                <w:highlight w:val="none"/>
              </w:rPr>
              <w:t>款</w:t>
            </w:r>
          </w:p>
        </w:tc>
        <w:tc>
          <w:tcPr>
            <w:tcW w:w="5220" w:type="dxa"/>
            <w:vAlign w:val="top"/>
          </w:tcPr>
          <w:p>
            <w:pPr>
              <w:spacing w:before="120" w:after="120"/>
              <w:ind w:right="2" w:rightChars="0"/>
              <w:jc w:val="left"/>
              <w:textAlignment w:val="auto"/>
              <w:rPr>
                <w:rFonts w:hint="eastAsia"/>
                <w:i/>
                <w:szCs w:val="21"/>
                <w:highlight w:val="none"/>
                <w:lang w:val="fr-FR"/>
              </w:rPr>
            </w:pPr>
            <w:r>
              <w:rPr>
                <w:rFonts w:hint="eastAsia"/>
                <w:szCs w:val="21"/>
                <w:highlight w:val="none"/>
              </w:rPr>
              <w:t>如果补偿事件造成成本增加或使得工程无法在预计竣工日之前完成，则应增加合同价或顺延预计竣工日。项目监理应决定是否增加合同价和增加的数额，以及是否延长预计竣工日和延长的期限，上报业主，经业主同意后再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42.3</w:t>
            </w:r>
            <w:r>
              <w:rPr>
                <w:rFonts w:hint="eastAsia"/>
                <w:szCs w:val="21"/>
                <w:highlight w:val="none"/>
              </w:rPr>
              <w:t>款</w:t>
            </w:r>
          </w:p>
        </w:tc>
        <w:tc>
          <w:tcPr>
            <w:tcW w:w="5220" w:type="dxa"/>
            <w:vAlign w:val="top"/>
          </w:tcPr>
          <w:p>
            <w:pPr>
              <w:spacing w:before="120" w:after="120"/>
              <w:ind w:right="2" w:rightChars="0"/>
              <w:jc w:val="left"/>
              <w:textAlignment w:val="auto"/>
              <w:rPr>
                <w:rFonts w:hint="eastAsia"/>
                <w:i/>
                <w:szCs w:val="21"/>
                <w:highlight w:val="none"/>
                <w:lang w:val="fr-FR"/>
              </w:rPr>
            </w:pPr>
            <w:r>
              <w:rPr>
                <w:rFonts w:hint="eastAsia"/>
                <w:szCs w:val="21"/>
                <w:highlight w:val="none"/>
              </w:rPr>
              <w:t>一旦</w:t>
            </w:r>
            <w:r>
              <w:rPr>
                <w:rFonts w:hint="eastAsia" w:ascii="宋体" w:hAnsi="宋体"/>
                <w:szCs w:val="21"/>
                <w:highlight w:val="none"/>
              </w:rPr>
              <w:t>承包商提交了一个补偿事件对其成本预算所产生影响的资料和预测，项目监理应立即该资料进行审查，</w:t>
            </w:r>
            <w:r>
              <w:rPr>
                <w:rFonts w:hint="eastAsia"/>
                <w:szCs w:val="21"/>
                <w:highlight w:val="none"/>
              </w:rPr>
              <w:t>上报业主，经业主同意后</w:t>
            </w:r>
            <w:r>
              <w:rPr>
                <w:rFonts w:hint="eastAsia" w:ascii="宋体" w:hAnsi="宋体"/>
                <w:szCs w:val="21"/>
                <w:highlight w:val="none"/>
              </w:rPr>
              <w:t>对合同价作出相应的调整。如果认为承包商的成本预算不合理，</w:t>
            </w:r>
            <w:r>
              <w:rPr>
                <w:rFonts w:hint="eastAsia"/>
                <w:szCs w:val="21"/>
                <w:highlight w:val="none"/>
              </w:rPr>
              <w:t>上报业主，经业主同意后</w:t>
            </w:r>
            <w:r>
              <w:rPr>
                <w:rFonts w:hint="eastAsia" w:ascii="宋体" w:hAnsi="宋体"/>
                <w:szCs w:val="21"/>
                <w:highlight w:val="none"/>
              </w:rPr>
              <w:t>项目监理应根据自己对此作出的估算调整合同价格。项目监理应认为承包商对补偿事件能做出及时有效的反应。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46.1</w:t>
            </w:r>
            <w:r>
              <w:rPr>
                <w:rFonts w:hint="eastAsia"/>
                <w:szCs w:val="21"/>
              </w:rPr>
              <w:t>款</w:t>
            </w:r>
          </w:p>
        </w:tc>
        <w:tc>
          <w:tcPr>
            <w:tcW w:w="5220" w:type="dxa"/>
          </w:tcPr>
          <w:p>
            <w:pPr>
              <w:spacing w:before="120" w:after="120"/>
              <w:ind w:right="2"/>
              <w:jc w:val="left"/>
              <w:textAlignment w:val="auto"/>
              <w:rPr>
                <w:i/>
                <w:szCs w:val="21"/>
                <w:lang w:val="fr-FR"/>
              </w:rPr>
            </w:pPr>
            <w:r>
              <w:rPr>
                <w:szCs w:val="21"/>
              </w:rPr>
              <w:t>合同价</w:t>
            </w:r>
            <w:r>
              <w:rPr>
                <w:rFonts w:hint="eastAsia"/>
                <w:szCs w:val="21"/>
                <w:u w:val="single"/>
                <w:lang w:val="en-US" w:eastAsia="zh-CN"/>
              </w:rPr>
              <w:t>不可以</w:t>
            </w:r>
            <w:r>
              <w:rPr>
                <w:rFonts w:ascii="宋体" w:hAnsi="宋体"/>
                <w:szCs w:val="21"/>
              </w:rPr>
              <w:t>根据一般</w:t>
            </w:r>
            <w:r>
              <w:rPr>
                <w:szCs w:val="21"/>
              </w:rPr>
              <w:t>合同条款第 46.1条的规定进</w:t>
            </w:r>
            <w:r>
              <w:rPr>
                <w:rFonts w:ascii="宋体" w:hAnsi="宋体"/>
                <w:szCs w:val="21"/>
              </w:rPr>
              <w:t>行调整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47.1</w:t>
            </w:r>
            <w:r>
              <w:rPr>
                <w:rFonts w:hint="eastAsia"/>
                <w:szCs w:val="21"/>
              </w:rPr>
              <w:t>款</w:t>
            </w:r>
          </w:p>
        </w:tc>
        <w:tc>
          <w:tcPr>
            <w:tcW w:w="5220" w:type="dxa"/>
          </w:tcPr>
          <w:p>
            <w:pPr>
              <w:spacing w:before="120" w:after="120"/>
              <w:ind w:right="2"/>
              <w:rPr>
                <w:rFonts w:hAnsi="宋体"/>
                <w:szCs w:val="21"/>
              </w:rPr>
            </w:pPr>
            <w:r>
              <mc:AlternateContent>
                <mc:Choice Requires="wps">
                  <w:drawing>
                    <wp:anchor distT="0" distB="0" distL="0" distR="0" simplePos="0" relativeHeight="251801600" behindDoc="1" locked="0" layoutInCell="0" allowOverlap="1">
                      <wp:simplePos x="0" y="0"/>
                      <wp:positionH relativeFrom="margin">
                        <wp:posOffset>1261110</wp:posOffset>
                      </wp:positionH>
                      <wp:positionV relativeFrom="page">
                        <wp:posOffset>914400</wp:posOffset>
                      </wp:positionV>
                      <wp:extent cx="4224655" cy="6350"/>
                      <wp:effectExtent l="0" t="0" r="0" b="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pt;margin-top:72pt;height:0.5pt;width:332.65pt;mso-position-horizontal-relative:margin;mso-position-vertical-relative:page;z-index:-251514880;mso-width-relative:page;mso-height-relative:page;" fillcolor="#000000" filled="t" stroked="f" coordsize="21600,21600" o:allowincell="f" o:gfxdata="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z5ndkAAAALAQAADwAAAAAAAAABACAAAAAiAAAAZHJzL2Rv&#10;d25yZXYueG1sUEsBAhQAFAAAAAgAh07iQIz2BxcAAgAA2AMAAA4AAAAAAAAAAQAgAAAAKAEAAGRy&#10;cy9lMm9Eb2MueG1sUEsFBgAAAAAGAAYAWQEAAJoFAAAAAA==&#10;">
                      <v:fill on="t" focussize="0,0"/>
                      <v:stroke on="f"/>
                      <v:imagedata o:title=""/>
                      <o:lock v:ext="edit" aspectratio="f"/>
                    </v:rect>
                  </w:pict>
                </mc:Fallback>
              </mc:AlternateContent>
            </w:r>
            <w:r>
              <w:rPr>
                <w:rFonts w:hint="eastAsia" w:hAnsi="宋体"/>
                <w:szCs w:val="21"/>
              </w:rPr>
              <w:t>保留金比例：</w:t>
            </w:r>
            <w:r>
              <w:rPr>
                <w:rFonts w:hAnsi="宋体"/>
                <w:szCs w:val="21"/>
              </w:rPr>
              <w:t>10%</w:t>
            </w:r>
          </w:p>
          <w:p>
            <w:pPr>
              <w:spacing w:before="120" w:after="120"/>
              <w:ind w:right="2"/>
              <w:jc w:val="left"/>
              <w:textAlignment w:val="auto"/>
              <w:rPr>
                <w:i/>
                <w:szCs w:val="21"/>
              </w:rPr>
            </w:pPr>
            <w:r>
              <w:rPr>
                <w:szCs w:val="21"/>
              </w:rPr>
              <w:t>保留金限额为合同价的：</w:t>
            </w:r>
            <w:r>
              <w:rPr>
                <w:rFonts w:hint="eastAsia"/>
                <w:i/>
                <w:szCs w:val="21"/>
              </w:rPr>
              <w:t>5</w:t>
            </w:r>
            <w:r>
              <w:rPr>
                <w:iCs/>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szCs w:val="21"/>
                <w:highlight w:val="none"/>
              </w:rPr>
              <w:t>一般合同条款48.1</w:t>
            </w:r>
            <w:r>
              <w:rPr>
                <w:rFonts w:hint="eastAsia"/>
                <w:szCs w:val="21"/>
                <w:highlight w:val="none"/>
              </w:rPr>
              <w:t>款</w:t>
            </w:r>
          </w:p>
        </w:tc>
        <w:tc>
          <w:tcPr>
            <w:tcW w:w="5220" w:type="dxa"/>
          </w:tcPr>
          <w:p>
            <w:pPr>
              <w:spacing w:before="120" w:after="120"/>
              <w:ind w:right="2"/>
              <w:jc w:val="left"/>
              <w:textAlignment w:val="auto"/>
              <w:rPr>
                <w:szCs w:val="21"/>
                <w:highlight w:val="none"/>
              </w:rPr>
            </w:pPr>
            <w:r>
              <w:rPr>
                <w:szCs w:val="21"/>
                <w:highlight w:val="none"/>
              </w:rPr>
              <w:t>全部工程的误期赔偿费为：</w:t>
            </w:r>
            <w:r>
              <w:rPr>
                <w:rFonts w:hint="eastAsia" w:hAnsi="宋体" w:cs="宋体"/>
                <w:highlight w:val="none"/>
              </w:rPr>
              <w:t>合同价0.</w:t>
            </w:r>
            <w:r>
              <w:rPr>
                <w:rFonts w:hint="eastAsia" w:hAnsi="宋体"/>
                <w:highlight w:val="none"/>
                <w:lang w:val="en-US" w:eastAsia="zh-CN"/>
              </w:rPr>
              <w:t>1</w:t>
            </w:r>
            <w:r>
              <w:rPr>
                <w:rFonts w:hAnsi="宋体"/>
                <w:highlight w:val="none"/>
              </w:rPr>
              <w:t>%</w:t>
            </w:r>
            <w:r>
              <w:rPr>
                <w:rFonts w:hint="eastAsia" w:hAnsi="宋体" w:cs="宋体"/>
                <w:highlight w:val="none"/>
              </w:rPr>
              <w:t>每天。最高赔偿额为最终合同价的</w:t>
            </w:r>
            <w:r>
              <w:rPr>
                <w:rFonts w:hint="eastAsia" w:hAnsi="宋体"/>
                <w:highlight w:val="none"/>
                <w:lang w:val="en-US" w:eastAsia="zh-CN"/>
              </w:rPr>
              <w:t>10</w:t>
            </w:r>
            <w:r>
              <w:rPr>
                <w:rFonts w:hAnsi="宋体"/>
                <w:highlight w:val="none"/>
              </w:rPr>
              <w:t>%</w:t>
            </w:r>
            <w:r>
              <w:rPr>
                <w:rFonts w:hint="eastAsia" w:cs="Arial"/>
                <w:i/>
                <w:iCs/>
                <w:szCs w:val="21"/>
                <w:highlight w:val="none"/>
              </w:rPr>
              <w:t>。</w:t>
            </w:r>
          </w:p>
          <w:p>
            <w:pPr>
              <w:spacing w:before="120" w:after="120"/>
              <w:ind w:right="2"/>
              <w:jc w:val="left"/>
              <w:textAlignment w:val="auto"/>
              <w:rPr>
                <w:szCs w:val="21"/>
                <w:highlight w:val="none"/>
              </w:rPr>
            </w:pPr>
            <w:r>
              <w:rPr>
                <w:rFonts w:hint="eastAsia"/>
                <w:i/>
                <w:szCs w:val="21"/>
                <w:highlight w:val="none"/>
              </w:rPr>
              <w:t>（</w:t>
            </w:r>
            <w:r>
              <w:rPr>
                <w:i/>
                <w:szCs w:val="21"/>
                <w:highlight w:val="none"/>
              </w:rPr>
              <w:t>通常来说，误期赔偿的比例为0.05％至0.10％之间，总赔偿额不超过合同价的5％－10％。如有分部完工工程且双方已议定分部工程的赔偿金额，则应在此列出</w:t>
            </w:r>
            <w:r>
              <w:rPr>
                <w:rFonts w:hint="eastAsia"/>
                <w:i/>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50.1</w:t>
            </w:r>
            <w:r>
              <w:rPr>
                <w:rFonts w:hint="eastAsia"/>
                <w:szCs w:val="21"/>
              </w:rPr>
              <w:t>款</w:t>
            </w:r>
          </w:p>
        </w:tc>
        <w:tc>
          <w:tcPr>
            <w:tcW w:w="5220" w:type="dxa"/>
          </w:tcPr>
          <w:p>
            <w:pPr>
              <w:spacing w:before="120" w:after="120"/>
              <w:ind w:right="2"/>
              <w:jc w:val="left"/>
              <w:textAlignment w:val="auto"/>
              <w:rPr>
                <w:szCs w:val="21"/>
              </w:rPr>
            </w:pPr>
            <w:r>
              <w:rPr>
                <w:szCs w:val="21"/>
              </w:rPr>
              <w:t>预付款为：</w:t>
            </w:r>
            <w:r>
              <w:rPr>
                <w:rFonts w:hint="eastAsia"/>
                <w:szCs w:val="21"/>
              </w:rPr>
              <w:t>预付款为合同价格的10%，预付款在合同签定后、且承包人提供了等额的预付款保函和合同的履约保函后28天内支付。</w:t>
            </w:r>
          </w:p>
          <w:p>
            <w:pPr>
              <w:spacing w:before="120" w:after="120"/>
              <w:ind w:right="2"/>
              <w:jc w:val="left"/>
              <w:textAlignment w:val="auto"/>
              <w:rPr>
                <w:szCs w:val="21"/>
              </w:rPr>
            </w:pPr>
            <w:r>
              <w:rPr>
                <w:rFonts w:hint="eastAsia"/>
                <w:szCs w:val="21"/>
              </w:rPr>
              <w:t>出具无条件保函的银行须为：由中国工商银行、中国农业银行、中国银行、中国建设银行、中原银行、中信银行、交通银行出具。</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rFonts w:hAnsi="宋体"/>
                <w:szCs w:val="21"/>
                <w:highlight w:val="none"/>
              </w:rPr>
            </w:pPr>
            <w:r>
              <w:rPr>
                <w:szCs w:val="21"/>
                <w:highlight w:val="none"/>
              </w:rPr>
              <w:t xml:space="preserve">一般合同条款第 </w:t>
            </w:r>
            <w:r>
              <w:rPr>
                <w:rFonts w:hint="eastAsia"/>
                <w:szCs w:val="21"/>
                <w:highlight w:val="none"/>
                <w:lang w:val="en-US" w:eastAsia="zh-CN"/>
              </w:rPr>
              <w:t>50</w:t>
            </w:r>
            <w:r>
              <w:rPr>
                <w:szCs w:val="21"/>
                <w:highlight w:val="none"/>
              </w:rPr>
              <w:t>.3 款</w:t>
            </w:r>
          </w:p>
        </w:tc>
        <w:tc>
          <w:tcPr>
            <w:tcW w:w="5220" w:type="dxa"/>
            <w:vAlign w:val="top"/>
          </w:tcPr>
          <w:p>
            <w:pPr>
              <w:spacing w:before="120" w:after="120"/>
              <w:ind w:right="2"/>
              <w:rPr>
                <w:rFonts w:hAnsi="宋体"/>
                <w:szCs w:val="21"/>
                <w:highlight w:val="none"/>
              </w:rPr>
            </w:pPr>
            <w:r>
              <w:rPr>
                <w:rFonts w:hint="eastAsia" w:hAnsi="宋体"/>
                <w:szCs w:val="21"/>
                <w:highlight w:val="none"/>
              </w:rPr>
              <w:t>付款将按如下方式扣回：</w:t>
            </w:r>
          </w:p>
          <w:p>
            <w:pPr>
              <w:spacing w:before="120" w:after="120"/>
              <w:ind w:right="2"/>
              <w:rPr>
                <w:rFonts w:ascii="宋体" w:cs="宋体"/>
                <w:szCs w:val="21"/>
                <w:highlight w:val="none"/>
              </w:rPr>
            </w:pPr>
            <w:r>
              <w:rPr>
                <w:rFonts w:hint="eastAsia"/>
                <w:szCs w:val="21"/>
                <w:highlight w:val="none"/>
              </w:rPr>
              <w:t>每次中间支付扣回的比例不低于预付款总额的</w:t>
            </w:r>
            <w:r>
              <w:rPr>
                <w:szCs w:val="21"/>
                <w:highlight w:val="none"/>
              </w:rPr>
              <w:t>10%</w:t>
            </w:r>
            <w:r>
              <w:rPr>
                <w:rFonts w:hint="eastAsia"/>
                <w:szCs w:val="21"/>
                <w:highlight w:val="none"/>
              </w:rPr>
              <w:t>，并满足一下节点的要求。</w:t>
            </w:r>
          </w:p>
          <w:tbl>
            <w:tblPr>
              <w:tblStyle w:val="62"/>
              <w:tblW w:w="48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60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38" w:type="dxa"/>
                  <w:tcBorders>
                    <w:top w:val="single" w:color="auto" w:sz="4" w:space="0"/>
                    <w:left w:val="single" w:color="auto" w:sz="4" w:space="0"/>
                    <w:bottom w:val="single" w:color="auto" w:sz="4" w:space="0"/>
                    <w:right w:val="single" w:color="auto" w:sz="4" w:space="0"/>
                  </w:tcBorders>
                  <w:vAlign w:val="center"/>
                </w:tcPr>
                <w:p>
                  <w:pPr>
                    <w:spacing w:before="120" w:after="120"/>
                    <w:ind w:right="2"/>
                    <w:jc w:val="center"/>
                    <w:rPr>
                      <w:rFonts w:ascii="宋体"/>
                      <w:szCs w:val="21"/>
                      <w:highlight w:val="none"/>
                    </w:rPr>
                  </w:pPr>
                  <w:r>
                    <w:rPr>
                      <w:rFonts w:hint="eastAsia" w:ascii="宋体" w:hAnsi="宋体"/>
                      <w:szCs w:val="21"/>
                      <w:highlight w:val="none"/>
                    </w:rPr>
                    <w:t>已完成工程百分比</w:t>
                  </w:r>
                </w:p>
                <w:p>
                  <w:pPr>
                    <w:spacing w:before="120" w:after="120"/>
                    <w:ind w:right="2"/>
                    <w:jc w:val="center"/>
                    <w:rPr>
                      <w:rFonts w:ascii="宋体"/>
                      <w:szCs w:val="21"/>
                      <w:highlight w:val="none"/>
                    </w:rPr>
                  </w:pPr>
                  <w:r>
                    <w:rPr>
                      <w:rFonts w:hint="eastAsia" w:ascii="宋体" w:hAnsi="宋体"/>
                      <w:szCs w:val="21"/>
                      <w:highlight w:val="none"/>
                    </w:rPr>
                    <w:t>（</w:t>
                  </w:r>
                  <w:r>
                    <w:rPr>
                      <w:rFonts w:ascii="宋体" w:hAnsi="宋体"/>
                      <w:szCs w:val="21"/>
                      <w:highlight w:val="none"/>
                    </w:rPr>
                    <w:t>a</w:t>
                  </w:r>
                  <w:r>
                    <w:rPr>
                      <w:rFonts w:hint="eastAsia" w:ascii="宋体" w:hAnsi="宋体"/>
                      <w:szCs w:val="21"/>
                      <w:highlight w:val="none"/>
                    </w:rPr>
                    <w:t>）</w:t>
                  </w:r>
                </w:p>
              </w:tc>
              <w:tc>
                <w:tcPr>
                  <w:tcW w:w="1604" w:type="dxa"/>
                  <w:tcBorders>
                    <w:top w:val="single" w:color="auto" w:sz="4" w:space="0"/>
                    <w:left w:val="single" w:color="auto" w:sz="4" w:space="0"/>
                    <w:bottom w:val="single" w:color="auto" w:sz="4" w:space="0"/>
                    <w:right w:val="single" w:color="auto" w:sz="4" w:space="0"/>
                  </w:tcBorders>
                  <w:vAlign w:val="center"/>
                </w:tcPr>
                <w:p>
                  <w:pPr>
                    <w:spacing w:before="120" w:after="120"/>
                    <w:ind w:right="2"/>
                    <w:jc w:val="center"/>
                    <w:rPr>
                      <w:rFonts w:ascii="宋体"/>
                      <w:szCs w:val="21"/>
                      <w:highlight w:val="none"/>
                    </w:rPr>
                  </w:pPr>
                  <w:r>
                    <w:rPr>
                      <w:rFonts w:hint="eastAsia" w:ascii="宋体" w:hAnsi="宋体"/>
                      <w:szCs w:val="21"/>
                      <w:highlight w:val="none"/>
                    </w:rPr>
                    <w:t>扣回预付款的比例</w:t>
                  </w:r>
                </w:p>
                <w:p>
                  <w:pPr>
                    <w:spacing w:before="120" w:after="120"/>
                    <w:ind w:right="2"/>
                    <w:jc w:val="center"/>
                    <w:rPr>
                      <w:rFonts w:ascii="宋体"/>
                      <w:szCs w:val="21"/>
                      <w:highlight w:val="none"/>
                    </w:rPr>
                  </w:pPr>
                  <w:r>
                    <w:rPr>
                      <w:rFonts w:hint="eastAsia" w:ascii="宋体" w:hAnsi="宋体"/>
                      <w:szCs w:val="21"/>
                      <w:highlight w:val="none"/>
                    </w:rPr>
                    <w:t>（</w:t>
                  </w:r>
                  <w:r>
                    <w:rPr>
                      <w:rFonts w:ascii="宋体" w:hAnsi="宋体"/>
                      <w:szCs w:val="21"/>
                      <w:highlight w:val="none"/>
                    </w:rPr>
                    <w:t>b</w:t>
                  </w:r>
                  <w:r>
                    <w:rPr>
                      <w:rFonts w:hint="eastAsia" w:ascii="宋体" w:hAnsi="宋体"/>
                      <w:szCs w:val="21"/>
                      <w:highlight w:val="none"/>
                    </w:rPr>
                    <w:t>）</w:t>
                  </w:r>
                </w:p>
              </w:tc>
              <w:tc>
                <w:tcPr>
                  <w:tcW w:w="1676" w:type="dxa"/>
                  <w:tcBorders>
                    <w:top w:val="single" w:color="auto" w:sz="4" w:space="0"/>
                    <w:left w:val="single" w:color="auto" w:sz="4" w:space="0"/>
                    <w:bottom w:val="single" w:color="auto" w:sz="4" w:space="0"/>
                    <w:right w:val="single" w:color="auto" w:sz="4" w:space="0"/>
                  </w:tcBorders>
                  <w:vAlign w:val="center"/>
                </w:tcPr>
                <w:p>
                  <w:pPr>
                    <w:spacing w:before="120" w:after="120"/>
                    <w:ind w:right="2"/>
                    <w:jc w:val="center"/>
                    <w:rPr>
                      <w:rFonts w:ascii="宋体"/>
                      <w:szCs w:val="21"/>
                      <w:highlight w:val="none"/>
                    </w:rPr>
                  </w:pPr>
                  <w:r>
                    <w:rPr>
                      <w:rFonts w:hint="eastAsia" w:ascii="宋体" w:hAnsi="宋体"/>
                      <w:szCs w:val="21"/>
                      <w:highlight w:val="none"/>
                    </w:rPr>
                    <w:t>扣回预付款的比例累计</w:t>
                  </w:r>
                </w:p>
                <w:p>
                  <w:pPr>
                    <w:spacing w:before="120" w:after="120"/>
                    <w:ind w:right="2"/>
                    <w:jc w:val="center"/>
                    <w:rPr>
                      <w:rFonts w:ascii="宋体"/>
                      <w:szCs w:val="21"/>
                      <w:highlight w:val="none"/>
                    </w:rPr>
                  </w:pPr>
                  <w:r>
                    <w:rPr>
                      <w:rFonts w:hint="eastAsia" w:ascii="宋体" w:hAnsi="宋体"/>
                      <w:szCs w:val="21"/>
                      <w:highlight w:val="none"/>
                    </w:rPr>
                    <w:t>（</w:t>
                  </w:r>
                  <w:r>
                    <w:rPr>
                      <w:rFonts w:ascii="宋体" w:hAnsi="宋体"/>
                      <w:szCs w:val="21"/>
                      <w:highlight w:val="none"/>
                    </w:rPr>
                    <w:t>c</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38" w:type="dxa"/>
                  <w:tcBorders>
                    <w:top w:val="single" w:color="auto" w:sz="4" w:space="0"/>
                    <w:left w:val="single" w:color="auto" w:sz="4" w:space="0"/>
                    <w:bottom w:val="single" w:color="auto" w:sz="4" w:space="0"/>
                    <w:right w:val="single" w:color="auto" w:sz="4" w:space="0"/>
                  </w:tcBorders>
                </w:tcPr>
                <w:p>
                  <w:pPr>
                    <w:spacing w:before="120" w:after="120"/>
                    <w:ind w:right="2"/>
                    <w:rPr>
                      <w:rFonts w:ascii="宋体"/>
                      <w:szCs w:val="21"/>
                      <w:highlight w:val="none"/>
                    </w:rPr>
                  </w:pPr>
                  <w:r>
                    <w:rPr>
                      <w:rFonts w:ascii="宋体" w:hAnsi="宋体"/>
                      <w:szCs w:val="21"/>
                      <w:highlight w:val="none"/>
                    </w:rPr>
                    <w:t>a</w:t>
                  </w:r>
                  <w:r>
                    <w:rPr>
                      <w:rFonts w:hint="eastAsia" w:ascii="宋体" w:hAnsi="宋体"/>
                      <w:szCs w:val="21"/>
                      <w:highlight w:val="none"/>
                    </w:rPr>
                    <w:t>≥</w:t>
                  </w:r>
                  <w:r>
                    <w:rPr>
                      <w:rFonts w:ascii="宋体" w:hAnsi="宋体"/>
                      <w:szCs w:val="21"/>
                      <w:highlight w:val="none"/>
                    </w:rPr>
                    <w:t>30%</w:t>
                  </w:r>
                </w:p>
                <w:p>
                  <w:pPr>
                    <w:spacing w:before="120" w:after="120"/>
                    <w:ind w:right="2"/>
                    <w:rPr>
                      <w:rFonts w:ascii="宋体"/>
                      <w:szCs w:val="21"/>
                      <w:highlight w:val="none"/>
                    </w:rPr>
                  </w:pPr>
                  <w:r>
                    <w:rPr>
                      <w:rFonts w:ascii="宋体" w:hAnsi="宋体"/>
                      <w:szCs w:val="21"/>
                      <w:highlight w:val="none"/>
                    </w:rPr>
                    <w:t>a</w:t>
                  </w:r>
                  <w:r>
                    <w:rPr>
                      <w:rFonts w:hint="eastAsia" w:ascii="宋体" w:hAnsi="宋体"/>
                      <w:szCs w:val="21"/>
                      <w:highlight w:val="none"/>
                    </w:rPr>
                    <w:t>≥</w:t>
                  </w:r>
                  <w:r>
                    <w:rPr>
                      <w:rFonts w:ascii="宋体" w:hAnsi="宋体"/>
                      <w:szCs w:val="21"/>
                      <w:highlight w:val="none"/>
                    </w:rPr>
                    <w:t>60%</w:t>
                  </w:r>
                </w:p>
                <w:p>
                  <w:pPr>
                    <w:spacing w:before="120" w:after="120"/>
                    <w:ind w:right="2"/>
                    <w:rPr>
                      <w:rFonts w:ascii="宋体"/>
                      <w:szCs w:val="21"/>
                      <w:highlight w:val="none"/>
                    </w:rPr>
                  </w:pPr>
                  <w:r>
                    <w:rPr>
                      <w:rFonts w:ascii="宋体" w:hAnsi="宋体"/>
                      <w:szCs w:val="21"/>
                      <w:highlight w:val="none"/>
                    </w:rPr>
                    <w:t>a</w:t>
                  </w:r>
                  <w:r>
                    <w:rPr>
                      <w:rFonts w:hint="eastAsia" w:ascii="宋体" w:hAnsi="宋体"/>
                      <w:szCs w:val="21"/>
                      <w:highlight w:val="none"/>
                    </w:rPr>
                    <w:t>≥</w:t>
                  </w:r>
                  <w:r>
                    <w:rPr>
                      <w:rFonts w:ascii="宋体" w:hAnsi="宋体"/>
                      <w:szCs w:val="21"/>
                      <w:highlight w:val="none"/>
                    </w:rPr>
                    <w:t>80%</w:t>
                  </w:r>
                </w:p>
              </w:tc>
              <w:tc>
                <w:tcPr>
                  <w:tcW w:w="1604" w:type="dxa"/>
                  <w:tcBorders>
                    <w:top w:val="single" w:color="auto" w:sz="4" w:space="0"/>
                    <w:left w:val="single" w:color="auto" w:sz="4" w:space="0"/>
                    <w:bottom w:val="single" w:color="auto" w:sz="4" w:space="0"/>
                    <w:right w:val="single" w:color="auto" w:sz="4" w:space="0"/>
                  </w:tcBorders>
                </w:tcPr>
                <w:p>
                  <w:pPr>
                    <w:spacing w:before="120" w:after="120"/>
                    <w:ind w:right="2"/>
                    <w:rPr>
                      <w:rFonts w:ascii="宋体"/>
                      <w:szCs w:val="21"/>
                      <w:highlight w:val="none"/>
                    </w:rPr>
                  </w:pPr>
                  <w:r>
                    <w:rPr>
                      <w:rFonts w:ascii="宋体" w:hAnsi="宋体"/>
                      <w:szCs w:val="21"/>
                      <w:highlight w:val="none"/>
                    </w:rPr>
                    <w:t>50%</w:t>
                  </w:r>
                </w:p>
                <w:p>
                  <w:pPr>
                    <w:spacing w:before="120" w:after="120"/>
                    <w:ind w:right="2"/>
                    <w:rPr>
                      <w:rFonts w:ascii="宋体"/>
                      <w:szCs w:val="21"/>
                      <w:highlight w:val="none"/>
                    </w:rPr>
                  </w:pPr>
                  <w:r>
                    <w:rPr>
                      <w:rFonts w:ascii="宋体" w:hAnsi="宋体"/>
                      <w:szCs w:val="21"/>
                      <w:highlight w:val="none"/>
                    </w:rPr>
                    <w:t>30%</w:t>
                  </w:r>
                </w:p>
                <w:p>
                  <w:pPr>
                    <w:spacing w:before="120" w:after="120"/>
                    <w:ind w:right="2"/>
                    <w:rPr>
                      <w:rFonts w:ascii="宋体"/>
                      <w:szCs w:val="21"/>
                      <w:highlight w:val="none"/>
                    </w:rPr>
                  </w:pPr>
                  <w:r>
                    <w:rPr>
                      <w:rFonts w:ascii="宋体" w:hAnsi="宋体"/>
                      <w:szCs w:val="21"/>
                      <w:highlight w:val="none"/>
                    </w:rPr>
                    <w:t>20%</w:t>
                  </w:r>
                </w:p>
              </w:tc>
              <w:tc>
                <w:tcPr>
                  <w:tcW w:w="1676" w:type="dxa"/>
                  <w:tcBorders>
                    <w:top w:val="single" w:color="auto" w:sz="4" w:space="0"/>
                    <w:left w:val="single" w:color="auto" w:sz="4" w:space="0"/>
                    <w:bottom w:val="single" w:color="auto" w:sz="4" w:space="0"/>
                    <w:right w:val="single" w:color="auto" w:sz="4" w:space="0"/>
                  </w:tcBorders>
                </w:tcPr>
                <w:p>
                  <w:pPr>
                    <w:spacing w:before="120" w:after="120"/>
                    <w:ind w:right="2"/>
                    <w:rPr>
                      <w:rFonts w:ascii="宋体"/>
                      <w:szCs w:val="21"/>
                      <w:highlight w:val="none"/>
                    </w:rPr>
                  </w:pPr>
                  <w:r>
                    <w:rPr>
                      <w:rFonts w:ascii="宋体" w:hAnsi="宋体"/>
                      <w:szCs w:val="21"/>
                      <w:highlight w:val="none"/>
                    </w:rPr>
                    <w:t>50%</w:t>
                  </w:r>
                </w:p>
                <w:p>
                  <w:pPr>
                    <w:spacing w:before="120" w:after="120"/>
                    <w:ind w:right="2"/>
                    <w:rPr>
                      <w:rFonts w:ascii="宋体"/>
                      <w:szCs w:val="21"/>
                      <w:highlight w:val="none"/>
                    </w:rPr>
                  </w:pPr>
                  <w:r>
                    <w:rPr>
                      <w:rFonts w:ascii="宋体" w:hAnsi="宋体"/>
                      <w:szCs w:val="21"/>
                      <w:highlight w:val="none"/>
                    </w:rPr>
                    <w:t>80%</w:t>
                  </w:r>
                </w:p>
                <w:p>
                  <w:pPr>
                    <w:spacing w:before="120" w:after="120"/>
                    <w:ind w:right="2"/>
                    <w:rPr>
                      <w:rFonts w:ascii="宋体"/>
                      <w:szCs w:val="21"/>
                      <w:highlight w:val="none"/>
                    </w:rPr>
                  </w:pPr>
                  <w:r>
                    <w:rPr>
                      <w:rFonts w:ascii="宋体" w:hAnsi="宋体"/>
                      <w:szCs w:val="21"/>
                      <w:highlight w:val="none"/>
                    </w:rPr>
                    <w:t>100%</w:t>
                  </w:r>
                </w:p>
              </w:tc>
            </w:tr>
          </w:tbl>
          <w:p>
            <w:pPr>
              <w:spacing w:before="120" w:after="120"/>
              <w:ind w:right="2" w:rightChars="0"/>
              <w:jc w:val="left"/>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rFonts w:hAnsi="宋体"/>
                <w:szCs w:val="21"/>
              </w:rPr>
              <w:t>一般合同条款</w:t>
            </w:r>
            <w:r>
              <w:rPr>
                <w:rFonts w:hint="eastAsia" w:hAnsi="宋体"/>
                <w:szCs w:val="21"/>
              </w:rPr>
              <w:t>第</w:t>
            </w:r>
            <w:r>
              <w:rPr>
                <w:szCs w:val="21"/>
              </w:rPr>
              <w:t>5</w:t>
            </w:r>
            <w:r>
              <w:rPr>
                <w:rFonts w:hint="eastAsia"/>
                <w:szCs w:val="21"/>
              </w:rPr>
              <w:t>1</w:t>
            </w:r>
            <w:r>
              <w:rPr>
                <w:szCs w:val="21"/>
              </w:rPr>
              <w:t>.1</w:t>
            </w:r>
            <w:r>
              <w:rPr>
                <w:rFonts w:hint="eastAsia"/>
                <w:szCs w:val="21"/>
              </w:rPr>
              <w:t>款</w:t>
            </w:r>
          </w:p>
        </w:tc>
        <w:tc>
          <w:tcPr>
            <w:tcW w:w="5220" w:type="dxa"/>
          </w:tcPr>
          <w:p>
            <w:pPr>
              <w:tabs>
                <w:tab w:val="left" w:pos="556"/>
              </w:tabs>
              <w:spacing w:before="120" w:after="120"/>
              <w:rPr>
                <w:rFonts w:ascii="宋体" w:hAnsi="宋体"/>
                <w:szCs w:val="21"/>
              </w:rPr>
            </w:pPr>
            <w:r>
              <w:rPr>
                <w:rFonts w:hint="eastAsia" w:ascii="宋体" w:hAnsi="宋体"/>
                <w:szCs w:val="21"/>
              </w:rPr>
              <w:t>承包商</w:t>
            </w:r>
            <w:r>
              <w:rPr>
                <w:rFonts w:ascii="宋体" w:hAnsi="宋体"/>
                <w:szCs w:val="21"/>
              </w:rPr>
              <w:t xml:space="preserve"> </w:t>
            </w:r>
            <w:r>
              <w:rPr>
                <w:rFonts w:hint="eastAsia" w:ascii="宋体" w:hAnsi="宋体"/>
                <w:szCs w:val="21"/>
              </w:rPr>
              <w:t>“不需要”提供环境-社会-健康-安全保证金</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highlight w:val="none"/>
              </w:rPr>
            </w:pPr>
            <w:r>
              <w:rPr>
                <w:szCs w:val="21"/>
                <w:highlight w:val="none"/>
              </w:rPr>
              <w:t>一般合同条款</w:t>
            </w:r>
            <w:r>
              <w:rPr>
                <w:rFonts w:hint="eastAsia"/>
                <w:szCs w:val="21"/>
                <w:highlight w:val="none"/>
              </w:rPr>
              <w:t>第</w:t>
            </w:r>
            <w:r>
              <w:rPr>
                <w:szCs w:val="21"/>
                <w:highlight w:val="none"/>
              </w:rPr>
              <w:t>51.1</w:t>
            </w:r>
            <w:r>
              <w:rPr>
                <w:rFonts w:hint="eastAsia"/>
                <w:szCs w:val="21"/>
                <w:highlight w:val="none"/>
              </w:rPr>
              <w:t>款</w:t>
            </w:r>
          </w:p>
        </w:tc>
        <w:tc>
          <w:tcPr>
            <w:tcW w:w="5220" w:type="dxa"/>
          </w:tcPr>
          <w:p>
            <w:pPr>
              <w:spacing w:before="120" w:after="120"/>
              <w:ind w:right="2"/>
              <w:rPr>
                <w:szCs w:val="21"/>
                <w:highlight w:val="none"/>
              </w:rPr>
            </w:pPr>
            <w:r>
              <w:rPr>
                <w:szCs w:val="21"/>
                <w:highlight w:val="none"/>
              </w:rPr>
              <w:t>履约保函金额为：</w:t>
            </w:r>
            <w:r>
              <w:rPr>
                <w:rFonts w:hint="eastAsia"/>
                <w:szCs w:val="21"/>
                <w:highlight w:val="none"/>
              </w:rPr>
              <w:t>10%合同价格。</w:t>
            </w:r>
          </w:p>
          <w:p>
            <w:pPr>
              <w:spacing w:before="120" w:after="120"/>
              <w:ind w:right="2"/>
              <w:jc w:val="left"/>
              <w:textAlignment w:val="auto"/>
              <w:rPr>
                <w:szCs w:val="21"/>
                <w:highlight w:val="none"/>
              </w:rPr>
            </w:pPr>
            <w:r>
              <w:rPr>
                <w:rFonts w:hint="eastAsia"/>
                <w:szCs w:val="21"/>
                <w:highlight w:val="none"/>
              </w:rPr>
              <w:t>银行保函须为无条件保函(详见第九章-合同格式)；如果最低评标价的投标严重不平衡或支付前置，要求投标人对工程量单中个别的或全部的细目做出详细的价格分析，以证明该报价和其建议的施工方法和计划之间是一致的。在对价格分析进行评价后，再考虑合同的付款条款，业主可以提高履约保证金额，并由承包人承担费用，使其足以保护在中标人不履约时业主不受财产的损失。</w:t>
            </w:r>
          </w:p>
          <w:p>
            <w:pPr>
              <w:spacing w:before="120" w:after="120"/>
              <w:ind w:right="2"/>
              <w:jc w:val="left"/>
              <w:textAlignment w:val="auto"/>
              <w:rPr>
                <w:szCs w:val="21"/>
                <w:highlight w:val="none"/>
              </w:rPr>
            </w:pPr>
            <w:r>
              <w:rPr>
                <w:rFonts w:hint="eastAsia"/>
                <w:szCs w:val="21"/>
                <w:highlight w:val="none"/>
              </w:rPr>
              <w:t>由承包商确定出具无条件保函形式，应为以下方式之一：</w:t>
            </w:r>
          </w:p>
          <w:p>
            <w:pPr>
              <w:spacing w:before="120" w:after="120"/>
              <w:ind w:right="2"/>
              <w:jc w:val="left"/>
              <w:textAlignment w:val="auto"/>
              <w:rPr>
                <w:szCs w:val="21"/>
                <w:highlight w:val="none"/>
              </w:rPr>
            </w:pPr>
            <w:r>
              <w:rPr>
                <w:rFonts w:hint="eastAsia"/>
                <w:szCs w:val="21"/>
                <w:highlight w:val="none"/>
              </w:rPr>
              <w:t>1、现金转账形式：交至住建局账户。</w:t>
            </w:r>
          </w:p>
          <w:p>
            <w:pPr>
              <w:spacing w:before="120" w:after="120"/>
              <w:ind w:right="2"/>
              <w:jc w:val="left"/>
              <w:textAlignment w:val="auto"/>
              <w:rPr>
                <w:i/>
                <w:iCs/>
                <w:szCs w:val="21"/>
                <w:highlight w:val="none"/>
              </w:rPr>
            </w:pPr>
            <w:r>
              <w:rPr>
                <w:rFonts w:hint="eastAsia"/>
                <w:szCs w:val="21"/>
                <w:highlight w:val="none"/>
              </w:rPr>
              <w:t>2、由中国工商银行、中国农业银行、中国银行、中国建设银行、中原银行、中信银行、交通银行出具的无条件保函。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2" w:type="dxa"/>
            <w:gridSpan w:val="2"/>
          </w:tcPr>
          <w:p>
            <w:pPr>
              <w:spacing w:before="120" w:after="120"/>
              <w:ind w:right="-72"/>
              <w:jc w:val="center"/>
              <w:textAlignment w:val="auto"/>
              <w:rPr>
                <w:b/>
                <w:bCs/>
                <w:szCs w:val="21"/>
              </w:rPr>
            </w:pPr>
            <w:r>
              <w:rPr>
                <w:rFonts w:hint="eastAsia"/>
                <w:b/>
                <w:bCs/>
                <w:szCs w:val="21"/>
              </w:rPr>
              <w:t>第五节　</w:t>
            </w:r>
            <w:r>
              <w:rPr>
                <w:b/>
                <w:bCs/>
                <w:szCs w:val="21"/>
              </w:rPr>
              <w:t>完成合同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vAlign w:val="top"/>
          </w:tcPr>
          <w:p>
            <w:pPr>
              <w:spacing w:before="120" w:after="120"/>
              <w:jc w:val="left"/>
              <w:textAlignment w:val="auto"/>
              <w:rPr>
                <w:szCs w:val="21"/>
                <w:highlight w:val="none"/>
              </w:rPr>
            </w:pPr>
            <w:r>
              <w:rPr>
                <w:rFonts w:hint="eastAsia" w:hAnsi="宋体"/>
                <w:szCs w:val="21"/>
                <w:highlight w:val="none"/>
              </w:rPr>
              <w:t>一般合同条款第</w:t>
            </w:r>
            <w:r>
              <w:rPr>
                <w:szCs w:val="21"/>
                <w:highlight w:val="none"/>
              </w:rPr>
              <w:t>5</w:t>
            </w:r>
            <w:r>
              <w:rPr>
                <w:rFonts w:hint="eastAsia"/>
                <w:szCs w:val="21"/>
                <w:highlight w:val="none"/>
                <w:lang w:val="en-US" w:eastAsia="zh-CN"/>
              </w:rPr>
              <w:t>7</w:t>
            </w:r>
            <w:r>
              <w:rPr>
                <w:szCs w:val="21"/>
                <w:highlight w:val="none"/>
              </w:rPr>
              <w:t>.1</w:t>
            </w:r>
            <w:r>
              <w:rPr>
                <w:rFonts w:hint="eastAsia"/>
                <w:szCs w:val="21"/>
                <w:highlight w:val="none"/>
              </w:rPr>
              <w:t>款</w:t>
            </w:r>
          </w:p>
        </w:tc>
        <w:tc>
          <w:tcPr>
            <w:tcW w:w="5220" w:type="dxa"/>
            <w:vAlign w:val="top"/>
          </w:tcPr>
          <w:p>
            <w:pPr>
              <w:spacing w:before="120" w:after="120"/>
              <w:ind w:right="2" w:rightChars="0"/>
              <w:rPr>
                <w:highlight w:val="none"/>
              </w:rPr>
            </w:pPr>
            <w:r>
              <w:rPr>
                <w:rFonts w:hint="eastAsia"/>
                <w:szCs w:val="21"/>
                <w:highlight w:val="none"/>
              </w:rPr>
              <w:t>在缺陷责任期结</w:t>
            </w:r>
            <w:r>
              <w:rPr>
                <w:rFonts w:hint="eastAsia" w:ascii="宋体" w:hAnsi="宋体"/>
                <w:szCs w:val="21"/>
                <w:highlight w:val="none"/>
              </w:rPr>
              <w:t>束之前，承包商应向项目监理提交一份根据合同其应获得的全部款项的详细帐目。如该帐目正确完整，</w:t>
            </w:r>
            <w:r>
              <w:rPr>
                <w:rFonts w:hint="eastAsia"/>
                <w:szCs w:val="21"/>
                <w:highlight w:val="none"/>
              </w:rPr>
              <w:t>业主和项目监理</w:t>
            </w:r>
            <w:r>
              <w:rPr>
                <w:rFonts w:hint="eastAsia" w:ascii="宋体" w:hAnsi="宋体"/>
                <w:szCs w:val="21"/>
                <w:highlight w:val="none"/>
              </w:rPr>
              <w:t>应在收到帐目后的五十六（</w:t>
            </w:r>
            <w:r>
              <w:rPr>
                <w:szCs w:val="21"/>
                <w:highlight w:val="none"/>
              </w:rPr>
              <w:t>56</w:t>
            </w:r>
            <w:r>
              <w:rPr>
                <w:rFonts w:hint="eastAsia"/>
                <w:szCs w:val="21"/>
                <w:highlight w:val="none"/>
              </w:rPr>
              <w:t>）天内签发缺陷责任证书并核准应付给承包商的最终付款证书。如该帐目不合格，业主和项目监理则应在五十六（</w:t>
            </w:r>
            <w:r>
              <w:rPr>
                <w:szCs w:val="21"/>
                <w:highlight w:val="none"/>
              </w:rPr>
              <w:t>56</w:t>
            </w:r>
            <w:r>
              <w:rPr>
                <w:rFonts w:hint="eastAsia"/>
                <w:szCs w:val="21"/>
                <w:highlight w:val="none"/>
              </w:rPr>
              <w:t>）</w:t>
            </w:r>
            <w:r>
              <w:rPr>
                <w:rFonts w:hint="eastAsia" w:ascii="宋体" w:hAnsi="宋体"/>
                <w:szCs w:val="21"/>
                <w:highlight w:val="none"/>
              </w:rPr>
              <w:t>天内发出一份需修改和补充的明细单。如果承包商再次呈交的最终帐目仍不能令人满意，则由</w:t>
            </w:r>
            <w:r>
              <w:rPr>
                <w:rFonts w:hint="eastAsia"/>
                <w:szCs w:val="21"/>
                <w:highlight w:val="none"/>
              </w:rPr>
              <w:t>业主和项目监理</w:t>
            </w:r>
            <w:r>
              <w:rPr>
                <w:rFonts w:hint="eastAsia" w:ascii="宋体" w:hAnsi="宋体"/>
                <w:szCs w:val="21"/>
                <w:highlight w:val="none"/>
              </w:rPr>
              <w:t>决定应向承包商支付的金额并签发支付证书。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58.1</w:t>
            </w:r>
            <w:r>
              <w:rPr>
                <w:rFonts w:hint="eastAsia"/>
                <w:szCs w:val="21"/>
              </w:rPr>
              <w:t>款</w:t>
            </w:r>
          </w:p>
        </w:tc>
        <w:tc>
          <w:tcPr>
            <w:tcW w:w="5220" w:type="dxa"/>
          </w:tcPr>
          <w:p>
            <w:pPr>
              <w:spacing w:before="120" w:after="120"/>
              <w:ind w:right="2"/>
            </w:pPr>
            <w:r>
              <w:rPr>
                <w:rFonts w:hint="eastAsia" w:hAnsi="宋体" w:cs="宋体"/>
              </w:rPr>
              <w:t>提交运行与维修手册的日期为竣工验收日期。</w:t>
            </w:r>
          </w:p>
          <w:p>
            <w:pPr>
              <w:spacing w:before="120" w:after="120"/>
              <w:ind w:right="2"/>
              <w:jc w:val="left"/>
              <w:textAlignment w:val="auto"/>
              <w:rPr>
                <w:i/>
                <w:szCs w:val="21"/>
              </w:rPr>
            </w:pPr>
            <w:r>
              <mc:AlternateContent>
                <mc:Choice Requires="wps">
                  <w:drawing>
                    <wp:anchor distT="0" distB="0" distL="114300" distR="114300" simplePos="0" relativeHeight="251999232" behindDoc="1" locked="0" layoutInCell="0" allowOverlap="1">
                      <wp:simplePos x="0" y="0"/>
                      <wp:positionH relativeFrom="margin">
                        <wp:posOffset>2741930</wp:posOffset>
                      </wp:positionH>
                      <wp:positionV relativeFrom="page">
                        <wp:posOffset>914400</wp:posOffset>
                      </wp:positionV>
                      <wp:extent cx="2743200" cy="6350"/>
                      <wp:effectExtent l="0" t="0" r="0" b="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9pt;margin-top:72pt;height:0.5pt;width:216pt;mso-position-horizontal-relative:margin;mso-position-vertical-relative:page;z-index:-251317248;mso-width-relative:page;mso-height-relative:page;" fillcolor="#000000" filled="t" stroked="f" coordsize="21600,21600" o:allowincell="f" o:gfxdata="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kJDCdkAAAALAQAADwAAAAAAAAABACAAAAAiAAAAZHJz&#10;L2Rvd25yZXYueG1sUEsBAhQAFAAAAAgAh07iQNbxyGMDAgAA5gMAAA4AAAAAAAAAAQAgAAAAKAEA&#10;AGRycy9lMm9Eb2MueG1sUEsFBgAAAAAGAAYAWQEAAJ0FAAAAAA==&#10;">
                      <v:fill on="t" focussize="0,0"/>
                      <v:stroke on="f"/>
                      <v:imagedata o:title=""/>
                      <o:lock v:ext="edit" aspectratio="f"/>
                    </v:rect>
                  </w:pict>
                </mc:Fallback>
              </mc:AlternateContent>
            </w:r>
            <w:r>
              <w:rPr>
                <w:rFonts w:hint="eastAsia" w:hAnsi="宋体" w:cs="宋体"/>
              </w:rPr>
              <w:t>提交竣工图纸的日期为竣工日期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58.2</w:t>
            </w:r>
            <w:r>
              <w:rPr>
                <w:rFonts w:hint="eastAsia"/>
                <w:szCs w:val="21"/>
              </w:rPr>
              <w:t>款</w:t>
            </w:r>
          </w:p>
        </w:tc>
        <w:tc>
          <w:tcPr>
            <w:tcW w:w="5220" w:type="dxa"/>
          </w:tcPr>
          <w:p>
            <w:pPr>
              <w:spacing w:before="120" w:after="120"/>
              <w:ind w:right="2"/>
              <w:jc w:val="left"/>
              <w:textAlignment w:val="auto"/>
              <w:rPr>
                <w:szCs w:val="21"/>
              </w:rPr>
            </w:pPr>
            <w:r>
              <w:rPr>
                <w:szCs w:val="21"/>
              </w:rPr>
              <w:t>未按一般合同条款第</w:t>
            </w:r>
            <w:r>
              <w:rPr>
                <w:rFonts w:hint="eastAsia"/>
                <w:szCs w:val="21"/>
              </w:rPr>
              <w:t>5</w:t>
            </w:r>
            <w:r>
              <w:rPr>
                <w:szCs w:val="21"/>
              </w:rPr>
              <w:t>8</w:t>
            </w:r>
            <w:r>
              <w:rPr>
                <w:rFonts w:hint="eastAsia"/>
                <w:szCs w:val="21"/>
              </w:rPr>
              <w:t>.1</w:t>
            </w:r>
            <w:r>
              <w:rPr>
                <w:szCs w:val="21"/>
              </w:rPr>
              <w:t>款规定提交完工图纸或运行与维护手册应扣留的金额为</w:t>
            </w:r>
            <w:r>
              <w:rPr>
                <w:rFonts w:hint="eastAsia"/>
                <w:szCs w:val="21"/>
              </w:rPr>
              <w:t>人民币</w:t>
            </w:r>
            <w:r>
              <w:rPr>
                <w:szCs w:val="21"/>
              </w:rPr>
              <w:t>100000</w:t>
            </w:r>
            <w:r>
              <w:rPr>
                <w:rFonts w:hint="eastAsia"/>
                <w:szCs w:val="21"/>
              </w:rPr>
              <w:t>元</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59.2</w:t>
            </w:r>
            <w:r>
              <w:rPr>
                <w:rFonts w:hint="eastAsia"/>
                <w:szCs w:val="21"/>
              </w:rPr>
              <w:t>款</w:t>
            </w:r>
            <w:r>
              <w:rPr>
                <w:szCs w:val="21"/>
              </w:rPr>
              <w:t>（</w:t>
            </w:r>
            <w:r>
              <w:rPr>
                <w:rFonts w:hint="eastAsia"/>
                <w:szCs w:val="21"/>
              </w:rPr>
              <w:t>7</w:t>
            </w:r>
            <w:r>
              <w:rPr>
                <w:szCs w:val="21"/>
              </w:rPr>
              <w:t>）</w:t>
            </w:r>
            <w:r>
              <w:rPr>
                <w:rFonts w:hint="eastAsia"/>
                <w:szCs w:val="21"/>
              </w:rPr>
              <w:t>款</w:t>
            </w:r>
          </w:p>
        </w:tc>
        <w:tc>
          <w:tcPr>
            <w:tcW w:w="5220" w:type="dxa"/>
          </w:tcPr>
          <w:p>
            <w:pPr>
              <w:spacing w:before="120" w:after="120"/>
              <w:ind w:right="2"/>
              <w:jc w:val="left"/>
              <w:textAlignment w:val="auto"/>
              <w:rPr>
                <w:szCs w:val="21"/>
              </w:rPr>
            </w:pPr>
            <w:r>
              <w:rPr>
                <w:szCs w:val="21"/>
              </w:rPr>
              <w:t>最长延期完工的时间为：</w:t>
            </w:r>
            <w:r>
              <w:rPr>
                <w:rFonts w:hint="eastAsia"/>
                <w:szCs w:val="21"/>
                <w:lang w:val="en-US" w:eastAsia="zh-CN"/>
              </w:rPr>
              <w:t>100</w:t>
            </w:r>
            <w:r>
              <w:rPr>
                <w:rFonts w:hint="eastAsia"/>
                <w:szCs w:val="21"/>
              </w:rPr>
              <w:t>天</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2" w:type="dxa"/>
          </w:tcPr>
          <w:p>
            <w:pPr>
              <w:spacing w:before="120" w:after="120"/>
              <w:jc w:val="left"/>
              <w:textAlignment w:val="auto"/>
              <w:rPr>
                <w:szCs w:val="21"/>
              </w:rPr>
            </w:pPr>
            <w:r>
              <w:rPr>
                <w:szCs w:val="21"/>
              </w:rPr>
              <w:t>一般合同条款</w:t>
            </w:r>
            <w:r>
              <w:rPr>
                <w:rFonts w:hint="eastAsia"/>
                <w:szCs w:val="21"/>
              </w:rPr>
              <w:t>第</w:t>
            </w:r>
            <w:r>
              <w:rPr>
                <w:szCs w:val="21"/>
              </w:rPr>
              <w:t>61.1</w:t>
            </w:r>
            <w:r>
              <w:rPr>
                <w:rFonts w:hint="eastAsia"/>
                <w:szCs w:val="21"/>
              </w:rPr>
              <w:t>款</w:t>
            </w:r>
          </w:p>
        </w:tc>
        <w:tc>
          <w:tcPr>
            <w:tcW w:w="5220" w:type="dxa"/>
          </w:tcPr>
          <w:p>
            <w:pPr>
              <w:spacing w:before="120" w:after="120"/>
              <w:ind w:right="2"/>
              <w:jc w:val="left"/>
              <w:textAlignment w:val="auto"/>
              <w:rPr>
                <w:szCs w:val="21"/>
              </w:rPr>
            </w:pPr>
            <w:r>
              <w:rPr>
                <w:szCs w:val="21"/>
              </w:rPr>
              <w:t>适用比例为：</w:t>
            </w:r>
            <w:r>
              <w:rPr>
                <w:rFonts w:hint="eastAsia"/>
                <w:szCs w:val="21"/>
                <w:lang w:val="en-US" w:eastAsia="zh-CN"/>
              </w:rPr>
              <w:t>30</w:t>
            </w:r>
            <w:r>
              <w:rPr>
                <w:rFonts w:hint="eastAsia"/>
                <w:szCs w:val="21"/>
              </w:rPr>
              <w:t>%（该比例乘以未完工程金额将代表业主为继续完成这些未完成工程而需要发生的额外成本）</w:t>
            </w:r>
          </w:p>
        </w:tc>
      </w:tr>
    </w:tbl>
    <w:p>
      <w:pPr>
        <w:spacing w:before="120" w:after="120"/>
        <w:ind w:firstLine="420" w:firstLineChars="200"/>
        <w:textAlignment w:val="auto"/>
        <w:rPr>
          <w:szCs w:val="21"/>
        </w:rPr>
      </w:pPr>
      <w:r>
        <w:rPr>
          <w:rFonts w:hint="eastAsia"/>
          <w:szCs w:val="21"/>
        </w:rPr>
        <w:t>注：与“环境”、“劳动和社会问题”有关的贷款条款应包含在</w:t>
      </w:r>
      <w:r>
        <w:rPr>
          <w:szCs w:val="21"/>
        </w:rPr>
        <w:t>特殊合同条款</w:t>
      </w:r>
      <w:r>
        <w:rPr>
          <w:rFonts w:hint="eastAsia"/>
          <w:szCs w:val="21"/>
        </w:rPr>
        <w:t>中。</w:t>
      </w:r>
    </w:p>
    <w:p>
      <w:pPr>
        <w:widowControl/>
        <w:spacing w:before="120" w:after="120" w:line="240" w:lineRule="atLeast"/>
        <w:ind w:firstLine="562"/>
        <w:jc w:val="center"/>
        <w:textAlignment w:val="auto"/>
        <w:rPr>
          <w:b/>
          <w:sz w:val="28"/>
          <w:szCs w:val="28"/>
        </w:rPr>
        <w:sectPr>
          <w:headerReference r:id="rId23" w:type="default"/>
          <w:footnotePr>
            <w:numRestart w:val="eachPage"/>
          </w:footnotePr>
          <w:endnotePr>
            <w:numFmt w:val="decimal"/>
          </w:endnotePr>
          <w:pgSz w:w="11907" w:h="16840"/>
          <w:pgMar w:top="1440" w:right="1797" w:bottom="1440" w:left="1797" w:header="851" w:footer="992" w:gutter="0"/>
          <w:cols w:space="425" w:num="1"/>
          <w:docGrid w:linePitch="312" w:charSpace="0"/>
        </w:sectPr>
      </w:pPr>
    </w:p>
    <w:p>
      <w:pPr>
        <w:pStyle w:val="3"/>
        <w:sectPr>
          <w:headerReference r:id="rId24" w:type="default"/>
          <w:footnotePr>
            <w:numRestart w:val="eachPage"/>
          </w:footnotePr>
          <w:endnotePr>
            <w:numFmt w:val="decimal"/>
          </w:endnotePr>
          <w:type w:val="continuous"/>
          <w:pgSz w:w="11907" w:h="16840"/>
          <w:pgMar w:top="1440" w:right="1797" w:bottom="1440" w:left="1797" w:header="851" w:footer="992" w:gutter="0"/>
          <w:cols w:space="425" w:num="1"/>
          <w:docGrid w:linePitch="312" w:charSpace="0"/>
        </w:sectPr>
      </w:pPr>
    </w:p>
    <w:p>
      <w:pPr>
        <w:pStyle w:val="229"/>
      </w:pPr>
      <w:bookmarkStart w:id="1844" w:name="_Toc169103358"/>
      <w:bookmarkStart w:id="1845" w:name="_Toc110330413"/>
      <w:bookmarkStart w:id="1846" w:name="_Toc110272078"/>
      <w:bookmarkStart w:id="1847" w:name="_Toc110264509"/>
      <w:bookmarkStart w:id="1848" w:name="_Toc324772291"/>
      <w:bookmarkStart w:id="1849" w:name="_Toc391287424"/>
      <w:bookmarkStart w:id="1850" w:name="_Toc110330474"/>
      <w:bookmarkStart w:id="1851" w:name="_Toc171063223"/>
      <w:bookmarkStart w:id="1852" w:name="_Toc110268544"/>
      <w:bookmarkStart w:id="1853" w:name="_Toc110265208"/>
      <w:bookmarkStart w:id="1854" w:name="_Toc110264808"/>
      <w:bookmarkStart w:id="1855" w:name="_Toc110264972"/>
      <w:bookmarkStart w:id="1856" w:name="_Toc324772074"/>
      <w:bookmarkStart w:id="1857" w:name="_Toc110264755"/>
      <w:r>
        <w:t>第</w:t>
      </w:r>
      <w:r>
        <w:rPr>
          <w:rFonts w:hint="eastAsia"/>
        </w:rPr>
        <w:t>九</w:t>
      </w:r>
      <w:r>
        <w:t>章　合同格式</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Start w:id="1858" w:name="第三篇"/>
    </w:p>
    <w:p>
      <w:pPr>
        <w:ind w:firstLine="422"/>
        <w:jc w:val="center"/>
        <w:textAlignment w:val="auto"/>
        <w:rPr>
          <w:b/>
          <w:bCs/>
          <w:sz w:val="22"/>
          <w:szCs w:val="22"/>
        </w:rPr>
      </w:pPr>
    </w:p>
    <w:p>
      <w:pPr>
        <w:ind w:firstLine="422"/>
        <w:jc w:val="center"/>
        <w:textAlignment w:val="auto"/>
        <w:rPr>
          <w:b/>
          <w:bCs/>
          <w:sz w:val="24"/>
          <w:szCs w:val="24"/>
        </w:rPr>
      </w:pPr>
      <w:r>
        <w:rPr>
          <w:rFonts w:hint="eastAsia"/>
          <w:b/>
          <w:bCs/>
          <w:sz w:val="24"/>
          <w:szCs w:val="24"/>
        </w:rPr>
        <w:t>目录</w:t>
      </w:r>
    </w:p>
    <w:p>
      <w:pPr>
        <w:ind w:firstLine="422"/>
        <w:jc w:val="center"/>
        <w:textAlignment w:val="auto"/>
        <w:rPr>
          <w:b/>
          <w:bCs/>
          <w:sz w:val="24"/>
          <w:szCs w:val="24"/>
        </w:rPr>
      </w:pPr>
    </w:p>
    <w:p>
      <w:pPr>
        <w:pStyle w:val="33"/>
        <w:tabs>
          <w:tab w:val="right" w:leader="dot" w:pos="8303"/>
        </w:tabs>
        <w:rPr>
          <w:rFonts w:asciiTheme="minorHAnsi" w:hAnsiTheme="minorHAnsi" w:eastAsiaTheme="minorEastAsia" w:cstheme="minorBidi"/>
          <w:bCs/>
          <w:iCs w:val="0"/>
          <w:kern w:val="2"/>
          <w:szCs w:val="22"/>
          <w14:ligatures w14:val="standardContextual"/>
        </w:rPr>
      </w:pPr>
      <w:r>
        <w:rPr>
          <w:bCs/>
          <w:szCs w:val="22"/>
        </w:rPr>
        <w:fldChar w:fldCharType="begin"/>
      </w:r>
      <w:r>
        <w:rPr>
          <w:bCs/>
          <w:szCs w:val="22"/>
        </w:rPr>
        <w:instrText xml:space="preserve"> </w:instrText>
      </w:r>
      <w:r>
        <w:rPr>
          <w:rFonts w:hint="eastAsia"/>
          <w:bCs/>
          <w:szCs w:val="22"/>
        </w:rPr>
        <w:instrText xml:space="preserve">toc</w:instrText>
      </w:r>
      <w:r>
        <w:rPr>
          <w:bCs/>
          <w:szCs w:val="22"/>
        </w:rPr>
        <w:instrText xml:space="preserve"> \b</w:instrText>
      </w:r>
      <w:r>
        <w:rPr>
          <w:rFonts w:hint="eastAsia"/>
          <w:bCs/>
          <w:szCs w:val="22"/>
        </w:rPr>
        <w:instrText xml:space="preserve">第九章</w:instrText>
      </w:r>
      <w:r>
        <w:rPr>
          <w:bCs/>
          <w:szCs w:val="22"/>
        </w:rPr>
        <w:instrText xml:space="preserve"> </w:instrText>
      </w:r>
      <w:r>
        <w:rPr>
          <w:bCs/>
          <w:szCs w:val="22"/>
        </w:rPr>
        <w:fldChar w:fldCharType="separate"/>
      </w:r>
      <w:r>
        <w:rPr>
          <w:rFonts w:hint="eastAsia"/>
          <w:bCs/>
          <w:szCs w:val="22"/>
        </w:rPr>
        <w:t>预授标意向</w:t>
      </w:r>
      <w:r>
        <w:rPr>
          <w:bCs/>
          <w:szCs w:val="22"/>
        </w:rPr>
        <w:tab/>
      </w:r>
      <w:r>
        <w:rPr>
          <w:bCs/>
          <w:szCs w:val="22"/>
        </w:rPr>
        <w:fldChar w:fldCharType="begin"/>
      </w:r>
      <w:r>
        <w:rPr>
          <w:bCs/>
          <w:szCs w:val="22"/>
        </w:rPr>
        <w:instrText xml:space="preserve"> PAGEREF _Toc170313752 \h </w:instrText>
      </w:r>
      <w:r>
        <w:rPr>
          <w:bCs/>
          <w:szCs w:val="22"/>
        </w:rPr>
        <w:fldChar w:fldCharType="separate"/>
      </w:r>
      <w:r>
        <w:rPr>
          <w:bCs/>
          <w:szCs w:val="22"/>
        </w:rPr>
        <w:t>110</w:t>
      </w:r>
      <w:r>
        <w:rPr>
          <w:bCs/>
          <w:szCs w:val="22"/>
        </w:rPr>
        <w:fldChar w:fldCharType="end"/>
      </w:r>
    </w:p>
    <w:p>
      <w:pPr>
        <w:pStyle w:val="33"/>
        <w:tabs>
          <w:tab w:val="right" w:leader="dot" w:pos="8303"/>
        </w:tabs>
        <w:rPr>
          <w:rFonts w:asciiTheme="minorHAnsi" w:hAnsiTheme="minorHAnsi" w:eastAsiaTheme="minorEastAsia" w:cstheme="minorBidi"/>
          <w:bCs/>
          <w:iCs w:val="0"/>
          <w:kern w:val="2"/>
          <w:szCs w:val="22"/>
          <w14:ligatures w14:val="standardContextual"/>
        </w:rPr>
      </w:pPr>
      <w:r>
        <w:rPr>
          <w:rFonts w:hint="eastAsia"/>
          <w:bCs/>
          <w:szCs w:val="22"/>
        </w:rPr>
        <w:t>中标通知书</w:t>
      </w:r>
      <w:r>
        <w:rPr>
          <w:bCs/>
          <w:szCs w:val="22"/>
        </w:rPr>
        <w:tab/>
      </w:r>
      <w:r>
        <w:rPr>
          <w:bCs/>
          <w:szCs w:val="22"/>
        </w:rPr>
        <w:fldChar w:fldCharType="begin"/>
      </w:r>
      <w:r>
        <w:rPr>
          <w:bCs/>
          <w:szCs w:val="22"/>
        </w:rPr>
        <w:instrText xml:space="preserve"> PAGEREF _Toc170313753 \h </w:instrText>
      </w:r>
      <w:r>
        <w:rPr>
          <w:bCs/>
          <w:szCs w:val="22"/>
        </w:rPr>
        <w:fldChar w:fldCharType="separate"/>
      </w:r>
      <w:r>
        <w:rPr>
          <w:bCs/>
          <w:szCs w:val="22"/>
        </w:rPr>
        <w:t>111</w:t>
      </w:r>
      <w:r>
        <w:rPr>
          <w:bCs/>
          <w:szCs w:val="22"/>
        </w:rPr>
        <w:fldChar w:fldCharType="end"/>
      </w:r>
    </w:p>
    <w:p>
      <w:pPr>
        <w:pStyle w:val="33"/>
        <w:tabs>
          <w:tab w:val="right" w:leader="dot" w:pos="8303"/>
        </w:tabs>
        <w:rPr>
          <w:rFonts w:asciiTheme="minorHAnsi" w:hAnsiTheme="minorHAnsi" w:eastAsiaTheme="minorEastAsia" w:cstheme="minorBidi"/>
          <w:bCs/>
          <w:iCs w:val="0"/>
          <w:kern w:val="2"/>
          <w:szCs w:val="22"/>
          <w14:ligatures w14:val="standardContextual"/>
        </w:rPr>
      </w:pPr>
      <w:r>
        <w:rPr>
          <w:rFonts w:hint="eastAsia"/>
          <w:bCs/>
          <w:szCs w:val="22"/>
        </w:rPr>
        <w:t>合同协议书</w:t>
      </w:r>
      <w:r>
        <w:rPr>
          <w:bCs/>
          <w:szCs w:val="22"/>
        </w:rPr>
        <w:tab/>
      </w:r>
      <w:r>
        <w:rPr>
          <w:bCs/>
          <w:szCs w:val="22"/>
        </w:rPr>
        <w:fldChar w:fldCharType="begin"/>
      </w:r>
      <w:r>
        <w:rPr>
          <w:bCs/>
          <w:szCs w:val="22"/>
        </w:rPr>
        <w:instrText xml:space="preserve"> PAGEREF _Toc170313754 \h </w:instrText>
      </w:r>
      <w:r>
        <w:rPr>
          <w:bCs/>
          <w:szCs w:val="22"/>
        </w:rPr>
        <w:fldChar w:fldCharType="separate"/>
      </w:r>
      <w:r>
        <w:rPr>
          <w:bCs/>
          <w:szCs w:val="22"/>
        </w:rPr>
        <w:t>112</w:t>
      </w:r>
      <w:r>
        <w:rPr>
          <w:bCs/>
          <w:szCs w:val="22"/>
        </w:rPr>
        <w:fldChar w:fldCharType="end"/>
      </w:r>
    </w:p>
    <w:p>
      <w:pPr>
        <w:pStyle w:val="33"/>
        <w:tabs>
          <w:tab w:val="right" w:leader="dot" w:pos="8303"/>
        </w:tabs>
        <w:rPr>
          <w:rFonts w:asciiTheme="minorHAnsi" w:hAnsiTheme="minorHAnsi" w:eastAsiaTheme="minorEastAsia" w:cstheme="minorBidi"/>
          <w:bCs/>
          <w:iCs w:val="0"/>
          <w:kern w:val="2"/>
          <w:szCs w:val="22"/>
          <w14:ligatures w14:val="standardContextual"/>
        </w:rPr>
      </w:pPr>
      <w:r>
        <w:rPr>
          <w:rFonts w:hint="eastAsia"/>
          <w:bCs/>
          <w:szCs w:val="22"/>
        </w:rPr>
        <w:t>履约保函</w:t>
      </w:r>
      <w:r>
        <w:rPr>
          <w:bCs/>
          <w:szCs w:val="22"/>
        </w:rPr>
        <w:tab/>
      </w:r>
      <w:r>
        <w:rPr>
          <w:bCs/>
          <w:szCs w:val="22"/>
        </w:rPr>
        <w:fldChar w:fldCharType="begin"/>
      </w:r>
      <w:r>
        <w:rPr>
          <w:bCs/>
          <w:szCs w:val="22"/>
        </w:rPr>
        <w:instrText xml:space="preserve"> PAGEREF _Toc170313755 \h </w:instrText>
      </w:r>
      <w:r>
        <w:rPr>
          <w:bCs/>
          <w:szCs w:val="22"/>
        </w:rPr>
        <w:fldChar w:fldCharType="separate"/>
      </w:r>
      <w:r>
        <w:rPr>
          <w:bCs/>
          <w:szCs w:val="22"/>
        </w:rPr>
        <w:t>113</w:t>
      </w:r>
      <w:r>
        <w:rPr>
          <w:bCs/>
          <w:szCs w:val="22"/>
        </w:rPr>
        <w:fldChar w:fldCharType="end"/>
      </w:r>
    </w:p>
    <w:p>
      <w:pPr>
        <w:pStyle w:val="33"/>
        <w:tabs>
          <w:tab w:val="right" w:leader="dot" w:pos="8303"/>
        </w:tabs>
        <w:rPr>
          <w:rFonts w:asciiTheme="minorHAnsi" w:hAnsiTheme="minorHAnsi" w:eastAsiaTheme="minorEastAsia" w:cstheme="minorBidi"/>
          <w:bCs/>
          <w:iCs w:val="0"/>
          <w:kern w:val="2"/>
          <w:szCs w:val="22"/>
          <w14:ligatures w14:val="standardContextual"/>
        </w:rPr>
      </w:pPr>
      <w:r>
        <w:rPr>
          <w:rFonts w:hint="eastAsia"/>
          <w:bCs/>
          <w:szCs w:val="22"/>
        </w:rPr>
        <w:t>环境</w:t>
      </w:r>
      <w:r>
        <w:rPr>
          <w:bCs/>
          <w:szCs w:val="22"/>
        </w:rPr>
        <w:t>-</w:t>
      </w:r>
      <w:r>
        <w:rPr>
          <w:rFonts w:hint="eastAsia"/>
          <w:bCs/>
          <w:szCs w:val="22"/>
        </w:rPr>
        <w:t>社会</w:t>
      </w:r>
      <w:r>
        <w:rPr>
          <w:bCs/>
          <w:szCs w:val="22"/>
        </w:rPr>
        <w:t>-</w:t>
      </w:r>
      <w:r>
        <w:rPr>
          <w:rFonts w:hint="eastAsia"/>
          <w:bCs/>
          <w:szCs w:val="22"/>
        </w:rPr>
        <w:t>健康</w:t>
      </w:r>
      <w:r>
        <w:rPr>
          <w:bCs/>
          <w:szCs w:val="22"/>
        </w:rPr>
        <w:t>-</w:t>
      </w:r>
      <w:r>
        <w:rPr>
          <w:rFonts w:hint="eastAsia"/>
          <w:bCs/>
          <w:szCs w:val="22"/>
        </w:rPr>
        <w:t>安全保证金（如适用）</w:t>
      </w:r>
      <w:r>
        <w:rPr>
          <w:bCs/>
          <w:szCs w:val="22"/>
        </w:rPr>
        <w:tab/>
      </w:r>
      <w:r>
        <w:rPr>
          <w:bCs/>
          <w:szCs w:val="22"/>
        </w:rPr>
        <w:fldChar w:fldCharType="begin"/>
      </w:r>
      <w:r>
        <w:rPr>
          <w:bCs/>
          <w:szCs w:val="22"/>
        </w:rPr>
        <w:instrText xml:space="preserve"> PAGEREF _Toc170313756 \h </w:instrText>
      </w:r>
      <w:r>
        <w:rPr>
          <w:bCs/>
          <w:szCs w:val="22"/>
        </w:rPr>
        <w:fldChar w:fldCharType="separate"/>
      </w:r>
      <w:r>
        <w:rPr>
          <w:bCs/>
          <w:szCs w:val="22"/>
        </w:rPr>
        <w:t>114</w:t>
      </w:r>
      <w:r>
        <w:rPr>
          <w:bCs/>
          <w:szCs w:val="22"/>
        </w:rPr>
        <w:fldChar w:fldCharType="end"/>
      </w:r>
    </w:p>
    <w:p>
      <w:pPr>
        <w:pStyle w:val="33"/>
        <w:tabs>
          <w:tab w:val="right" w:leader="dot" w:pos="8303"/>
        </w:tabs>
        <w:rPr>
          <w:rFonts w:asciiTheme="minorHAnsi" w:hAnsiTheme="minorHAnsi" w:eastAsiaTheme="minorEastAsia" w:cstheme="minorBidi"/>
          <w:bCs/>
          <w:iCs w:val="0"/>
          <w:kern w:val="2"/>
          <w:szCs w:val="22"/>
          <w14:ligatures w14:val="standardContextual"/>
        </w:rPr>
      </w:pPr>
      <w:r>
        <w:rPr>
          <w:rFonts w:hint="eastAsia"/>
          <w:bCs/>
          <w:szCs w:val="22"/>
        </w:rPr>
        <w:t>预付款银行保函</w:t>
      </w:r>
      <w:r>
        <w:rPr>
          <w:bCs/>
          <w:szCs w:val="22"/>
        </w:rPr>
        <w:tab/>
      </w:r>
      <w:r>
        <w:rPr>
          <w:bCs/>
          <w:szCs w:val="22"/>
        </w:rPr>
        <w:fldChar w:fldCharType="begin"/>
      </w:r>
      <w:r>
        <w:rPr>
          <w:bCs/>
          <w:szCs w:val="22"/>
        </w:rPr>
        <w:instrText xml:space="preserve"> PAGEREF _Toc170313757 \h </w:instrText>
      </w:r>
      <w:r>
        <w:rPr>
          <w:bCs/>
          <w:szCs w:val="22"/>
        </w:rPr>
        <w:fldChar w:fldCharType="separate"/>
      </w:r>
      <w:r>
        <w:rPr>
          <w:bCs/>
          <w:szCs w:val="22"/>
        </w:rPr>
        <w:t>115</w:t>
      </w:r>
      <w:r>
        <w:rPr>
          <w:bCs/>
          <w:szCs w:val="22"/>
        </w:rPr>
        <w:fldChar w:fldCharType="end"/>
      </w:r>
    </w:p>
    <w:p>
      <w:pPr>
        <w:ind w:firstLine="422"/>
        <w:textAlignment w:val="auto"/>
        <w:rPr>
          <w:b/>
          <w:bCs/>
        </w:rPr>
      </w:pPr>
      <w:r>
        <w:rPr>
          <w:b/>
          <w:bCs/>
          <w:sz w:val="22"/>
          <w:szCs w:val="22"/>
        </w:rPr>
        <w:fldChar w:fldCharType="end"/>
      </w:r>
    </w:p>
    <w:p>
      <w:pPr>
        <w:ind w:firstLine="422"/>
        <w:jc w:val="center"/>
        <w:textAlignment w:val="auto"/>
        <w:rPr>
          <w:b/>
          <w:bCs/>
        </w:rPr>
      </w:pPr>
    </w:p>
    <w:p>
      <w:pPr>
        <w:ind w:firstLine="422"/>
        <w:jc w:val="center"/>
        <w:textAlignment w:val="auto"/>
        <w:rPr>
          <w:b/>
          <w:bCs/>
        </w:rPr>
      </w:pPr>
    </w:p>
    <w:p>
      <w:pPr>
        <w:pStyle w:val="4"/>
        <w:sectPr>
          <w:footnotePr>
            <w:numRestart w:val="eachPage"/>
          </w:footnotePr>
          <w:endnotePr>
            <w:numFmt w:val="decimal"/>
          </w:endnotePr>
          <w:pgSz w:w="11907" w:h="16840"/>
          <w:pgMar w:top="1440" w:right="1797" w:bottom="1440" w:left="1797" w:header="851" w:footer="992" w:gutter="0"/>
          <w:cols w:space="425" w:num="1"/>
          <w:docGrid w:linePitch="312" w:charSpace="0"/>
        </w:sectPr>
      </w:pPr>
      <w:bookmarkStart w:id="1859" w:name="_Toc110272079"/>
      <w:bookmarkStart w:id="1860" w:name="_Toc110265209"/>
      <w:bookmarkStart w:id="1861" w:name="_Toc110264510"/>
      <w:bookmarkStart w:id="1862" w:name="_Toc110264973"/>
      <w:bookmarkStart w:id="1863" w:name="_Toc110264756"/>
      <w:bookmarkStart w:id="1864" w:name="_Toc110264809"/>
      <w:bookmarkStart w:id="1865" w:name="_Toc110268545"/>
      <w:bookmarkStart w:id="1866" w:name="_Toc391287425"/>
      <w:bookmarkStart w:id="1867" w:name="_Toc324772075"/>
      <w:bookmarkStart w:id="1868" w:name="_Toc104482560"/>
      <w:bookmarkStart w:id="1869" w:name="_Toc324772292"/>
    </w:p>
    <w:p>
      <w:pPr>
        <w:pStyle w:val="4"/>
      </w:pPr>
      <w:bookmarkStart w:id="1870" w:name="_Toc170313752"/>
      <w:bookmarkStart w:id="1871" w:name="_Toc169103359"/>
      <w:bookmarkStart w:id="1872" w:name="_Toc171063224"/>
      <w:bookmarkStart w:id="1873" w:name="第九章"/>
      <w:r>
        <w:rPr>
          <w:rFonts w:hint="eastAsia"/>
        </w:rPr>
        <w:t>预授标</w:t>
      </w:r>
      <w:r>
        <w:rPr>
          <w:rFonts w:hint="eastAsia"/>
          <w:lang w:eastAsia="zh-CN"/>
        </w:rPr>
        <w:t>意向</w:t>
      </w:r>
      <w:bookmarkEnd w:id="1859"/>
      <w:bookmarkEnd w:id="1860"/>
      <w:bookmarkEnd w:id="1861"/>
      <w:bookmarkEnd w:id="1862"/>
      <w:bookmarkEnd w:id="1863"/>
      <w:bookmarkEnd w:id="1864"/>
      <w:bookmarkEnd w:id="1865"/>
      <w:bookmarkEnd w:id="1870"/>
      <w:bookmarkEnd w:id="1871"/>
      <w:bookmarkEnd w:id="1872"/>
    </w:p>
    <w:p>
      <w:pPr>
        <w:pStyle w:val="26"/>
        <w:spacing w:before="120" w:after="120"/>
        <w:ind w:left="720" w:right="498"/>
        <w:jc w:val="right"/>
        <w:textAlignment w:val="auto"/>
        <w:rPr>
          <w:i w:val="0"/>
          <w:sz w:val="21"/>
          <w:szCs w:val="21"/>
        </w:rPr>
      </w:pPr>
      <w:r>
        <w:rPr>
          <w:rFonts w:hint="eastAsia"/>
          <w:bCs/>
          <w:i w:val="0"/>
          <w:sz w:val="21"/>
          <w:szCs w:val="21"/>
          <w:lang w:eastAsia="zh-CN"/>
        </w:rPr>
        <w:t xml:space="preserve"> </w:t>
      </w:r>
      <w:r>
        <w:rPr>
          <w:bCs/>
          <w:i w:val="0"/>
          <w:sz w:val="21"/>
          <w:szCs w:val="21"/>
          <w:lang w:eastAsia="zh-CN"/>
        </w:rPr>
        <w:t xml:space="preserve"> </w:t>
      </w:r>
      <w:r>
        <w:rPr>
          <w:rFonts w:hint="eastAsia"/>
          <w:bCs/>
          <w:i w:val="0"/>
          <w:sz w:val="21"/>
          <w:szCs w:val="21"/>
        </w:rPr>
        <w:t>签发日期：____________________</w:t>
      </w:r>
    </w:p>
    <w:p>
      <w:pPr>
        <w:spacing w:line="300" w:lineRule="auto"/>
        <w:ind w:firstLine="400"/>
        <w:jc w:val="left"/>
        <w:textAlignment w:val="auto"/>
        <w:rPr>
          <w:rFonts w:cs="Arial"/>
          <w:sz w:val="20"/>
        </w:rPr>
      </w:pPr>
    </w:p>
    <w:p>
      <w:pPr>
        <w:spacing w:line="300" w:lineRule="auto"/>
        <w:ind w:firstLine="400"/>
        <w:textAlignment w:val="auto"/>
      </w:pPr>
      <w:r>
        <w:t>兹</w:t>
      </w:r>
      <w:r>
        <w:rPr>
          <w:rFonts w:hint="eastAsia"/>
        </w:rPr>
        <w:t>公布</w:t>
      </w:r>
      <w:r>
        <w:t>关于_____________</w:t>
      </w:r>
      <w:r>
        <w:rPr>
          <w:rFonts w:hint="eastAsia"/>
        </w:rPr>
        <w:t>项目（招标编号：</w:t>
      </w:r>
      <w:r>
        <w:t>_____________</w:t>
      </w:r>
      <w:r>
        <w:rPr>
          <w:rFonts w:hint="eastAsia"/>
        </w:rPr>
        <w:t>，合同编号：</w:t>
      </w:r>
      <w:r>
        <w:t>_____________</w:t>
      </w:r>
      <w:r>
        <w:rPr>
          <w:rFonts w:hint="eastAsia"/>
        </w:rPr>
        <w:t>）预授标意向</w:t>
      </w:r>
      <w:r>
        <w:t>。</w:t>
      </w:r>
      <w:r>
        <w:rPr>
          <w:rFonts w:hint="eastAsia"/>
        </w:rPr>
        <w:t>本次招标采用国内竞争性招标方式。</w:t>
      </w:r>
      <w:r>
        <w:t>自</w:t>
      </w:r>
      <w:r>
        <w:rPr>
          <w:rFonts w:hint="eastAsia"/>
        </w:rPr>
        <w:t>本意向</w:t>
      </w:r>
      <w:r>
        <w:t>发出之日起</w:t>
      </w:r>
      <w:r>
        <w:rPr>
          <w:rFonts w:hint="eastAsia"/>
        </w:rPr>
        <w:t>（不含发布日），投标人可以在3个工作日</w:t>
      </w:r>
      <w:r>
        <w:t>时间</w:t>
      </w:r>
      <w:r>
        <w:rPr>
          <w:rFonts w:hint="eastAsia"/>
        </w:rPr>
        <w:t>内：</w:t>
      </w:r>
      <w:r>
        <w:t>（1）要求就</w:t>
      </w:r>
      <w:r>
        <w:rPr>
          <w:rFonts w:hint="eastAsia"/>
        </w:rPr>
        <w:t>其</w:t>
      </w:r>
      <w:r>
        <w:t>投标的评</w:t>
      </w:r>
      <w:r>
        <w:rPr>
          <w:rFonts w:hint="eastAsia"/>
        </w:rPr>
        <w:t>审</w:t>
      </w:r>
      <w:r>
        <w:t>进行事后情况说明；和/或（2）按</w:t>
      </w:r>
      <w:r>
        <w:rPr>
          <w:rFonts w:hint="eastAsia"/>
        </w:rPr>
        <w:t>“</w:t>
      </w:r>
      <w:r>
        <w:t>投标人须知</w:t>
      </w:r>
      <w:r>
        <w:rPr>
          <w:rFonts w:hint="eastAsia"/>
        </w:rPr>
        <w:t>”</w:t>
      </w:r>
      <w:r>
        <w:t>第4</w:t>
      </w:r>
      <w:r>
        <w:rPr>
          <w:rFonts w:hint="eastAsia"/>
        </w:rPr>
        <w:t>3</w:t>
      </w:r>
      <w:r>
        <w:t>.1款规定的程序，</w:t>
      </w:r>
      <w:r>
        <w:rPr>
          <w:rFonts w:hint="eastAsia"/>
        </w:rPr>
        <w:t>就预</w:t>
      </w:r>
      <w:r>
        <w:t>授标意向提交</w:t>
      </w:r>
      <w:r>
        <w:rPr>
          <w:rFonts w:hint="eastAsia"/>
        </w:rPr>
        <w:t>与招标过程</w:t>
      </w:r>
      <w:r>
        <w:t>有关的投诉。</w:t>
      </w:r>
    </w:p>
    <w:p>
      <w:pPr>
        <w:spacing w:line="300" w:lineRule="auto"/>
        <w:ind w:firstLine="400"/>
        <w:jc w:val="left"/>
        <w:textAlignment w:val="auto"/>
        <w:rPr>
          <w:rFonts w:cs="Arial"/>
          <w:sz w:val="20"/>
        </w:rPr>
      </w:pPr>
    </w:p>
    <w:p>
      <w:pPr>
        <w:spacing w:line="300" w:lineRule="auto"/>
        <w:ind w:firstLine="400"/>
        <w:textAlignment w:val="auto"/>
      </w:pPr>
      <w:r>
        <w:t>评标结果概述如下：</w:t>
      </w:r>
    </w:p>
    <w:p>
      <w:pPr>
        <w:spacing w:line="300" w:lineRule="auto"/>
        <w:ind w:firstLine="400"/>
        <w:textAlignment w:val="auto"/>
      </w:pPr>
      <w:r>
        <w:rPr>
          <w:rFonts w:hint="eastAsia"/>
        </w:rPr>
        <w:t>（1）</w:t>
      </w:r>
      <w:r>
        <w:t xml:space="preserve">投标人列表 </w:t>
      </w:r>
    </w:p>
    <w:tbl>
      <w:tblPr>
        <w:tblStyle w:val="6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10"/>
        <w:gridCol w:w="195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300" w:lineRule="auto"/>
              <w:textAlignment w:val="auto"/>
            </w:pPr>
            <w:r>
              <w:t>投标人名称</w:t>
            </w:r>
          </w:p>
        </w:tc>
        <w:tc>
          <w:tcPr>
            <w:tcW w:w="1710" w:type="dxa"/>
            <w:vAlign w:val="center"/>
          </w:tcPr>
          <w:p>
            <w:pPr>
              <w:spacing w:line="300" w:lineRule="auto"/>
              <w:textAlignment w:val="auto"/>
            </w:pPr>
            <w:r>
              <w:t>开标时</w:t>
            </w:r>
            <w:r>
              <w:rPr>
                <w:rFonts w:hint="eastAsia"/>
              </w:rPr>
              <w:t>的唱</w:t>
            </w:r>
            <w:r>
              <w:t>标价</w:t>
            </w:r>
          </w:p>
        </w:tc>
        <w:tc>
          <w:tcPr>
            <w:tcW w:w="1957" w:type="dxa"/>
            <w:vAlign w:val="center"/>
          </w:tcPr>
          <w:p>
            <w:pPr>
              <w:spacing w:line="300" w:lineRule="auto"/>
              <w:ind w:firstLine="400"/>
              <w:textAlignment w:val="auto"/>
            </w:pPr>
            <w:r>
              <w:t>评标价</w:t>
            </w:r>
          </w:p>
        </w:tc>
        <w:tc>
          <w:tcPr>
            <w:tcW w:w="3060" w:type="dxa"/>
          </w:tcPr>
          <w:p>
            <w:pPr>
              <w:spacing w:line="300" w:lineRule="auto"/>
              <w:ind w:firstLine="400"/>
              <w:textAlignment w:val="auto"/>
            </w:pPr>
            <w:r>
              <w:rPr>
                <w:rFonts w:hint="eastAsia"/>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300" w:lineRule="auto"/>
              <w:ind w:firstLine="400"/>
              <w:textAlignment w:val="auto"/>
            </w:pPr>
          </w:p>
        </w:tc>
        <w:tc>
          <w:tcPr>
            <w:tcW w:w="1710" w:type="dxa"/>
          </w:tcPr>
          <w:p>
            <w:pPr>
              <w:spacing w:line="300" w:lineRule="auto"/>
              <w:ind w:firstLine="400"/>
              <w:textAlignment w:val="auto"/>
            </w:pPr>
          </w:p>
        </w:tc>
        <w:tc>
          <w:tcPr>
            <w:tcW w:w="1957" w:type="dxa"/>
          </w:tcPr>
          <w:p>
            <w:pPr>
              <w:spacing w:line="300" w:lineRule="auto"/>
              <w:ind w:firstLine="400"/>
              <w:textAlignment w:val="auto"/>
            </w:pPr>
          </w:p>
        </w:tc>
        <w:tc>
          <w:tcPr>
            <w:tcW w:w="3060" w:type="dxa"/>
          </w:tcPr>
          <w:p>
            <w:pPr>
              <w:spacing w:line="300" w:lineRule="auto"/>
              <w:ind w:firstLine="4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300" w:lineRule="auto"/>
              <w:ind w:firstLine="400"/>
              <w:textAlignment w:val="auto"/>
            </w:pPr>
          </w:p>
        </w:tc>
        <w:tc>
          <w:tcPr>
            <w:tcW w:w="1710" w:type="dxa"/>
          </w:tcPr>
          <w:p>
            <w:pPr>
              <w:spacing w:line="300" w:lineRule="auto"/>
              <w:ind w:firstLine="400"/>
              <w:textAlignment w:val="auto"/>
            </w:pPr>
          </w:p>
        </w:tc>
        <w:tc>
          <w:tcPr>
            <w:tcW w:w="1957" w:type="dxa"/>
          </w:tcPr>
          <w:p>
            <w:pPr>
              <w:spacing w:line="300" w:lineRule="auto"/>
              <w:ind w:firstLine="400"/>
              <w:textAlignment w:val="auto"/>
            </w:pPr>
          </w:p>
        </w:tc>
        <w:tc>
          <w:tcPr>
            <w:tcW w:w="3060" w:type="dxa"/>
          </w:tcPr>
          <w:p>
            <w:pPr>
              <w:spacing w:line="300" w:lineRule="auto"/>
              <w:ind w:firstLine="4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300" w:lineRule="auto"/>
              <w:ind w:firstLine="400"/>
              <w:textAlignment w:val="auto"/>
            </w:pPr>
          </w:p>
        </w:tc>
        <w:tc>
          <w:tcPr>
            <w:tcW w:w="1710" w:type="dxa"/>
          </w:tcPr>
          <w:p>
            <w:pPr>
              <w:spacing w:line="300" w:lineRule="auto"/>
              <w:ind w:firstLine="400"/>
              <w:textAlignment w:val="auto"/>
            </w:pPr>
          </w:p>
        </w:tc>
        <w:tc>
          <w:tcPr>
            <w:tcW w:w="1957" w:type="dxa"/>
          </w:tcPr>
          <w:p>
            <w:pPr>
              <w:spacing w:line="300" w:lineRule="auto"/>
              <w:ind w:firstLine="400"/>
              <w:textAlignment w:val="auto"/>
            </w:pPr>
          </w:p>
        </w:tc>
        <w:tc>
          <w:tcPr>
            <w:tcW w:w="3060" w:type="dxa"/>
          </w:tcPr>
          <w:p>
            <w:pPr>
              <w:spacing w:line="300" w:lineRule="auto"/>
              <w:ind w:firstLine="4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300" w:lineRule="auto"/>
              <w:ind w:firstLine="400"/>
              <w:textAlignment w:val="auto"/>
            </w:pPr>
          </w:p>
        </w:tc>
        <w:tc>
          <w:tcPr>
            <w:tcW w:w="1710" w:type="dxa"/>
          </w:tcPr>
          <w:p>
            <w:pPr>
              <w:spacing w:line="300" w:lineRule="auto"/>
              <w:ind w:firstLine="400"/>
              <w:textAlignment w:val="auto"/>
            </w:pPr>
          </w:p>
        </w:tc>
        <w:tc>
          <w:tcPr>
            <w:tcW w:w="1957" w:type="dxa"/>
          </w:tcPr>
          <w:p>
            <w:pPr>
              <w:spacing w:line="300" w:lineRule="auto"/>
              <w:ind w:firstLine="400"/>
              <w:textAlignment w:val="auto"/>
            </w:pPr>
          </w:p>
        </w:tc>
        <w:tc>
          <w:tcPr>
            <w:tcW w:w="3060" w:type="dxa"/>
          </w:tcPr>
          <w:p>
            <w:pPr>
              <w:spacing w:line="300" w:lineRule="auto"/>
              <w:ind w:firstLine="400"/>
              <w:textAlignment w:val="auto"/>
            </w:pPr>
          </w:p>
        </w:tc>
      </w:tr>
    </w:tbl>
    <w:p>
      <w:pPr>
        <w:spacing w:line="300" w:lineRule="auto"/>
        <w:textAlignment w:val="auto"/>
        <w:rPr>
          <w:sz w:val="20"/>
        </w:rPr>
      </w:pPr>
      <w:r>
        <w:rPr>
          <w:rFonts w:hint="eastAsia"/>
          <w:sz w:val="20"/>
        </w:rPr>
        <w:t>注：若投标人因投标文件不响应、不符合资格标准或未经评估而被拒绝，则只填写唱标价而不填写评标价并在原因说明栏进行说明。</w:t>
      </w:r>
    </w:p>
    <w:p>
      <w:pPr>
        <w:spacing w:line="300" w:lineRule="auto"/>
        <w:textAlignment w:val="auto"/>
      </w:pPr>
    </w:p>
    <w:p>
      <w:pPr>
        <w:spacing w:line="300" w:lineRule="auto"/>
        <w:ind w:firstLine="400"/>
        <w:textAlignment w:val="auto"/>
      </w:pPr>
      <w:r>
        <w:rPr>
          <w:rFonts w:hint="eastAsia"/>
        </w:rPr>
        <w:t>（</w:t>
      </w:r>
      <w:r>
        <w:t>2</w:t>
      </w:r>
      <w:r>
        <w:rPr>
          <w:rFonts w:hint="eastAsia"/>
        </w:rPr>
        <w:t>）推荐</w:t>
      </w:r>
      <w:r>
        <w:t>中标</w:t>
      </w:r>
      <w:r>
        <w:rPr>
          <w:rFonts w:hint="eastAsia"/>
        </w:rPr>
        <w:t>人信息</w:t>
      </w:r>
    </w:p>
    <w:tbl>
      <w:tblPr>
        <w:tblStyle w:val="6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0" w:type="dxa"/>
            <w:tcBorders>
              <w:top w:val="single" w:color="auto" w:sz="4" w:space="0"/>
              <w:left w:val="single" w:color="auto" w:sz="4" w:space="0"/>
              <w:bottom w:val="single" w:color="auto" w:sz="4" w:space="0"/>
              <w:right w:val="single" w:color="auto" w:sz="4" w:space="0"/>
            </w:tcBorders>
          </w:tcPr>
          <w:p>
            <w:pPr>
              <w:spacing w:line="300" w:lineRule="auto"/>
              <w:textAlignment w:val="auto"/>
            </w:pPr>
            <w:r>
              <w:t>投标人名称：</w:t>
            </w:r>
          </w:p>
        </w:tc>
        <w:tc>
          <w:tcPr>
            <w:tcW w:w="4095" w:type="dxa"/>
            <w:tcBorders>
              <w:top w:val="single" w:color="auto" w:sz="4" w:space="0"/>
              <w:left w:val="single" w:color="auto" w:sz="4" w:space="0"/>
              <w:bottom w:val="single" w:color="auto" w:sz="4" w:space="0"/>
              <w:right w:val="single" w:color="auto" w:sz="4" w:space="0"/>
            </w:tcBorders>
          </w:tcPr>
          <w:p>
            <w:pPr>
              <w:spacing w:line="30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0" w:type="dxa"/>
            <w:tcBorders>
              <w:top w:val="single" w:color="auto" w:sz="4" w:space="0"/>
              <w:left w:val="single" w:color="auto" w:sz="4" w:space="0"/>
              <w:bottom w:val="single" w:color="auto" w:sz="4" w:space="0"/>
              <w:right w:val="single" w:color="auto" w:sz="4" w:space="0"/>
            </w:tcBorders>
          </w:tcPr>
          <w:p>
            <w:pPr>
              <w:spacing w:line="300" w:lineRule="auto"/>
              <w:textAlignment w:val="auto"/>
            </w:pPr>
            <w:r>
              <w:t>地址：</w:t>
            </w:r>
          </w:p>
        </w:tc>
        <w:tc>
          <w:tcPr>
            <w:tcW w:w="4095" w:type="dxa"/>
            <w:tcBorders>
              <w:top w:val="single" w:color="auto" w:sz="4" w:space="0"/>
              <w:left w:val="single" w:color="auto" w:sz="4" w:space="0"/>
              <w:bottom w:val="single" w:color="auto" w:sz="4" w:space="0"/>
              <w:right w:val="single" w:color="auto" w:sz="4" w:space="0"/>
            </w:tcBorders>
          </w:tcPr>
          <w:p>
            <w:pPr>
              <w:spacing w:line="30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0" w:type="dxa"/>
            <w:tcBorders>
              <w:top w:val="single" w:color="auto" w:sz="4" w:space="0"/>
              <w:left w:val="single" w:color="auto" w:sz="4" w:space="0"/>
              <w:bottom w:val="single" w:color="auto" w:sz="4" w:space="0"/>
              <w:right w:val="single" w:color="auto" w:sz="4" w:space="0"/>
            </w:tcBorders>
          </w:tcPr>
          <w:p>
            <w:pPr>
              <w:spacing w:line="300" w:lineRule="auto"/>
              <w:textAlignment w:val="auto"/>
            </w:pPr>
            <w:r>
              <w:t>合同价格：</w:t>
            </w:r>
          </w:p>
        </w:tc>
        <w:tc>
          <w:tcPr>
            <w:tcW w:w="4095" w:type="dxa"/>
            <w:tcBorders>
              <w:top w:val="single" w:color="auto" w:sz="4" w:space="0"/>
              <w:left w:val="single" w:color="auto" w:sz="4" w:space="0"/>
              <w:bottom w:val="single" w:color="auto" w:sz="4" w:space="0"/>
              <w:right w:val="single" w:color="auto" w:sz="4" w:space="0"/>
            </w:tcBorders>
          </w:tcPr>
          <w:p>
            <w:pPr>
              <w:spacing w:line="30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0" w:type="dxa"/>
            <w:tcBorders>
              <w:top w:val="single" w:color="auto" w:sz="4" w:space="0"/>
              <w:left w:val="single" w:color="auto" w:sz="4" w:space="0"/>
              <w:bottom w:val="single" w:color="auto" w:sz="4" w:space="0"/>
              <w:right w:val="single" w:color="auto" w:sz="4" w:space="0"/>
            </w:tcBorders>
          </w:tcPr>
          <w:p>
            <w:pPr>
              <w:spacing w:line="300" w:lineRule="auto"/>
              <w:textAlignment w:val="auto"/>
            </w:pPr>
            <w:r>
              <w:t>合同</w:t>
            </w:r>
            <w:r>
              <w:rPr>
                <w:rFonts w:hint="eastAsia"/>
              </w:rPr>
              <w:t>期限</w:t>
            </w:r>
            <w:r>
              <w:t>：</w:t>
            </w:r>
          </w:p>
        </w:tc>
        <w:tc>
          <w:tcPr>
            <w:tcW w:w="4095" w:type="dxa"/>
            <w:tcBorders>
              <w:top w:val="single" w:color="auto" w:sz="4" w:space="0"/>
              <w:left w:val="single" w:color="auto" w:sz="4" w:space="0"/>
              <w:bottom w:val="single" w:color="auto" w:sz="4" w:space="0"/>
              <w:right w:val="single" w:color="auto" w:sz="4" w:space="0"/>
            </w:tcBorders>
          </w:tcPr>
          <w:p>
            <w:pPr>
              <w:spacing w:line="30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0" w:type="dxa"/>
            <w:tcBorders>
              <w:top w:val="single" w:color="auto" w:sz="4" w:space="0"/>
              <w:left w:val="single" w:color="auto" w:sz="4" w:space="0"/>
              <w:bottom w:val="single" w:color="auto" w:sz="4" w:space="0"/>
              <w:right w:val="single" w:color="auto" w:sz="4" w:space="0"/>
            </w:tcBorders>
          </w:tcPr>
          <w:p>
            <w:pPr>
              <w:spacing w:line="300" w:lineRule="auto"/>
              <w:textAlignment w:val="auto"/>
            </w:pPr>
            <w:r>
              <w:rPr>
                <w:rFonts w:hint="eastAsia"/>
              </w:rPr>
              <w:t>合同</w:t>
            </w:r>
            <w:r>
              <w:t>范围：</w:t>
            </w:r>
          </w:p>
        </w:tc>
        <w:tc>
          <w:tcPr>
            <w:tcW w:w="4095" w:type="dxa"/>
            <w:tcBorders>
              <w:top w:val="single" w:color="auto" w:sz="4" w:space="0"/>
              <w:left w:val="single" w:color="auto" w:sz="4" w:space="0"/>
              <w:bottom w:val="single" w:color="auto" w:sz="4" w:space="0"/>
              <w:right w:val="single" w:color="auto" w:sz="4" w:space="0"/>
            </w:tcBorders>
          </w:tcPr>
          <w:p>
            <w:pPr>
              <w:spacing w:line="300" w:lineRule="auto"/>
              <w:textAlignment w:val="auto"/>
            </w:pPr>
          </w:p>
        </w:tc>
      </w:tr>
    </w:tbl>
    <w:p>
      <w:pPr>
        <w:spacing w:line="300" w:lineRule="auto"/>
        <w:textAlignment w:val="auto"/>
      </w:pPr>
    </w:p>
    <w:p>
      <w:pPr>
        <w:spacing w:line="300" w:lineRule="auto"/>
        <w:ind w:right="33" w:firstLine="400"/>
        <w:jc w:val="left"/>
        <w:textAlignment w:val="auto"/>
        <w:rPr>
          <w:rFonts w:cs="Arial"/>
          <w:sz w:val="20"/>
        </w:rPr>
      </w:pPr>
    </w:p>
    <w:p>
      <w:pPr>
        <w:spacing w:line="300" w:lineRule="auto"/>
        <w:ind w:right="33" w:firstLine="400"/>
        <w:jc w:val="left"/>
        <w:textAlignment w:val="auto"/>
        <w:rPr>
          <w:rFonts w:cs="Arial"/>
          <w:sz w:val="20"/>
        </w:rPr>
      </w:pPr>
    </w:p>
    <w:p>
      <w:pPr>
        <w:pStyle w:val="27"/>
        <w:tabs>
          <w:tab w:val="right" w:leader="dot" w:pos="9360"/>
        </w:tabs>
        <w:spacing w:before="120" w:after="120" w:line="300" w:lineRule="auto"/>
        <w:ind w:left="180" w:right="33" w:firstLine="420"/>
        <w:jc w:val="right"/>
        <w:rPr>
          <w:rFonts w:eastAsia="宋体"/>
          <w:iCs/>
          <w:sz w:val="21"/>
          <w:szCs w:val="21"/>
        </w:rPr>
      </w:pPr>
      <w:r>
        <w:rPr>
          <w:rFonts w:eastAsia="宋体"/>
          <w:iCs/>
          <w:sz w:val="21"/>
          <w:szCs w:val="21"/>
        </w:rPr>
        <w:t>授权人签字：</w:t>
      </w:r>
      <w:r>
        <w:rPr>
          <w:rFonts w:hint="eastAsia" w:eastAsia="宋体"/>
          <w:iCs/>
          <w:sz w:val="21"/>
          <w:szCs w:val="21"/>
        </w:rPr>
        <w:t>________________</w:t>
      </w:r>
    </w:p>
    <w:p>
      <w:pPr>
        <w:pStyle w:val="27"/>
        <w:tabs>
          <w:tab w:val="right" w:leader="dot" w:pos="9360"/>
        </w:tabs>
        <w:spacing w:before="120" w:after="120" w:line="300" w:lineRule="auto"/>
        <w:ind w:left="180" w:right="33" w:firstLine="420"/>
        <w:jc w:val="right"/>
        <w:rPr>
          <w:rFonts w:eastAsia="宋体"/>
          <w:iCs/>
          <w:sz w:val="21"/>
          <w:szCs w:val="21"/>
        </w:rPr>
      </w:pPr>
      <w:r>
        <w:rPr>
          <w:rFonts w:eastAsia="宋体"/>
          <w:iCs/>
          <w:sz w:val="21"/>
          <w:szCs w:val="21"/>
        </w:rPr>
        <w:t>签字人名称及职务：</w:t>
      </w:r>
      <w:r>
        <w:rPr>
          <w:rFonts w:hint="eastAsia" w:eastAsia="宋体"/>
          <w:iCs/>
          <w:sz w:val="21"/>
          <w:szCs w:val="21"/>
        </w:rPr>
        <w:t>________________</w:t>
      </w:r>
    </w:p>
    <w:p>
      <w:pPr>
        <w:spacing w:line="300" w:lineRule="auto"/>
        <w:ind w:right="33"/>
        <w:jc w:val="right"/>
        <w:textAlignment w:val="auto"/>
        <w:rPr>
          <w:iCs/>
          <w:szCs w:val="21"/>
        </w:rPr>
      </w:pPr>
      <w:r>
        <w:rPr>
          <w:rFonts w:hint="eastAsia"/>
          <w:szCs w:val="21"/>
        </w:rPr>
        <w:t>业主</w:t>
      </w:r>
      <w:r>
        <w:rPr>
          <w:iCs/>
          <w:szCs w:val="21"/>
        </w:rPr>
        <w:t>名称</w:t>
      </w:r>
      <w:r>
        <w:rPr>
          <w:szCs w:val="21"/>
        </w:rPr>
        <w:t>：</w:t>
      </w:r>
      <w:r>
        <w:rPr>
          <w:rFonts w:hint="eastAsia"/>
          <w:iCs/>
          <w:szCs w:val="21"/>
        </w:rPr>
        <w:t>________________</w:t>
      </w:r>
    </w:p>
    <w:p>
      <w:pPr>
        <w:pStyle w:val="27"/>
        <w:tabs>
          <w:tab w:val="right" w:leader="dot" w:pos="9360"/>
        </w:tabs>
        <w:spacing w:before="120" w:after="120" w:line="300" w:lineRule="auto"/>
        <w:ind w:left="180" w:right="33" w:firstLine="420"/>
        <w:jc w:val="right"/>
        <w:rPr>
          <w:rFonts w:eastAsia="宋体"/>
          <w:iCs/>
          <w:sz w:val="21"/>
          <w:szCs w:val="21"/>
        </w:rPr>
      </w:pPr>
      <w:r>
        <w:rPr>
          <w:rFonts w:hint="eastAsia" w:eastAsia="宋体"/>
          <w:iCs/>
          <w:sz w:val="21"/>
          <w:szCs w:val="21"/>
        </w:rPr>
        <w:t xml:space="preserve">（加盖公章） </w:t>
      </w:r>
      <w:r>
        <w:rPr>
          <w:rFonts w:eastAsia="宋体"/>
          <w:iCs/>
          <w:sz w:val="21"/>
          <w:szCs w:val="21"/>
        </w:rPr>
        <w:t xml:space="preserve"> </w:t>
      </w:r>
    </w:p>
    <w:p>
      <w:pPr>
        <w:spacing w:line="300" w:lineRule="auto"/>
        <w:ind w:right="33"/>
        <w:jc w:val="right"/>
        <w:textAlignment w:val="auto"/>
        <w:rPr>
          <w:szCs w:val="21"/>
        </w:rPr>
      </w:pPr>
      <w:r>
        <w:rPr>
          <w:rFonts w:hint="eastAsia"/>
          <w:szCs w:val="21"/>
        </w:rPr>
        <w:t>地址：________________</w:t>
      </w:r>
    </w:p>
    <w:p>
      <w:pPr>
        <w:spacing w:line="300" w:lineRule="auto"/>
        <w:ind w:right="33"/>
        <w:jc w:val="right"/>
        <w:textAlignment w:val="auto"/>
        <w:rPr>
          <w:szCs w:val="21"/>
        </w:rPr>
      </w:pPr>
    </w:p>
    <w:p>
      <w:pPr>
        <w:spacing w:line="300" w:lineRule="auto"/>
        <w:ind w:right="33"/>
        <w:jc w:val="right"/>
        <w:textAlignment w:val="auto"/>
        <w:rPr>
          <w:szCs w:val="21"/>
        </w:rPr>
      </w:pPr>
    </w:p>
    <w:p>
      <w:pPr>
        <w:spacing w:line="300" w:lineRule="auto"/>
        <w:ind w:right="33"/>
        <w:jc w:val="right"/>
        <w:textAlignment w:val="auto"/>
        <w:rPr>
          <w:szCs w:val="21"/>
        </w:rPr>
      </w:pPr>
    </w:p>
    <w:p>
      <w:pPr>
        <w:spacing w:line="300" w:lineRule="auto"/>
        <w:ind w:right="33"/>
        <w:jc w:val="right"/>
        <w:textAlignment w:val="auto"/>
        <w:rPr>
          <w:szCs w:val="21"/>
        </w:rPr>
      </w:pPr>
    </w:p>
    <w:p>
      <w:pPr>
        <w:widowControl/>
        <w:adjustRightInd/>
        <w:spacing w:line="240" w:lineRule="auto"/>
        <w:jc w:val="left"/>
        <w:textAlignment w:val="auto"/>
        <w:rPr>
          <w:b/>
          <w:sz w:val="24"/>
          <w:lang w:val="zh-CN" w:eastAsia="zh-CN"/>
        </w:rPr>
      </w:pPr>
      <w:bookmarkStart w:id="1874" w:name="_Toc110264511"/>
      <w:bookmarkStart w:id="1875" w:name="_Toc110264810"/>
      <w:bookmarkStart w:id="1876" w:name="_Toc110264974"/>
      <w:bookmarkStart w:id="1877" w:name="_Toc170313753"/>
      <w:bookmarkStart w:id="1878" w:name="_Toc169103360"/>
      <w:bookmarkStart w:id="1879" w:name="_Toc110272080"/>
      <w:bookmarkStart w:id="1880" w:name="_Toc110268546"/>
      <w:bookmarkStart w:id="1881" w:name="_Toc110265210"/>
      <w:bookmarkStart w:id="1882" w:name="_Toc110264757"/>
      <w:r>
        <w:br w:type="page"/>
      </w:r>
    </w:p>
    <w:p>
      <w:pPr>
        <w:pStyle w:val="4"/>
      </w:pPr>
      <w:bookmarkStart w:id="1883" w:name="_Toc171063225"/>
      <w:r>
        <w:rPr>
          <w:rFonts w:hint="eastAsia"/>
        </w:rPr>
        <w:t>中标通知书</w:t>
      </w:r>
      <w:bookmarkEnd w:id="1866"/>
      <w:bookmarkEnd w:id="1867"/>
      <w:bookmarkEnd w:id="1868"/>
      <w:bookmarkEnd w:id="1869"/>
      <w:bookmarkEnd w:id="1874"/>
      <w:bookmarkEnd w:id="1875"/>
      <w:bookmarkEnd w:id="1876"/>
      <w:bookmarkEnd w:id="1877"/>
      <w:bookmarkEnd w:id="1878"/>
      <w:bookmarkEnd w:id="1879"/>
      <w:bookmarkEnd w:id="1880"/>
      <w:bookmarkEnd w:id="1881"/>
      <w:bookmarkEnd w:id="1882"/>
      <w:bookmarkEnd w:id="1883"/>
    </w:p>
    <w:p>
      <w:pPr>
        <w:pStyle w:val="26"/>
        <w:spacing w:before="120" w:after="120"/>
        <w:ind w:left="180" w:right="708"/>
        <w:textAlignment w:val="auto"/>
        <w:rPr>
          <w:sz w:val="21"/>
          <w:szCs w:val="21"/>
        </w:rPr>
      </w:pPr>
    </w:p>
    <w:p>
      <w:pPr>
        <w:pStyle w:val="26"/>
        <w:tabs>
          <w:tab w:val="left" w:pos="2515"/>
          <w:tab w:val="right" w:pos="8025"/>
        </w:tabs>
        <w:spacing w:before="120" w:after="120"/>
        <w:ind w:left="180" w:right="288"/>
        <w:jc w:val="left"/>
        <w:textAlignment w:val="auto"/>
        <w:rPr>
          <w:i w:val="0"/>
          <w:sz w:val="21"/>
          <w:szCs w:val="21"/>
        </w:rPr>
      </w:pPr>
      <w:r>
        <w:rPr>
          <w:bCs/>
          <w:i w:val="0"/>
          <w:sz w:val="21"/>
          <w:szCs w:val="21"/>
        </w:rPr>
        <w:tab/>
      </w:r>
      <w:r>
        <w:rPr>
          <w:bCs/>
          <w:i w:val="0"/>
          <w:sz w:val="21"/>
          <w:szCs w:val="21"/>
        </w:rPr>
        <w:tab/>
      </w:r>
      <w:r>
        <w:rPr>
          <w:rFonts w:hint="eastAsia"/>
          <w:bCs/>
          <w:i w:val="0"/>
          <w:sz w:val="21"/>
          <w:szCs w:val="21"/>
          <w:lang w:eastAsia="zh-CN"/>
        </w:rPr>
        <w:t>签发</w:t>
      </w:r>
      <w:r>
        <w:rPr>
          <w:rFonts w:hint="eastAsia"/>
          <w:bCs/>
          <w:i w:val="0"/>
          <w:sz w:val="21"/>
          <w:szCs w:val="21"/>
        </w:rPr>
        <w:t>日期：____________________</w:t>
      </w:r>
    </w:p>
    <w:p>
      <w:pPr>
        <w:pStyle w:val="26"/>
        <w:spacing w:before="120" w:after="120"/>
        <w:ind w:left="180" w:right="288"/>
        <w:textAlignment w:val="auto"/>
        <w:rPr>
          <w:i w:val="0"/>
          <w:iCs w:val="0"/>
          <w:sz w:val="21"/>
          <w:szCs w:val="21"/>
        </w:rPr>
      </w:pPr>
    </w:p>
    <w:p>
      <w:pPr>
        <w:pStyle w:val="26"/>
        <w:spacing w:before="120" w:after="120"/>
        <w:ind w:left="180" w:right="288"/>
        <w:textAlignment w:val="auto"/>
        <w:rPr>
          <w:i w:val="0"/>
          <w:sz w:val="21"/>
          <w:szCs w:val="21"/>
        </w:rPr>
      </w:pPr>
      <w:r>
        <w:rPr>
          <w:rFonts w:hint="eastAsia"/>
          <w:i w:val="0"/>
          <w:sz w:val="21"/>
          <w:szCs w:val="21"/>
        </w:rPr>
        <w:t>致____________________</w:t>
      </w:r>
      <w:r>
        <w:rPr>
          <w:rFonts w:hint="eastAsia"/>
          <w:i w:val="0"/>
          <w:sz w:val="21"/>
          <w:szCs w:val="21"/>
          <w:lang w:eastAsia="zh-CN"/>
        </w:rPr>
        <w:t>（中标人名称）：</w:t>
      </w:r>
    </w:p>
    <w:p>
      <w:pPr>
        <w:pStyle w:val="26"/>
        <w:spacing w:before="120" w:after="120"/>
        <w:ind w:left="180" w:right="288"/>
        <w:textAlignment w:val="auto"/>
        <w:rPr>
          <w:iCs w:val="0"/>
          <w:sz w:val="21"/>
          <w:szCs w:val="21"/>
        </w:rPr>
      </w:pPr>
    </w:p>
    <w:p>
      <w:pPr>
        <w:pStyle w:val="27"/>
        <w:spacing w:before="120" w:after="120"/>
        <w:ind w:left="180" w:right="288" w:firstLine="420"/>
        <w:jc w:val="both"/>
        <w:rPr>
          <w:rFonts w:eastAsia="宋体"/>
          <w:iCs/>
          <w:sz w:val="21"/>
          <w:szCs w:val="21"/>
        </w:rPr>
      </w:pPr>
    </w:p>
    <w:p>
      <w:pPr>
        <w:pStyle w:val="27"/>
        <w:spacing w:before="120" w:after="120"/>
        <w:ind w:firstLine="420" w:firstLineChars="200"/>
        <w:jc w:val="both"/>
        <w:rPr>
          <w:rFonts w:eastAsia="宋体"/>
          <w:sz w:val="21"/>
          <w:szCs w:val="21"/>
        </w:rPr>
      </w:pPr>
      <w:r>
        <w:rPr>
          <w:rFonts w:eastAsia="宋体"/>
          <w:sz w:val="21"/>
          <w:szCs w:val="21"/>
        </w:rPr>
        <w:t>谨通知</w:t>
      </w:r>
      <w:r>
        <w:rPr>
          <w:rFonts w:hint="eastAsia" w:eastAsia="宋体"/>
          <w:sz w:val="21"/>
          <w:szCs w:val="21"/>
        </w:rPr>
        <w:t>，</w:t>
      </w:r>
      <w:r>
        <w:rPr>
          <w:rFonts w:eastAsia="宋体"/>
          <w:sz w:val="21"/>
          <w:szCs w:val="21"/>
        </w:rPr>
        <w:t>贵</w:t>
      </w:r>
      <w:r>
        <w:rPr>
          <w:rFonts w:hint="eastAsia" w:eastAsia="宋体"/>
          <w:sz w:val="21"/>
          <w:szCs w:val="21"/>
        </w:rPr>
        <w:t>方</w:t>
      </w:r>
      <w:r>
        <w:rPr>
          <w:rFonts w:eastAsia="宋体"/>
          <w:sz w:val="21"/>
          <w:szCs w:val="21"/>
        </w:rPr>
        <w:t>于</w:t>
      </w:r>
      <w:r>
        <w:rPr>
          <w:rFonts w:hint="eastAsia" w:eastAsia="宋体"/>
          <w:sz w:val="21"/>
          <w:szCs w:val="21"/>
        </w:rPr>
        <w:t>________年____月____日</w:t>
      </w:r>
      <w:r>
        <w:rPr>
          <w:rFonts w:eastAsia="宋体"/>
          <w:sz w:val="21"/>
          <w:szCs w:val="21"/>
        </w:rPr>
        <w:t>为</w:t>
      </w:r>
      <w:r>
        <w:rPr>
          <w:rFonts w:hint="eastAsia" w:eastAsia="宋体"/>
          <w:sz w:val="21"/>
          <w:szCs w:val="21"/>
        </w:rPr>
        <w:t>实施</w:t>
      </w:r>
      <w:r>
        <w:rPr>
          <w:rFonts w:eastAsia="宋体"/>
          <w:sz w:val="21"/>
          <w:szCs w:val="21"/>
        </w:rPr>
        <w:t>_______________</w:t>
      </w:r>
      <w:r>
        <w:rPr>
          <w:rFonts w:hint="eastAsia" w:eastAsia="宋体"/>
          <w:sz w:val="21"/>
          <w:szCs w:val="21"/>
          <w:lang w:eastAsia="zh-CN"/>
        </w:rPr>
        <w:t>项目（招标编号：_____________，合同编号：_____________）</w:t>
      </w:r>
      <w:r>
        <w:rPr>
          <w:rFonts w:eastAsia="宋体"/>
          <w:sz w:val="21"/>
          <w:szCs w:val="21"/>
        </w:rPr>
        <w:t>以人民币____________</w:t>
      </w:r>
      <w:r>
        <w:rPr>
          <w:rFonts w:hint="eastAsia" w:eastAsia="宋体"/>
          <w:sz w:val="21"/>
          <w:szCs w:val="21"/>
          <w:lang w:eastAsia="zh-CN"/>
        </w:rPr>
        <w:t>元</w:t>
      </w:r>
      <w:r>
        <w:rPr>
          <w:rFonts w:eastAsia="宋体"/>
          <w:sz w:val="21"/>
          <w:szCs w:val="21"/>
        </w:rPr>
        <w:t>的报价提交的，并根据投标人须知进行折</w:t>
      </w:r>
      <w:r>
        <w:rPr>
          <w:rFonts w:hint="eastAsia" w:eastAsia="宋体"/>
          <w:sz w:val="21"/>
          <w:szCs w:val="21"/>
        </w:rPr>
        <w:t>扣</w:t>
      </w:r>
      <w:r>
        <w:rPr>
          <w:rFonts w:eastAsia="宋体"/>
          <w:sz w:val="21"/>
          <w:szCs w:val="21"/>
        </w:rPr>
        <w:t>和修改的投标已为我方接受。</w:t>
      </w:r>
      <w:r>
        <w:rPr>
          <w:rFonts w:hint="eastAsia" w:eastAsia="宋体"/>
          <w:sz w:val="21"/>
          <w:szCs w:val="21"/>
          <w:lang w:eastAsia="zh-CN"/>
        </w:rPr>
        <w:t>本次招标</w:t>
      </w:r>
      <w:r>
        <w:rPr>
          <w:rFonts w:hint="eastAsia" w:eastAsia="宋体"/>
          <w:sz w:val="21"/>
          <w:szCs w:val="21"/>
        </w:rPr>
        <w:t>接受的合同价格为人民币 ____________ 元。</w:t>
      </w:r>
    </w:p>
    <w:p>
      <w:pPr>
        <w:pStyle w:val="27"/>
        <w:spacing w:before="120" w:after="120"/>
        <w:ind w:firstLine="420" w:firstLineChars="200"/>
        <w:jc w:val="both"/>
        <w:rPr>
          <w:rFonts w:eastAsia="宋体"/>
          <w:i/>
          <w:sz w:val="21"/>
          <w:szCs w:val="21"/>
        </w:rPr>
      </w:pPr>
      <w:r>
        <w:rPr>
          <w:rFonts w:hint="eastAsia" w:eastAsia="宋体"/>
          <w:i/>
          <w:sz w:val="21"/>
          <w:szCs w:val="21"/>
        </w:rPr>
        <w:t>[选择下列任一陈述：]</w:t>
      </w:r>
    </w:p>
    <w:p>
      <w:pPr>
        <w:pStyle w:val="27"/>
        <w:spacing w:before="120" w:after="120"/>
        <w:ind w:firstLine="420" w:firstLineChars="200"/>
        <w:jc w:val="both"/>
        <w:rPr>
          <w:rFonts w:eastAsia="宋体"/>
          <w:sz w:val="21"/>
          <w:szCs w:val="21"/>
        </w:rPr>
      </w:pPr>
      <w:r>
        <w:rPr>
          <w:rFonts w:hint="eastAsia" w:eastAsia="宋体"/>
          <w:sz w:val="21"/>
          <w:szCs w:val="21"/>
        </w:rPr>
        <w:t>请按招标文件第一章第38条的规定，在本中标通知书所附的已经我方签署的二份合同协议书原件上签字，并在收到本中标通知书后的14天内寄还我方。</w:t>
      </w:r>
    </w:p>
    <w:p>
      <w:pPr>
        <w:pStyle w:val="27"/>
        <w:spacing w:before="120" w:after="120"/>
        <w:ind w:firstLine="420" w:firstLineChars="200"/>
        <w:jc w:val="both"/>
        <w:rPr>
          <w:rFonts w:eastAsia="宋体"/>
          <w:sz w:val="21"/>
          <w:szCs w:val="21"/>
        </w:rPr>
      </w:pPr>
      <w:r>
        <w:rPr>
          <w:rFonts w:eastAsia="宋体"/>
          <w:sz w:val="21"/>
          <w:szCs w:val="21"/>
        </w:rPr>
        <w:t>请按合同规定，根据招标文件第</w:t>
      </w:r>
      <w:r>
        <w:rPr>
          <w:rFonts w:hint="eastAsia" w:eastAsia="宋体"/>
          <w:sz w:val="21"/>
          <w:szCs w:val="21"/>
          <w:lang w:eastAsia="zh-CN"/>
        </w:rPr>
        <w:t>九</w:t>
      </w:r>
      <w:r>
        <w:rPr>
          <w:rFonts w:eastAsia="宋体"/>
          <w:sz w:val="21"/>
          <w:szCs w:val="21"/>
        </w:rPr>
        <w:t>章提供的履约保函格式于28天内提交履约保函。</w:t>
      </w:r>
    </w:p>
    <w:p>
      <w:pPr>
        <w:pStyle w:val="27"/>
        <w:spacing w:before="120" w:after="120"/>
        <w:ind w:firstLine="420" w:firstLineChars="200"/>
        <w:jc w:val="both"/>
        <w:rPr>
          <w:rFonts w:eastAsia="宋体"/>
          <w:i/>
          <w:sz w:val="21"/>
          <w:szCs w:val="21"/>
        </w:rPr>
      </w:pPr>
      <w:r>
        <w:rPr>
          <w:rFonts w:hint="eastAsia" w:eastAsia="宋体"/>
          <w:i/>
          <w:sz w:val="21"/>
          <w:szCs w:val="21"/>
        </w:rPr>
        <w:t>或</w:t>
      </w:r>
    </w:p>
    <w:p>
      <w:pPr>
        <w:pStyle w:val="27"/>
        <w:spacing w:before="120" w:after="120"/>
        <w:ind w:firstLine="420" w:firstLineChars="200"/>
        <w:jc w:val="both"/>
        <w:rPr>
          <w:rFonts w:eastAsia="宋体"/>
          <w:sz w:val="21"/>
          <w:szCs w:val="21"/>
        </w:rPr>
      </w:pPr>
      <w:r>
        <w:rPr>
          <w:rFonts w:hint="eastAsia" w:eastAsia="宋体"/>
          <w:sz w:val="21"/>
          <w:szCs w:val="21"/>
        </w:rPr>
        <w:t>在_____年____月____日前，携带</w:t>
      </w:r>
      <w:r>
        <w:rPr>
          <w:rFonts w:eastAsia="宋体"/>
          <w:sz w:val="21"/>
          <w:szCs w:val="21"/>
        </w:rPr>
        <w:t>根据招标文件第</w:t>
      </w:r>
      <w:r>
        <w:rPr>
          <w:rFonts w:hint="eastAsia" w:eastAsia="宋体"/>
          <w:sz w:val="21"/>
          <w:szCs w:val="21"/>
          <w:lang w:eastAsia="zh-CN"/>
        </w:rPr>
        <w:t>九</w:t>
      </w:r>
      <w:r>
        <w:rPr>
          <w:rFonts w:eastAsia="宋体"/>
          <w:sz w:val="21"/>
          <w:szCs w:val="21"/>
        </w:rPr>
        <w:t>章</w:t>
      </w:r>
      <w:r>
        <w:rPr>
          <w:rFonts w:hint="eastAsia" w:eastAsia="宋体"/>
          <w:sz w:val="21"/>
          <w:szCs w:val="21"/>
        </w:rPr>
        <w:t>规定</w:t>
      </w:r>
      <w:r>
        <w:rPr>
          <w:rFonts w:eastAsia="宋体"/>
          <w:sz w:val="21"/>
          <w:szCs w:val="21"/>
        </w:rPr>
        <w:t>的格式</w:t>
      </w:r>
      <w:r>
        <w:rPr>
          <w:rFonts w:hint="eastAsia" w:eastAsia="宋体"/>
          <w:sz w:val="21"/>
          <w:szCs w:val="21"/>
        </w:rPr>
        <w:t>所开具</w:t>
      </w:r>
      <w:r>
        <w:rPr>
          <w:rFonts w:eastAsia="宋体"/>
          <w:sz w:val="21"/>
          <w:szCs w:val="21"/>
        </w:rPr>
        <w:t>履约保函</w:t>
      </w:r>
      <w:r>
        <w:rPr>
          <w:rFonts w:hint="eastAsia" w:eastAsia="宋体"/>
          <w:sz w:val="21"/>
          <w:szCs w:val="21"/>
        </w:rPr>
        <w:t>，到________________</w:t>
      </w:r>
      <w:r>
        <w:rPr>
          <w:rFonts w:eastAsia="宋体"/>
          <w:sz w:val="21"/>
          <w:szCs w:val="21"/>
        </w:rPr>
        <w:t xml:space="preserve"> </w:t>
      </w:r>
      <w:r>
        <w:rPr>
          <w:rFonts w:ascii="宋体" w:hAnsi="宋体" w:eastAsia="宋体"/>
          <w:i/>
          <w:iCs/>
          <w:sz w:val="21"/>
          <w:szCs w:val="21"/>
          <w:lang w:eastAsia="zh-CN"/>
        </w:rPr>
        <w:t>[</w:t>
      </w:r>
      <w:r>
        <w:rPr>
          <w:rFonts w:hint="eastAsia" w:ascii="宋体" w:hAnsi="宋体" w:eastAsia="宋体"/>
          <w:i/>
          <w:iCs/>
          <w:sz w:val="21"/>
          <w:szCs w:val="21"/>
          <w:lang w:eastAsia="zh-CN"/>
        </w:rPr>
        <w:t>插入详细地址]</w:t>
      </w:r>
      <w:r>
        <w:rPr>
          <w:rFonts w:hint="eastAsia" w:eastAsia="宋体"/>
          <w:sz w:val="21"/>
          <w:szCs w:val="21"/>
        </w:rPr>
        <w:t>，签署合同。</w:t>
      </w:r>
    </w:p>
    <w:p>
      <w:pPr>
        <w:pStyle w:val="27"/>
        <w:spacing w:before="120" w:after="120"/>
        <w:ind w:firstLine="420" w:firstLineChars="200"/>
        <w:jc w:val="both"/>
        <w:rPr>
          <w:rFonts w:eastAsia="宋体"/>
          <w:i/>
          <w:iCs/>
          <w:sz w:val="21"/>
          <w:szCs w:val="21"/>
        </w:rPr>
      </w:pPr>
      <w:r>
        <w:rPr>
          <w:rFonts w:eastAsia="宋体"/>
          <w:i/>
          <w:iCs/>
          <w:sz w:val="21"/>
          <w:szCs w:val="21"/>
        </w:rPr>
        <w:t>［选择下列任一陈述：］</w:t>
      </w:r>
    </w:p>
    <w:p>
      <w:pPr>
        <w:pStyle w:val="27"/>
        <w:spacing w:before="120" w:after="120"/>
        <w:ind w:firstLine="420" w:firstLineChars="200"/>
        <w:jc w:val="both"/>
        <w:rPr>
          <w:rFonts w:eastAsia="宋体"/>
          <w:iCs/>
          <w:sz w:val="21"/>
          <w:szCs w:val="21"/>
          <w:u w:val="single"/>
        </w:rPr>
      </w:pPr>
      <w:r>
        <w:rPr>
          <w:rFonts w:eastAsia="宋体"/>
          <w:iCs/>
          <w:sz w:val="21"/>
          <w:szCs w:val="21"/>
        </w:rPr>
        <w:t>我方接受指派____________________为调解员。</w:t>
      </w:r>
    </w:p>
    <w:p>
      <w:pPr>
        <w:pStyle w:val="27"/>
        <w:spacing w:before="120" w:after="120"/>
        <w:ind w:firstLine="420" w:firstLineChars="200"/>
        <w:jc w:val="both"/>
        <w:rPr>
          <w:rFonts w:eastAsia="宋体"/>
          <w:i/>
          <w:iCs/>
          <w:sz w:val="21"/>
          <w:szCs w:val="21"/>
        </w:rPr>
      </w:pPr>
      <w:r>
        <w:rPr>
          <w:rFonts w:eastAsia="宋体"/>
          <w:i/>
          <w:iCs/>
          <w:sz w:val="21"/>
          <w:szCs w:val="21"/>
        </w:rPr>
        <w:t>［或］</w:t>
      </w:r>
    </w:p>
    <w:p>
      <w:pPr>
        <w:pStyle w:val="27"/>
        <w:spacing w:before="120" w:after="120"/>
        <w:ind w:firstLine="420" w:firstLineChars="200"/>
        <w:jc w:val="both"/>
        <w:rPr>
          <w:rFonts w:eastAsia="宋体"/>
          <w:iCs/>
          <w:sz w:val="21"/>
          <w:szCs w:val="21"/>
        </w:rPr>
      </w:pPr>
      <w:r>
        <w:rPr>
          <w:rFonts w:eastAsia="宋体"/>
          <w:iCs/>
          <w:sz w:val="21"/>
          <w:szCs w:val="21"/>
        </w:rPr>
        <w:t>我方不接受指派____________________为调解员，</w:t>
      </w:r>
      <w:r>
        <w:rPr>
          <w:rFonts w:hint="eastAsia" w:eastAsia="宋体"/>
          <w:iCs/>
          <w:sz w:val="21"/>
          <w:szCs w:val="21"/>
        </w:rPr>
        <w:t>并已</w:t>
      </w:r>
      <w:r>
        <w:rPr>
          <w:rFonts w:eastAsia="宋体"/>
          <w:iCs/>
          <w:sz w:val="21"/>
          <w:szCs w:val="21"/>
        </w:rPr>
        <w:t>将本中标通知书副本提交</w:t>
      </w:r>
      <w:r>
        <w:rPr>
          <w:rFonts w:hint="eastAsia" w:eastAsia="宋体"/>
          <w:iCs/>
          <w:sz w:val="21"/>
          <w:szCs w:val="21"/>
        </w:rPr>
        <w:t>给</w:t>
      </w:r>
      <w:r>
        <w:rPr>
          <w:rFonts w:eastAsia="宋体"/>
          <w:iCs/>
          <w:sz w:val="21"/>
          <w:szCs w:val="21"/>
        </w:rPr>
        <w:t>指派机构</w:t>
      </w:r>
      <w:r>
        <w:rPr>
          <w:rFonts w:hint="eastAsia" w:eastAsia="宋体"/>
          <w:iCs/>
          <w:sz w:val="21"/>
          <w:szCs w:val="21"/>
        </w:rPr>
        <w:t>：</w:t>
      </w:r>
      <w:r>
        <w:rPr>
          <w:rFonts w:eastAsia="宋体"/>
          <w:iCs/>
          <w:sz w:val="21"/>
          <w:szCs w:val="21"/>
        </w:rPr>
        <w:t>____________________。在此请求指派机构根据投标人须知第40.1款和一般合同条款第24.1款重新指派调解员。</w:t>
      </w:r>
    </w:p>
    <w:p>
      <w:pPr>
        <w:pStyle w:val="27"/>
        <w:spacing w:before="120" w:after="120"/>
        <w:ind w:firstLine="420" w:firstLineChars="200"/>
        <w:jc w:val="both"/>
        <w:rPr>
          <w:rFonts w:eastAsia="宋体"/>
          <w:iCs/>
          <w:sz w:val="21"/>
          <w:szCs w:val="21"/>
        </w:rPr>
      </w:pPr>
    </w:p>
    <w:p>
      <w:pPr>
        <w:pStyle w:val="27"/>
        <w:spacing w:before="120" w:after="120"/>
        <w:ind w:firstLine="420" w:firstLineChars="200"/>
        <w:jc w:val="both"/>
        <w:rPr>
          <w:rFonts w:eastAsia="宋体"/>
          <w:iCs/>
          <w:sz w:val="21"/>
          <w:szCs w:val="21"/>
        </w:rPr>
      </w:pPr>
    </w:p>
    <w:p>
      <w:pPr>
        <w:pStyle w:val="27"/>
        <w:spacing w:before="120" w:after="120"/>
        <w:ind w:firstLine="420" w:firstLineChars="200"/>
        <w:jc w:val="both"/>
        <w:rPr>
          <w:rFonts w:eastAsia="宋体"/>
          <w:iCs/>
          <w:sz w:val="21"/>
          <w:szCs w:val="21"/>
        </w:rPr>
      </w:pPr>
    </w:p>
    <w:p>
      <w:pPr>
        <w:pStyle w:val="27"/>
        <w:spacing w:before="120" w:after="120"/>
        <w:ind w:left="180" w:right="288" w:firstLine="420"/>
        <w:jc w:val="both"/>
        <w:rPr>
          <w:rFonts w:eastAsia="宋体"/>
          <w:iCs/>
          <w:sz w:val="21"/>
          <w:szCs w:val="21"/>
        </w:rPr>
      </w:pPr>
    </w:p>
    <w:p>
      <w:pPr>
        <w:pStyle w:val="27"/>
        <w:tabs>
          <w:tab w:val="right" w:leader="dot" w:pos="9360"/>
        </w:tabs>
        <w:spacing w:before="120" w:after="120"/>
        <w:ind w:left="180" w:right="213" w:firstLine="420"/>
        <w:jc w:val="right"/>
        <w:rPr>
          <w:rFonts w:eastAsia="宋体"/>
          <w:iCs/>
          <w:sz w:val="21"/>
          <w:szCs w:val="21"/>
        </w:rPr>
      </w:pPr>
      <w:r>
        <w:rPr>
          <w:rFonts w:eastAsia="宋体"/>
          <w:iCs/>
          <w:sz w:val="21"/>
          <w:szCs w:val="21"/>
        </w:rPr>
        <w:t>授权人签字：</w:t>
      </w:r>
      <w:r>
        <w:rPr>
          <w:rFonts w:hint="eastAsia" w:eastAsia="宋体"/>
          <w:iCs/>
          <w:sz w:val="21"/>
          <w:szCs w:val="21"/>
        </w:rPr>
        <w:t>________________</w:t>
      </w:r>
    </w:p>
    <w:p>
      <w:pPr>
        <w:pStyle w:val="27"/>
        <w:tabs>
          <w:tab w:val="right" w:leader="dot" w:pos="9360"/>
        </w:tabs>
        <w:spacing w:before="120" w:after="120"/>
        <w:ind w:left="180" w:right="213" w:firstLine="420"/>
        <w:jc w:val="right"/>
        <w:rPr>
          <w:rFonts w:eastAsia="宋体"/>
          <w:iCs/>
          <w:sz w:val="21"/>
          <w:szCs w:val="21"/>
        </w:rPr>
      </w:pPr>
      <w:r>
        <w:rPr>
          <w:rFonts w:eastAsia="宋体"/>
          <w:iCs/>
          <w:sz w:val="21"/>
          <w:szCs w:val="21"/>
        </w:rPr>
        <w:t>签字人名称及职务：</w:t>
      </w:r>
      <w:r>
        <w:rPr>
          <w:rFonts w:hint="eastAsia" w:eastAsia="宋体"/>
          <w:iCs/>
          <w:sz w:val="21"/>
          <w:szCs w:val="21"/>
        </w:rPr>
        <w:t>________________</w:t>
      </w:r>
    </w:p>
    <w:p>
      <w:pPr>
        <w:ind w:right="200"/>
        <w:jc w:val="right"/>
        <w:textAlignment w:val="auto"/>
        <w:rPr>
          <w:iCs/>
          <w:szCs w:val="21"/>
        </w:rPr>
      </w:pPr>
      <w:r>
        <w:rPr>
          <w:rFonts w:hint="eastAsia"/>
          <w:szCs w:val="21"/>
        </w:rPr>
        <w:t>业主</w:t>
      </w:r>
      <w:r>
        <w:rPr>
          <w:iCs/>
          <w:szCs w:val="21"/>
        </w:rPr>
        <w:t>名称</w:t>
      </w:r>
      <w:r>
        <w:rPr>
          <w:szCs w:val="21"/>
        </w:rPr>
        <w:t>：</w:t>
      </w:r>
      <w:r>
        <w:rPr>
          <w:rFonts w:hint="eastAsia"/>
          <w:iCs/>
          <w:szCs w:val="21"/>
        </w:rPr>
        <w:t>________________</w:t>
      </w:r>
    </w:p>
    <w:p>
      <w:pPr>
        <w:ind w:right="200"/>
        <w:jc w:val="right"/>
        <w:textAlignment w:val="auto"/>
        <w:rPr>
          <w:rFonts w:cs="Arial"/>
          <w:sz w:val="20"/>
        </w:rPr>
      </w:pPr>
      <w:r>
        <w:rPr>
          <w:rFonts w:hint="eastAsia" w:cs="Arial"/>
          <w:sz w:val="20"/>
        </w:rPr>
        <w:t xml:space="preserve">（加盖公章） </w:t>
      </w:r>
      <w:r>
        <w:rPr>
          <w:rFonts w:cs="Arial"/>
          <w:sz w:val="20"/>
        </w:rPr>
        <w:t xml:space="preserve"> </w:t>
      </w:r>
    </w:p>
    <w:p>
      <w:pPr>
        <w:pStyle w:val="27"/>
        <w:tabs>
          <w:tab w:val="right" w:leader="dot" w:pos="9360"/>
        </w:tabs>
        <w:spacing w:before="120" w:after="120"/>
        <w:ind w:left="180" w:right="213" w:firstLine="420"/>
        <w:jc w:val="right"/>
        <w:rPr>
          <w:rFonts w:eastAsia="宋体"/>
          <w:iCs/>
          <w:sz w:val="21"/>
          <w:szCs w:val="21"/>
        </w:rPr>
      </w:pPr>
      <w:r>
        <w:rPr>
          <w:rFonts w:hint="eastAsia" w:eastAsia="宋体"/>
          <w:iCs/>
          <w:sz w:val="21"/>
          <w:szCs w:val="21"/>
          <w:lang w:eastAsia="zh-CN"/>
        </w:rPr>
        <w:t>地址：</w:t>
      </w:r>
      <w:r>
        <w:rPr>
          <w:rFonts w:hint="eastAsia" w:eastAsia="宋体"/>
          <w:iCs/>
          <w:sz w:val="21"/>
          <w:szCs w:val="21"/>
        </w:rPr>
        <w:t>________________</w:t>
      </w:r>
    </w:p>
    <w:p>
      <w:pPr>
        <w:pStyle w:val="135"/>
        <w:spacing w:before="120" w:after="120"/>
        <w:ind w:left="180" w:right="288"/>
        <w:jc w:val="right"/>
        <w:rPr>
          <w:sz w:val="21"/>
          <w:szCs w:val="21"/>
          <w:lang w:eastAsia="zh-CN"/>
        </w:rPr>
      </w:pPr>
    </w:p>
    <w:p>
      <w:pPr>
        <w:pStyle w:val="135"/>
        <w:spacing w:before="120" w:after="120"/>
        <w:ind w:left="180" w:right="288"/>
        <w:jc w:val="right"/>
        <w:rPr>
          <w:sz w:val="21"/>
          <w:szCs w:val="21"/>
          <w:lang w:eastAsia="zh-CN"/>
        </w:rPr>
      </w:pPr>
      <w:r>
        <w:rPr>
          <w:sz w:val="21"/>
          <w:szCs w:val="21"/>
          <w:lang w:eastAsia="zh-CN"/>
        </w:rPr>
        <w:br w:type="page"/>
      </w:r>
    </w:p>
    <w:p>
      <w:pPr>
        <w:pStyle w:val="135"/>
        <w:spacing w:before="120" w:after="120"/>
        <w:ind w:right="288"/>
        <w:rPr>
          <w:b/>
          <w:bCs/>
          <w:sz w:val="22"/>
          <w:szCs w:val="22"/>
          <w:lang w:eastAsia="zh-CN"/>
        </w:rPr>
      </w:pPr>
      <w:r>
        <w:rPr>
          <w:b/>
          <w:bCs/>
          <w:sz w:val="22"/>
          <w:szCs w:val="22"/>
          <w:lang w:eastAsia="zh-CN"/>
        </w:rPr>
        <w:t>附件：合同协议书</w:t>
      </w:r>
    </w:p>
    <w:p>
      <w:pPr>
        <w:pStyle w:val="4"/>
      </w:pPr>
      <w:bookmarkStart w:id="1884" w:name="_Toc169103361"/>
      <w:bookmarkStart w:id="1885" w:name="_Toc171063226"/>
      <w:bookmarkStart w:id="1886" w:name="_Toc110264758"/>
      <w:bookmarkStart w:id="1887" w:name="_Toc110265211"/>
      <w:bookmarkStart w:id="1888" w:name="_Toc110268547"/>
      <w:bookmarkStart w:id="1889" w:name="_Toc110264512"/>
      <w:bookmarkStart w:id="1890" w:name="_Toc110264975"/>
      <w:bookmarkStart w:id="1891" w:name="_Toc110264811"/>
      <w:bookmarkStart w:id="1892" w:name="_Toc170313754"/>
      <w:bookmarkStart w:id="1893" w:name="_Toc104482561"/>
      <w:bookmarkStart w:id="1894" w:name="_Toc110272081"/>
      <w:r>
        <w:rPr>
          <w:rFonts w:hint="eastAsia"/>
        </w:rPr>
        <w:t>合同协议书</w:t>
      </w:r>
      <w:bookmarkEnd w:id="1884"/>
      <w:bookmarkEnd w:id="1885"/>
      <w:bookmarkEnd w:id="1886"/>
      <w:bookmarkEnd w:id="1887"/>
      <w:bookmarkEnd w:id="1888"/>
      <w:bookmarkEnd w:id="1889"/>
      <w:bookmarkEnd w:id="1890"/>
      <w:bookmarkEnd w:id="1891"/>
      <w:bookmarkEnd w:id="1892"/>
      <w:bookmarkEnd w:id="1893"/>
      <w:bookmarkEnd w:id="1894"/>
      <w:bookmarkStart w:id="1895" w:name="_Toc438907197"/>
      <w:bookmarkStart w:id="1896" w:name="_Toc438907297"/>
    </w:p>
    <w:bookmarkEnd w:id="1895"/>
    <w:bookmarkEnd w:id="1896"/>
    <w:p>
      <w:pPr>
        <w:pStyle w:val="27"/>
        <w:spacing w:before="120" w:after="120"/>
        <w:ind w:firstLine="420" w:firstLineChars="200"/>
        <w:jc w:val="both"/>
        <w:rPr>
          <w:rFonts w:eastAsia="宋体" w:cs="宋体"/>
          <w:sz w:val="21"/>
          <w:szCs w:val="21"/>
          <w:lang w:val="zh-CN"/>
        </w:rPr>
      </w:pPr>
    </w:p>
    <w:p>
      <w:pPr>
        <w:pStyle w:val="27"/>
        <w:spacing w:before="120" w:after="120" w:line="300" w:lineRule="auto"/>
        <w:ind w:firstLine="420" w:firstLineChars="200"/>
        <w:jc w:val="both"/>
        <w:rPr>
          <w:rFonts w:eastAsia="宋体"/>
          <w:sz w:val="21"/>
          <w:szCs w:val="21"/>
        </w:rPr>
      </w:pPr>
      <w:r>
        <w:rPr>
          <w:rFonts w:hint="eastAsia" w:eastAsia="宋体" w:cs="宋体"/>
          <w:sz w:val="21"/>
          <w:szCs w:val="21"/>
          <w:lang w:val="zh-CN"/>
        </w:rPr>
        <w:t>本协议书于________年____</w:t>
      </w:r>
      <w:r>
        <w:rPr>
          <w:rFonts w:eastAsia="宋体" w:cs="宋体"/>
          <w:sz w:val="21"/>
          <w:szCs w:val="21"/>
          <w:lang w:val="zh-CN"/>
        </w:rPr>
        <w:t>月____日由____________________</w:t>
      </w:r>
      <w:r>
        <w:rPr>
          <w:rFonts w:hint="eastAsia" w:eastAsia="宋体" w:cs="宋体"/>
          <w:sz w:val="21"/>
          <w:szCs w:val="21"/>
          <w:lang w:val="zh-CN"/>
        </w:rPr>
        <w:t>（以下简称“业主”）作为一方与____________________</w:t>
      </w:r>
      <w:r>
        <w:rPr>
          <w:rFonts w:hint="eastAsia" w:eastAsia="宋体"/>
          <w:sz w:val="21"/>
          <w:szCs w:val="21"/>
        </w:rPr>
        <w:t>（</w:t>
      </w:r>
      <w:r>
        <w:rPr>
          <w:rFonts w:hint="eastAsia" w:eastAsia="宋体" w:cs="宋体"/>
          <w:sz w:val="21"/>
          <w:szCs w:val="21"/>
          <w:lang w:val="zh-CN"/>
        </w:rPr>
        <w:t>以下简称</w:t>
      </w:r>
      <w:r>
        <w:rPr>
          <w:rFonts w:hint="eastAsia" w:eastAsia="宋体" w:cs="宋体"/>
          <w:sz w:val="21"/>
          <w:szCs w:val="21"/>
        </w:rPr>
        <w:t>“</w:t>
      </w:r>
      <w:r>
        <w:rPr>
          <w:rFonts w:hint="eastAsia" w:eastAsia="宋体" w:cs="宋体"/>
          <w:sz w:val="21"/>
          <w:szCs w:val="21"/>
          <w:lang w:val="zh-CN"/>
        </w:rPr>
        <w:t>承包商</w:t>
      </w:r>
      <w:r>
        <w:rPr>
          <w:rFonts w:hint="eastAsia" w:eastAsia="宋体" w:cs="宋体"/>
          <w:sz w:val="21"/>
          <w:szCs w:val="21"/>
        </w:rPr>
        <w:t>”</w:t>
      </w:r>
      <w:r>
        <w:rPr>
          <w:rFonts w:hint="eastAsia" w:eastAsia="宋体"/>
          <w:sz w:val="21"/>
          <w:szCs w:val="21"/>
        </w:rPr>
        <w:t>）</w:t>
      </w:r>
      <w:r>
        <w:rPr>
          <w:rFonts w:hint="eastAsia" w:eastAsia="宋体" w:cs="宋体"/>
          <w:sz w:val="21"/>
          <w:szCs w:val="21"/>
          <w:lang w:val="zh-CN"/>
        </w:rPr>
        <w:t>作为另一方共同签署。</w:t>
      </w:r>
    </w:p>
    <w:p>
      <w:pPr>
        <w:widowControl/>
        <w:spacing w:before="120" w:after="120" w:line="300" w:lineRule="auto"/>
        <w:ind w:firstLine="420" w:firstLineChars="200"/>
        <w:textAlignment w:val="auto"/>
        <w:rPr>
          <w:szCs w:val="21"/>
        </w:rPr>
      </w:pPr>
      <w:r>
        <w:rPr>
          <w:rFonts w:hint="eastAsia"/>
          <w:szCs w:val="21"/>
        </w:rPr>
        <w:t>鉴于业主为完成</w:t>
      </w:r>
      <w:r>
        <w:rPr>
          <w:rFonts w:hint="eastAsia" w:cs="宋体"/>
          <w:szCs w:val="21"/>
          <w:lang w:val="zh-CN"/>
        </w:rPr>
        <w:t>____________________项目（合同编号：__________________）</w:t>
      </w:r>
      <w:r>
        <w:rPr>
          <w:szCs w:val="21"/>
        </w:rPr>
        <w:t>而邀请投标，并接受了承包商为实施和完成上述工程及修复缺陷所作的总金额为人民币</w:t>
      </w:r>
      <w:r>
        <w:rPr>
          <w:szCs w:val="21"/>
          <w:lang w:val="zh-CN"/>
        </w:rPr>
        <w:t>_______________</w:t>
      </w:r>
      <w:r>
        <w:rPr>
          <w:rFonts w:hint="eastAsia"/>
          <w:szCs w:val="21"/>
          <w:lang w:val="zh-CN"/>
        </w:rPr>
        <w:t>元</w:t>
      </w:r>
      <w:r>
        <w:rPr>
          <w:rFonts w:hint="eastAsia"/>
          <w:i/>
          <w:iCs/>
          <w:szCs w:val="21"/>
          <w:lang w:val="zh-CN"/>
        </w:rPr>
        <w:t>[插入用大写和数字表示的合同价格]</w:t>
      </w:r>
      <w:r>
        <w:rPr>
          <w:rFonts w:hint="eastAsia"/>
          <w:szCs w:val="21"/>
        </w:rPr>
        <w:t>（</w:t>
      </w:r>
      <w:r>
        <w:rPr>
          <w:szCs w:val="21"/>
        </w:rPr>
        <w:t>以下简称</w:t>
      </w:r>
      <w:r>
        <w:rPr>
          <w:rFonts w:hint="eastAsia"/>
          <w:szCs w:val="21"/>
        </w:rPr>
        <w:t>“合同价格”）的投标，业主和承包商达成如下协议：</w:t>
      </w:r>
    </w:p>
    <w:p>
      <w:pPr>
        <w:pStyle w:val="30"/>
        <w:spacing w:before="120" w:after="120" w:line="300" w:lineRule="auto"/>
        <w:ind w:left="0" w:right="0" w:firstLine="420" w:firstLineChars="200"/>
        <w:rPr>
          <w:rFonts w:ascii="Times New Roman" w:hAnsi="Times New Roman" w:cs="Times New Roman"/>
          <w:b w:val="0"/>
          <w:bCs w:val="0"/>
          <w:i w:val="0"/>
          <w:iCs w:val="0"/>
          <w:sz w:val="21"/>
          <w:szCs w:val="21"/>
          <w:lang w:eastAsia="zh-CN"/>
        </w:rPr>
      </w:pPr>
      <w:r>
        <w:rPr>
          <w:rFonts w:ascii="Times New Roman" w:hAnsi="Times New Roman" w:cs="Times New Roman"/>
          <w:b w:val="0"/>
          <w:bCs w:val="0"/>
          <w:i w:val="0"/>
          <w:iCs w:val="0"/>
          <w:sz w:val="21"/>
          <w:szCs w:val="21"/>
          <w:lang w:eastAsia="zh-CN"/>
        </w:rPr>
        <w:t xml:space="preserve">1. </w:t>
      </w:r>
      <w:r>
        <w:rPr>
          <w:rFonts w:ascii="Times New Roman" w:hAnsi="Times New Roman" w:cs="Times New Roman"/>
          <w:b w:val="0"/>
          <w:i w:val="0"/>
          <w:sz w:val="21"/>
          <w:szCs w:val="21"/>
          <w:lang w:val="zh-CN" w:eastAsia="zh-CN"/>
        </w:rPr>
        <w:t>本合同协议书中所用术语的含义与合同文件中相应术语的含义相同。</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bCs w:val="0"/>
          <w:i w:val="0"/>
          <w:iCs w:val="0"/>
          <w:sz w:val="21"/>
          <w:szCs w:val="21"/>
          <w:lang w:eastAsia="zh-CN"/>
        </w:rPr>
        <w:t xml:space="preserve">2. </w:t>
      </w:r>
      <w:r>
        <w:rPr>
          <w:rFonts w:ascii="Times New Roman" w:hAnsi="Times New Roman" w:cs="Times New Roman"/>
          <w:b w:val="0"/>
          <w:i w:val="0"/>
          <w:sz w:val="21"/>
          <w:szCs w:val="21"/>
          <w:lang w:eastAsia="zh-CN"/>
        </w:rPr>
        <w:t>下列文件为本合同协议书的组成部分，须与本合同协议书共同阅读和解释。</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（1）中标通知书</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（2）</w:t>
      </w:r>
      <w:r>
        <w:rPr>
          <w:rFonts w:hint="eastAsia" w:ascii="Times New Roman" w:hAnsi="Times New Roman" w:cs="Times New Roman"/>
          <w:b w:val="0"/>
          <w:i w:val="0"/>
          <w:sz w:val="21"/>
          <w:szCs w:val="21"/>
          <w:lang w:eastAsia="zh-CN"/>
        </w:rPr>
        <w:t>投标函</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（3）补遗文件</w:t>
      </w:r>
      <w:r>
        <w:rPr>
          <w:rFonts w:hint="eastAsia" w:ascii="Times New Roman" w:hAnsi="Times New Roman" w:cs="Times New Roman"/>
          <w:b w:val="0"/>
          <w:i w:val="0"/>
          <w:sz w:val="21"/>
          <w:szCs w:val="21"/>
          <w:lang w:eastAsia="zh-CN"/>
        </w:rPr>
        <w:t>（</w:t>
      </w:r>
      <w:r>
        <w:rPr>
          <w:rFonts w:hint="eastAsia" w:ascii="Times New Roman" w:hAnsi="Times New Roman" w:cs="Times New Roman"/>
          <w:b w:val="0"/>
          <w:iCs w:val="0"/>
          <w:sz w:val="21"/>
          <w:szCs w:val="21"/>
          <w:lang w:eastAsia="zh-CN"/>
        </w:rPr>
        <w:t>如果有，</w:t>
      </w:r>
      <w:r>
        <w:rPr>
          <w:rFonts w:ascii="Times New Roman" w:hAnsi="Times New Roman" w:cs="Times New Roman"/>
          <w:b w:val="0"/>
          <w:iCs w:val="0"/>
          <w:sz w:val="21"/>
          <w:szCs w:val="21"/>
          <w:lang w:eastAsia="zh-CN"/>
        </w:rPr>
        <w:t>插入补遗文件编号</w:t>
      </w:r>
      <w:r>
        <w:rPr>
          <w:rFonts w:hint="eastAsia" w:ascii="Times New Roman" w:hAnsi="Times New Roman" w:cs="Times New Roman"/>
          <w:b w:val="0"/>
          <w:iCs w:val="0"/>
          <w:sz w:val="21"/>
          <w:szCs w:val="21"/>
          <w:lang w:eastAsia="zh-CN"/>
        </w:rPr>
        <w:t>）</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（4）特殊合同条款</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（5）一般合同条款</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（6）技术规范</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（7）图纸</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hint="eastAsia" w:ascii="Times New Roman" w:hAnsi="Times New Roman" w:cs="Times New Roman"/>
          <w:b w:val="0"/>
          <w:i w:val="0"/>
          <w:sz w:val="21"/>
          <w:szCs w:val="21"/>
          <w:lang w:eastAsia="zh-CN"/>
        </w:rPr>
        <w:t>（8）标价的工程量清单</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w:t>
      </w:r>
      <w:r>
        <w:rPr>
          <w:rFonts w:hint="eastAsia" w:ascii="Times New Roman" w:hAnsi="Times New Roman" w:cs="Times New Roman"/>
          <w:b w:val="0"/>
          <w:i w:val="0"/>
          <w:sz w:val="21"/>
          <w:szCs w:val="21"/>
          <w:lang w:eastAsia="zh-CN"/>
        </w:rPr>
        <w:t>9</w:t>
      </w:r>
      <w:r>
        <w:rPr>
          <w:rFonts w:ascii="Times New Roman" w:hAnsi="Times New Roman" w:cs="Times New Roman"/>
          <w:b w:val="0"/>
          <w:i w:val="0"/>
          <w:sz w:val="21"/>
          <w:szCs w:val="21"/>
          <w:lang w:eastAsia="zh-CN"/>
        </w:rPr>
        <w:t>）</w:t>
      </w:r>
      <w:r>
        <w:rPr>
          <w:rFonts w:hint="eastAsia" w:ascii="Times New Roman" w:hAnsi="Times New Roman" w:cs="Times New Roman"/>
          <w:b w:val="0"/>
          <w:i w:val="0"/>
          <w:sz w:val="21"/>
          <w:szCs w:val="21"/>
          <w:lang w:eastAsia="zh-CN"/>
        </w:rPr>
        <w:t>特殊合同条款中所列的组成本合同的其它文件</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ascii="Times New Roman" w:hAnsi="Times New Roman" w:cs="Times New Roman"/>
          <w:b w:val="0"/>
          <w:i w:val="0"/>
          <w:sz w:val="21"/>
          <w:szCs w:val="21"/>
          <w:lang w:eastAsia="zh-CN"/>
        </w:rPr>
        <w:t xml:space="preserve">3. </w:t>
      </w:r>
      <w:r>
        <w:rPr>
          <w:rFonts w:hint="eastAsia" w:ascii="Times New Roman" w:hAnsi="Times New Roman" w:cs="Times New Roman"/>
          <w:b w:val="0"/>
          <w:i w:val="0"/>
          <w:sz w:val="21"/>
          <w:szCs w:val="21"/>
          <w:lang w:eastAsia="zh-CN"/>
        </w:rPr>
        <w:t>本合同优先于其它合同文件。如果合同文件之间存在着差异或不一致之处，应按照上述文件优先级顺序进行解释。</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hint="eastAsia" w:ascii="Times New Roman" w:hAnsi="Times New Roman" w:cs="Times New Roman"/>
          <w:b w:val="0"/>
          <w:i w:val="0"/>
          <w:sz w:val="21"/>
          <w:szCs w:val="21"/>
          <w:lang w:eastAsia="zh-CN"/>
        </w:rPr>
        <w:t>4.</w:t>
      </w:r>
      <w:r>
        <w:rPr>
          <w:rFonts w:ascii="Times New Roman" w:hAnsi="Times New Roman" w:cs="Times New Roman"/>
          <w:b w:val="0"/>
          <w:i w:val="0"/>
          <w:sz w:val="21"/>
          <w:szCs w:val="21"/>
          <w:lang w:eastAsia="zh-CN"/>
        </w:rPr>
        <w:t xml:space="preserve"> </w:t>
      </w:r>
      <w:r>
        <w:rPr>
          <w:rFonts w:hint="eastAsia" w:ascii="Times New Roman" w:hAnsi="Times New Roman" w:cs="Times New Roman"/>
          <w:b w:val="0"/>
          <w:i w:val="0"/>
          <w:sz w:val="21"/>
          <w:szCs w:val="21"/>
          <w:lang w:eastAsia="zh-CN"/>
        </w:rPr>
        <w:t>考虑到业主将向承包商付款，承包商特此与业主立约，保证在完全按照合同条款和条件实</w:t>
      </w:r>
      <w:r>
        <w:rPr>
          <w:rFonts w:ascii="Times New Roman" w:hAnsi="Times New Roman" w:cs="Times New Roman"/>
          <w:b w:val="0"/>
          <w:i w:val="0"/>
          <w:sz w:val="21"/>
          <w:szCs w:val="21"/>
          <w:lang w:eastAsia="zh-CN"/>
        </w:rPr>
        <w:t>施</w:t>
      </w:r>
      <w:r>
        <w:rPr>
          <w:rFonts w:hint="eastAsia" w:ascii="Times New Roman" w:hAnsi="Times New Roman" w:cs="Times New Roman"/>
          <w:b w:val="0"/>
          <w:i w:val="0"/>
          <w:sz w:val="21"/>
          <w:szCs w:val="21"/>
          <w:lang w:eastAsia="zh-CN"/>
        </w:rPr>
        <w:t>和完成上述工</w:t>
      </w:r>
      <w:r>
        <w:rPr>
          <w:rFonts w:ascii="Times New Roman" w:hAnsi="Times New Roman" w:cs="Times New Roman"/>
          <w:b w:val="0"/>
          <w:i w:val="0"/>
          <w:sz w:val="21"/>
          <w:szCs w:val="21"/>
          <w:lang w:eastAsia="zh-CN"/>
        </w:rPr>
        <w:t>程</w:t>
      </w:r>
      <w:r>
        <w:rPr>
          <w:rFonts w:hint="eastAsia" w:ascii="Times New Roman" w:hAnsi="Times New Roman" w:cs="Times New Roman"/>
          <w:b w:val="0"/>
          <w:i w:val="0"/>
          <w:sz w:val="21"/>
          <w:szCs w:val="21"/>
          <w:lang w:eastAsia="zh-CN"/>
        </w:rPr>
        <w:t>，</w:t>
      </w:r>
      <w:r>
        <w:rPr>
          <w:rFonts w:ascii="Times New Roman" w:hAnsi="Times New Roman" w:cs="Times New Roman"/>
          <w:b w:val="0"/>
          <w:i w:val="0"/>
          <w:sz w:val="21"/>
          <w:szCs w:val="21"/>
          <w:lang w:eastAsia="zh-CN"/>
        </w:rPr>
        <w:t>并修复缺陷</w:t>
      </w:r>
      <w:r>
        <w:rPr>
          <w:rFonts w:hint="eastAsia" w:ascii="Times New Roman" w:hAnsi="Times New Roman" w:cs="Times New Roman"/>
          <w:b w:val="0"/>
          <w:i w:val="0"/>
          <w:sz w:val="21"/>
          <w:szCs w:val="21"/>
          <w:lang w:eastAsia="zh-CN"/>
        </w:rPr>
        <w:t>。</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hint="eastAsia" w:ascii="Times New Roman" w:hAnsi="Times New Roman" w:cs="Times New Roman"/>
          <w:b w:val="0"/>
          <w:i w:val="0"/>
          <w:sz w:val="21"/>
          <w:szCs w:val="21"/>
          <w:lang w:eastAsia="zh-CN"/>
        </w:rPr>
        <w:t>5</w:t>
      </w:r>
      <w:r>
        <w:rPr>
          <w:rFonts w:ascii="Times New Roman" w:hAnsi="Times New Roman" w:cs="Times New Roman"/>
          <w:b w:val="0"/>
          <w:i w:val="0"/>
          <w:sz w:val="21"/>
          <w:szCs w:val="21"/>
          <w:lang w:eastAsia="zh-CN"/>
        </w:rPr>
        <w:t xml:space="preserve">. </w:t>
      </w:r>
      <w:r>
        <w:rPr>
          <w:rFonts w:hint="eastAsia" w:ascii="Times New Roman" w:hAnsi="Times New Roman" w:cs="Times New Roman"/>
          <w:b w:val="0"/>
          <w:i w:val="0"/>
          <w:sz w:val="21"/>
          <w:szCs w:val="21"/>
          <w:lang w:eastAsia="zh-CN"/>
        </w:rPr>
        <w:t>考虑到承包商将实</w:t>
      </w:r>
      <w:r>
        <w:rPr>
          <w:rFonts w:ascii="Times New Roman" w:hAnsi="Times New Roman" w:cs="Times New Roman"/>
          <w:b w:val="0"/>
          <w:i w:val="0"/>
          <w:sz w:val="21"/>
          <w:szCs w:val="21"/>
          <w:lang w:eastAsia="zh-CN"/>
        </w:rPr>
        <w:t>施</w:t>
      </w:r>
      <w:r>
        <w:rPr>
          <w:rFonts w:hint="eastAsia" w:ascii="Times New Roman" w:hAnsi="Times New Roman" w:cs="Times New Roman"/>
          <w:b w:val="0"/>
          <w:i w:val="0"/>
          <w:sz w:val="21"/>
          <w:szCs w:val="21"/>
          <w:lang w:eastAsia="zh-CN"/>
        </w:rPr>
        <w:t>和完成上述工</w:t>
      </w:r>
      <w:r>
        <w:rPr>
          <w:rFonts w:ascii="Times New Roman" w:hAnsi="Times New Roman" w:cs="Times New Roman"/>
          <w:b w:val="0"/>
          <w:i w:val="0"/>
          <w:sz w:val="21"/>
          <w:szCs w:val="21"/>
          <w:lang w:eastAsia="zh-CN"/>
        </w:rPr>
        <w:t>程并修复缺陷</w:t>
      </w:r>
      <w:r>
        <w:rPr>
          <w:rFonts w:hint="eastAsia" w:ascii="Times New Roman" w:hAnsi="Times New Roman" w:cs="Times New Roman"/>
          <w:b w:val="0"/>
          <w:i w:val="0"/>
          <w:sz w:val="21"/>
          <w:szCs w:val="21"/>
          <w:lang w:eastAsia="zh-CN"/>
        </w:rPr>
        <w:t>，业主在此与承包商立约，保证按照合同规定的</w:t>
      </w:r>
      <w:r>
        <w:rPr>
          <w:rFonts w:ascii="Times New Roman" w:hAnsi="Times New Roman" w:cs="Times New Roman"/>
          <w:b w:val="0"/>
          <w:i w:val="0"/>
          <w:sz w:val="21"/>
          <w:szCs w:val="21"/>
          <w:lang w:eastAsia="zh-CN"/>
        </w:rPr>
        <w:t>付款时间和付款方式</w:t>
      </w:r>
      <w:r>
        <w:rPr>
          <w:rFonts w:hint="eastAsia" w:ascii="Times New Roman" w:hAnsi="Times New Roman" w:cs="Times New Roman"/>
          <w:b w:val="0"/>
          <w:i w:val="0"/>
          <w:sz w:val="21"/>
          <w:szCs w:val="21"/>
          <w:lang w:eastAsia="zh-CN"/>
        </w:rPr>
        <w:t>向承包商方支付合同条款所规定的合同价款或其它应付款项。</w:t>
      </w:r>
    </w:p>
    <w:p>
      <w:pPr>
        <w:pStyle w:val="30"/>
        <w:spacing w:before="120" w:after="120" w:line="300" w:lineRule="auto"/>
        <w:ind w:left="0" w:right="0" w:firstLine="420" w:firstLineChars="200"/>
        <w:rPr>
          <w:rFonts w:ascii="Times New Roman" w:hAnsi="Times New Roman" w:cs="Times New Roman"/>
          <w:b w:val="0"/>
          <w:i w:val="0"/>
          <w:sz w:val="21"/>
          <w:szCs w:val="21"/>
          <w:lang w:eastAsia="zh-CN"/>
        </w:rPr>
      </w:pPr>
      <w:r>
        <w:rPr>
          <w:rFonts w:hint="eastAsia" w:ascii="Times New Roman" w:hAnsi="Times New Roman" w:cs="Times New Roman"/>
          <w:b w:val="0"/>
          <w:i w:val="0"/>
          <w:sz w:val="21"/>
          <w:szCs w:val="21"/>
          <w:lang w:eastAsia="zh-CN"/>
        </w:rPr>
        <w:t>双方兹根据中华人民共和国法律在上述日期签署本合同协议书，以昭信守。</w:t>
      </w:r>
    </w:p>
    <w:tbl>
      <w:tblPr>
        <w:tblStyle w:val="62"/>
        <w:tblW w:w="8313" w:type="dxa"/>
        <w:tblInd w:w="0" w:type="dxa"/>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0"/>
        <w:gridCol w:w="1949"/>
        <w:gridCol w:w="2012"/>
        <w:gridCol w:w="2642"/>
      </w:tblGrid>
      <w:tr>
        <w:tblPrEx>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10" w:type="dxa"/>
            <w:tcBorders>
              <w:bottom w:val="nil"/>
            </w:tcBorders>
          </w:tcPr>
          <w:p>
            <w:pPr>
              <w:tabs>
                <w:tab w:val="right" w:leader="dot" w:pos="4500"/>
                <w:tab w:val="left" w:pos="5040"/>
                <w:tab w:val="right" w:leader="dot" w:pos="9360"/>
              </w:tabs>
              <w:spacing w:before="120" w:after="120" w:line="300" w:lineRule="auto"/>
              <w:jc w:val="right"/>
              <w:textAlignment w:val="auto"/>
              <w:rPr>
                <w:rFonts w:cs="宋体"/>
                <w:szCs w:val="21"/>
              </w:rPr>
            </w:pPr>
            <w:r>
              <w:rPr>
                <w:rFonts w:hint="eastAsia" w:cs="宋体"/>
                <w:szCs w:val="21"/>
              </w:rPr>
              <w:t>业主代表签名：</w:t>
            </w:r>
          </w:p>
        </w:tc>
        <w:tc>
          <w:tcPr>
            <w:tcW w:w="1949" w:type="dxa"/>
            <w:tcBorders>
              <w:bottom w:val="nil"/>
            </w:tcBorders>
            <w:vAlign w:val="center"/>
          </w:tcPr>
          <w:p>
            <w:pPr>
              <w:tabs>
                <w:tab w:val="right" w:leader="dot" w:pos="4500"/>
                <w:tab w:val="left" w:pos="5040"/>
                <w:tab w:val="right" w:leader="dot" w:pos="9360"/>
              </w:tabs>
              <w:spacing w:before="120" w:after="120" w:line="300" w:lineRule="auto"/>
              <w:ind w:right="288"/>
              <w:jc w:val="center"/>
              <w:textAlignment w:val="auto"/>
              <w:rPr>
                <w:szCs w:val="21"/>
              </w:rPr>
            </w:pPr>
            <w:r>
              <w:rPr>
                <w:rFonts w:hint="eastAsia"/>
                <w:szCs w:val="21"/>
              </w:rPr>
              <w:t>_____________</w:t>
            </w:r>
          </w:p>
        </w:tc>
        <w:tc>
          <w:tcPr>
            <w:tcW w:w="2012" w:type="dxa"/>
            <w:tcBorders>
              <w:bottom w:val="nil"/>
            </w:tcBorders>
          </w:tcPr>
          <w:p>
            <w:pPr>
              <w:tabs>
                <w:tab w:val="right" w:leader="dot" w:pos="4500"/>
                <w:tab w:val="left" w:pos="5040"/>
                <w:tab w:val="right" w:leader="dot" w:pos="9360"/>
              </w:tabs>
              <w:spacing w:before="120" w:after="120" w:line="300" w:lineRule="auto"/>
              <w:ind w:right="-108"/>
              <w:jc w:val="right"/>
              <w:textAlignment w:val="auto"/>
              <w:rPr>
                <w:rFonts w:cs="宋体"/>
                <w:szCs w:val="21"/>
              </w:rPr>
            </w:pPr>
            <w:r>
              <w:rPr>
                <w:rFonts w:hint="eastAsia" w:cs="宋体"/>
                <w:szCs w:val="21"/>
              </w:rPr>
              <w:t>承包商代表签名：</w:t>
            </w:r>
          </w:p>
        </w:tc>
        <w:tc>
          <w:tcPr>
            <w:tcW w:w="2642" w:type="dxa"/>
            <w:tcBorders>
              <w:bottom w:val="nil"/>
            </w:tcBorders>
            <w:vAlign w:val="center"/>
          </w:tcPr>
          <w:p>
            <w:pPr>
              <w:tabs>
                <w:tab w:val="right" w:leader="dot" w:pos="4500"/>
                <w:tab w:val="left" w:pos="5040"/>
                <w:tab w:val="right" w:leader="dot" w:pos="9360"/>
              </w:tabs>
              <w:spacing w:before="120" w:after="120" w:line="300" w:lineRule="auto"/>
              <w:ind w:right="288"/>
              <w:textAlignment w:val="auto"/>
              <w:rPr>
                <w:szCs w:val="21"/>
              </w:rPr>
            </w:pPr>
            <w:r>
              <w:rPr>
                <w:rFonts w:hint="eastAsia"/>
                <w:szCs w:val="21"/>
              </w:rPr>
              <w:t>___________________</w:t>
            </w:r>
          </w:p>
        </w:tc>
      </w:tr>
      <w:tr>
        <w:tblPrEx>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59" w:type="dxa"/>
            <w:gridSpan w:val="2"/>
            <w:tcBorders>
              <w:top w:val="nil"/>
              <w:bottom w:val="nil"/>
            </w:tcBorders>
          </w:tcPr>
          <w:p>
            <w:pPr>
              <w:tabs>
                <w:tab w:val="right" w:leader="dot" w:pos="4500"/>
                <w:tab w:val="left" w:pos="5040"/>
                <w:tab w:val="right" w:leader="dot" w:pos="9360"/>
              </w:tabs>
              <w:spacing w:after="120" w:line="300" w:lineRule="auto"/>
              <w:ind w:right="288"/>
              <w:jc w:val="right"/>
              <w:textAlignment w:val="auto"/>
              <w:rPr>
                <w:i/>
                <w:iCs/>
                <w:szCs w:val="21"/>
              </w:rPr>
            </w:pPr>
            <w:bookmarkStart w:id="1897" w:name="_Toc104482562"/>
            <w:bookmarkStart w:id="1898" w:name="_Toc438907198"/>
            <w:bookmarkStart w:id="1899" w:name="_Toc428352207"/>
            <w:bookmarkStart w:id="1900" w:name="_Toc438907298"/>
            <w:r>
              <w:rPr>
                <w:rFonts w:hint="eastAsia"/>
                <w:szCs w:val="21"/>
              </w:rPr>
              <w:t>________年____月____日</w:t>
            </w:r>
          </w:p>
        </w:tc>
        <w:tc>
          <w:tcPr>
            <w:tcW w:w="4654" w:type="dxa"/>
            <w:gridSpan w:val="2"/>
            <w:tcBorders>
              <w:top w:val="nil"/>
              <w:bottom w:val="nil"/>
            </w:tcBorders>
          </w:tcPr>
          <w:p>
            <w:pPr>
              <w:tabs>
                <w:tab w:val="right" w:leader="dot" w:pos="4500"/>
                <w:tab w:val="left" w:pos="5040"/>
                <w:tab w:val="right" w:leader="dot" w:pos="9360"/>
              </w:tabs>
              <w:spacing w:after="120" w:line="300" w:lineRule="auto"/>
              <w:ind w:right="288"/>
              <w:jc w:val="right"/>
              <w:textAlignment w:val="auto"/>
              <w:rPr>
                <w:i/>
                <w:iCs/>
                <w:szCs w:val="21"/>
              </w:rPr>
            </w:pPr>
            <w:r>
              <w:rPr>
                <w:rFonts w:hint="eastAsia"/>
                <w:szCs w:val="21"/>
              </w:rPr>
              <w:t>________年____月____日</w:t>
            </w:r>
          </w:p>
        </w:tc>
      </w:tr>
    </w:tbl>
    <w:p>
      <w:pPr>
        <w:pStyle w:val="5"/>
        <w:sectPr>
          <w:footnotePr>
            <w:numRestart w:val="eachPage"/>
          </w:footnotePr>
          <w:endnotePr>
            <w:numFmt w:val="decimal"/>
          </w:endnotePr>
          <w:pgSz w:w="11907" w:h="16840"/>
          <w:pgMar w:top="1440" w:right="1797" w:bottom="1440" w:left="1797" w:header="851" w:footer="992" w:gutter="0"/>
          <w:cols w:space="425" w:num="1"/>
          <w:docGrid w:linePitch="312" w:charSpace="0"/>
        </w:sectPr>
      </w:pPr>
      <w:r>
        <w:br w:type="page"/>
      </w:r>
    </w:p>
    <w:bookmarkEnd w:id="1897"/>
    <w:p>
      <w:pPr>
        <w:pStyle w:val="4"/>
      </w:pPr>
      <w:bookmarkStart w:id="1901" w:name="_Toc110268548"/>
      <w:bookmarkStart w:id="1902" w:name="_Toc110264812"/>
      <w:bookmarkStart w:id="1903" w:name="_Toc171063227"/>
      <w:bookmarkStart w:id="1904" w:name="_Toc169103362"/>
      <w:bookmarkStart w:id="1905" w:name="_Toc110265212"/>
      <w:bookmarkStart w:id="1906" w:name="_Toc110264513"/>
      <w:bookmarkStart w:id="1907" w:name="_Toc170313755"/>
      <w:bookmarkStart w:id="1908" w:name="_Toc110264976"/>
      <w:bookmarkStart w:id="1909" w:name="_Toc110272082"/>
      <w:bookmarkStart w:id="1910" w:name="_Toc110264759"/>
      <w:r>
        <w:rPr>
          <w:rFonts w:hint="eastAsia"/>
        </w:rPr>
        <w:t>履约保函</w:t>
      </w:r>
      <w:bookmarkEnd w:id="1901"/>
      <w:bookmarkEnd w:id="1902"/>
      <w:bookmarkEnd w:id="1903"/>
      <w:bookmarkEnd w:id="1904"/>
      <w:bookmarkEnd w:id="1905"/>
      <w:bookmarkEnd w:id="1906"/>
      <w:bookmarkEnd w:id="1907"/>
      <w:bookmarkEnd w:id="1908"/>
      <w:bookmarkEnd w:id="1909"/>
      <w:bookmarkEnd w:id="1910"/>
    </w:p>
    <w:bookmarkEnd w:id="1898"/>
    <w:bookmarkEnd w:id="1899"/>
    <w:bookmarkEnd w:id="1900"/>
    <w:p>
      <w:pPr>
        <w:spacing w:before="120" w:after="120" w:line="240" w:lineRule="auto"/>
        <w:textAlignment w:val="auto"/>
        <w:rPr>
          <w:b/>
          <w:szCs w:val="21"/>
        </w:rPr>
      </w:pPr>
    </w:p>
    <w:p>
      <w:pPr>
        <w:spacing w:before="120" w:after="120" w:line="240" w:lineRule="atLeast"/>
        <w:jc w:val="right"/>
        <w:textAlignment w:val="auto"/>
        <w:rPr>
          <w:i/>
          <w:iCs/>
          <w:szCs w:val="21"/>
        </w:rPr>
      </w:pPr>
      <w:r>
        <w:rPr>
          <w:rFonts w:hint="eastAsia"/>
          <w:szCs w:val="21"/>
          <w:lang w:val="es-ES"/>
        </w:rPr>
        <w:t>合同号和合同名称：____________</w:t>
      </w:r>
      <w:r>
        <w:rPr>
          <w:szCs w:val="21"/>
          <w:lang w:val="es-ES"/>
        </w:rPr>
        <w:t>____</w:t>
      </w:r>
    </w:p>
    <w:p>
      <w:pPr>
        <w:spacing w:before="120" w:after="120" w:line="240" w:lineRule="atLeast"/>
        <w:ind w:right="210"/>
        <w:jc w:val="right"/>
        <w:textAlignment w:val="auto"/>
        <w:rPr>
          <w:szCs w:val="21"/>
        </w:rPr>
      </w:pPr>
      <w:r>
        <w:rPr>
          <w:iCs/>
          <w:szCs w:val="21"/>
        </w:rPr>
        <w:t>银行名称</w:t>
      </w:r>
      <w:r>
        <w:rPr>
          <w:rFonts w:hint="eastAsia"/>
          <w:iCs/>
          <w:szCs w:val="21"/>
        </w:rPr>
        <w:t>和地址</w:t>
      </w:r>
      <w:r>
        <w:rPr>
          <w:iCs/>
          <w:szCs w:val="21"/>
        </w:rPr>
        <w:t>：</w:t>
      </w:r>
      <w:r>
        <w:rPr>
          <w:iCs/>
          <w:szCs w:val="21"/>
          <w:lang w:val="es-ES"/>
        </w:rPr>
        <w:t>________________</w:t>
      </w:r>
      <w:r>
        <w:rPr>
          <w:i/>
          <w:iCs/>
          <w:szCs w:val="21"/>
        </w:rPr>
        <w:t xml:space="preserve"> </w:t>
      </w:r>
    </w:p>
    <w:p>
      <w:pPr>
        <w:widowControl/>
        <w:spacing w:before="120" w:after="120" w:line="240" w:lineRule="atLeast"/>
        <w:textAlignment w:val="auto"/>
        <w:rPr>
          <w:i/>
          <w:iCs/>
          <w:szCs w:val="21"/>
        </w:rPr>
      </w:pPr>
      <w:r>
        <w:rPr>
          <w:rFonts w:hint="eastAsia"/>
          <w:szCs w:val="21"/>
        </w:rPr>
        <w:t>受益人：________________________（业主名称）</w:t>
      </w:r>
    </w:p>
    <w:p>
      <w:pPr>
        <w:widowControl/>
        <w:spacing w:before="120" w:after="120" w:line="240" w:lineRule="atLeast"/>
        <w:textAlignment w:val="auto"/>
        <w:rPr>
          <w:i/>
          <w:iCs/>
          <w:szCs w:val="21"/>
        </w:rPr>
      </w:pPr>
      <w:r>
        <w:rPr>
          <w:rFonts w:hint="eastAsia"/>
          <w:szCs w:val="21"/>
        </w:rPr>
        <w:t>履约保证函编号：________________</w:t>
      </w: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textAlignment w:val="auto"/>
        <w:rPr>
          <w:szCs w:val="21"/>
        </w:rPr>
      </w:pPr>
      <w:r>
        <w:rPr>
          <w:rFonts w:hint="eastAsia"/>
          <w:szCs w:val="21"/>
        </w:rPr>
        <w:t>鉴于________________（以下称“承包商”）已与你方于________年____月____日签订了编号为_____________的__________（工程名称）合同，并且鉴于上述合同要求承包商提交一份履约保函：</w:t>
      </w:r>
    </w:p>
    <w:p>
      <w:pPr>
        <w:widowControl/>
        <w:spacing w:before="120" w:after="120" w:line="240" w:lineRule="atLeast"/>
        <w:ind w:firstLine="420" w:firstLineChars="200"/>
        <w:textAlignment w:val="auto"/>
        <w:rPr>
          <w:szCs w:val="21"/>
        </w:rPr>
      </w:pPr>
      <w:r>
        <w:rPr>
          <w:rFonts w:hint="eastAsia"/>
          <w:szCs w:val="21"/>
        </w:rPr>
        <w:t>根据承包商的要求，我方在此不可撤销地保证，在收到你方第一次书面要求，说明承包商违背了合同规定后，我方将向你方支付总额不</w:t>
      </w:r>
      <w:r>
        <w:rPr>
          <w:szCs w:val="21"/>
        </w:rPr>
        <w:t>超过人民币_____________</w:t>
      </w:r>
      <w:r>
        <w:rPr>
          <w:rFonts w:hint="eastAsia"/>
          <w:szCs w:val="21"/>
        </w:rPr>
        <w:t>元</w:t>
      </w:r>
      <w:r>
        <w:rPr>
          <w:rFonts w:hint="eastAsia"/>
          <w:i/>
          <w:iCs/>
          <w:szCs w:val="21"/>
          <w:lang w:val="zh-CN"/>
        </w:rPr>
        <w:t>[插入用大写和数字表示的合同价格]</w:t>
      </w:r>
      <w:r>
        <w:rPr>
          <w:szCs w:val="21"/>
        </w:rPr>
        <w:t>的保证金，我方将不挑剔、不争论</w:t>
      </w:r>
      <w:r>
        <w:rPr>
          <w:rFonts w:hint="eastAsia"/>
          <w:szCs w:val="21"/>
        </w:rPr>
        <w:t>，不需要你方证明或出示你方要求支付上述金额的背景或原因。</w:t>
      </w:r>
    </w:p>
    <w:p>
      <w:pPr>
        <w:widowControl/>
        <w:spacing w:before="120" w:after="120" w:line="240" w:lineRule="atLeast"/>
        <w:ind w:firstLine="420" w:firstLineChars="200"/>
        <w:textAlignment w:val="auto"/>
        <w:rPr>
          <w:szCs w:val="21"/>
        </w:rPr>
      </w:pPr>
      <w:r>
        <w:rPr>
          <w:rFonts w:hint="eastAsia"/>
          <w:szCs w:val="21"/>
        </w:rPr>
        <w:t>本保函有效期至________年____月____日</w:t>
      </w:r>
      <w:r>
        <w:rPr>
          <w:rFonts w:hint="eastAsia"/>
          <w:iCs/>
          <w:szCs w:val="21"/>
        </w:rPr>
        <w:t>，</w:t>
      </w:r>
      <w:r>
        <w:rPr>
          <w:rFonts w:hint="eastAsia"/>
          <w:szCs w:val="21"/>
        </w:rPr>
        <w:t>任何要求本保函支付的通知必须在上述截止时间前送达我方办公室。</w:t>
      </w:r>
    </w:p>
    <w:p>
      <w:pPr>
        <w:widowControl/>
        <w:spacing w:before="120" w:after="120" w:line="240" w:lineRule="atLeast"/>
        <w:ind w:firstLine="420" w:firstLineChars="200"/>
        <w:textAlignment w:val="auto"/>
        <w:rPr>
          <w:szCs w:val="21"/>
        </w:rPr>
      </w:pPr>
      <w:r>
        <w:rPr>
          <w:rFonts w:hint="eastAsia"/>
          <w:szCs w:val="21"/>
        </w:rPr>
        <w:t>本保函受《见索即付保函统一规则》（国际商会第758号出版物）的约束。</w:t>
      </w: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jc w:val="right"/>
        <w:textAlignment w:val="auto"/>
        <w:rPr>
          <w:i/>
          <w:szCs w:val="21"/>
        </w:rPr>
      </w:pPr>
      <w:r>
        <w:rPr>
          <w:rFonts w:hint="eastAsia"/>
          <w:szCs w:val="21"/>
        </w:rPr>
        <w:t>授权人：</w:t>
      </w:r>
      <w:r>
        <w:rPr>
          <w:szCs w:val="21"/>
        </w:rPr>
        <w:t>________________</w:t>
      </w:r>
    </w:p>
    <w:p>
      <w:pPr>
        <w:widowControl/>
        <w:spacing w:before="120" w:after="120" w:line="240" w:lineRule="atLeast"/>
        <w:ind w:firstLine="420" w:firstLineChars="200"/>
        <w:jc w:val="right"/>
        <w:textAlignment w:val="auto"/>
        <w:rPr>
          <w:szCs w:val="21"/>
        </w:rPr>
      </w:pPr>
      <w:r>
        <w:rPr>
          <w:rFonts w:hint="eastAsia"/>
          <w:szCs w:val="21"/>
        </w:rPr>
        <w:t>职务：________________</w:t>
      </w:r>
    </w:p>
    <w:p>
      <w:pPr>
        <w:widowControl/>
        <w:spacing w:before="120" w:after="120" w:line="240" w:lineRule="atLeast"/>
        <w:ind w:firstLine="420" w:firstLineChars="200"/>
        <w:jc w:val="right"/>
        <w:textAlignment w:val="auto"/>
        <w:rPr>
          <w:szCs w:val="21"/>
        </w:rPr>
      </w:pPr>
      <w:r>
        <w:rPr>
          <w:szCs w:val="21"/>
        </w:rPr>
        <w:t xml:space="preserve">  </w:t>
      </w:r>
      <w:r>
        <w:rPr>
          <w:rFonts w:hint="eastAsia"/>
          <w:szCs w:val="21"/>
        </w:rPr>
        <w:t>银行</w:t>
      </w:r>
      <w:r>
        <w:rPr>
          <w:szCs w:val="21"/>
        </w:rPr>
        <w:t>名称：</w:t>
      </w:r>
      <w:r>
        <w:rPr>
          <w:rFonts w:hint="eastAsia"/>
          <w:szCs w:val="21"/>
        </w:rPr>
        <w:t>________________</w:t>
      </w:r>
    </w:p>
    <w:p>
      <w:pPr>
        <w:ind w:right="200"/>
        <w:jc w:val="right"/>
        <w:textAlignment w:val="auto"/>
        <w:rPr>
          <w:rFonts w:cs="Arial"/>
          <w:sz w:val="20"/>
        </w:rPr>
      </w:pPr>
      <w:r>
        <w:rPr>
          <w:rFonts w:hint="eastAsia" w:cs="Arial"/>
          <w:sz w:val="20"/>
        </w:rPr>
        <w:t xml:space="preserve">（加盖公章） </w:t>
      </w:r>
      <w:r>
        <w:rPr>
          <w:rFonts w:cs="Arial"/>
          <w:sz w:val="20"/>
        </w:rPr>
        <w:t xml:space="preserve"> </w:t>
      </w:r>
    </w:p>
    <w:p>
      <w:pPr>
        <w:widowControl/>
        <w:spacing w:before="120" w:after="120" w:line="240" w:lineRule="atLeast"/>
        <w:ind w:firstLine="420" w:firstLineChars="200"/>
        <w:jc w:val="right"/>
        <w:textAlignment w:val="auto"/>
        <w:rPr>
          <w:iCs/>
          <w:szCs w:val="21"/>
        </w:rPr>
      </w:pPr>
      <w:r>
        <w:rPr>
          <w:rFonts w:hint="eastAsia"/>
          <w:iCs/>
          <w:szCs w:val="21"/>
        </w:rPr>
        <w:t>地址：________________</w:t>
      </w:r>
    </w:p>
    <w:p>
      <w:pPr>
        <w:widowControl/>
        <w:spacing w:before="120" w:after="120" w:line="240" w:lineRule="atLeast"/>
        <w:ind w:firstLine="420" w:firstLineChars="200"/>
        <w:jc w:val="right"/>
        <w:textAlignment w:val="auto"/>
        <w:rPr>
          <w:iCs/>
          <w:szCs w:val="21"/>
        </w:rPr>
      </w:pPr>
      <w:r>
        <w:rPr>
          <w:rFonts w:hint="eastAsia"/>
          <w:szCs w:val="21"/>
        </w:rPr>
        <w:t>日期：</w:t>
      </w:r>
      <w:r>
        <w:rPr>
          <w:rFonts w:hint="eastAsia"/>
          <w:iCs/>
          <w:szCs w:val="21"/>
        </w:rPr>
        <w:t>________________</w:t>
      </w:r>
    </w:p>
    <w:p>
      <w:pPr>
        <w:pStyle w:val="55"/>
        <w:spacing w:before="120"/>
        <w:ind w:left="0" w:firstLine="361"/>
        <w:jc w:val="both"/>
        <w:rPr>
          <w:b/>
          <w:sz w:val="18"/>
          <w:szCs w:val="18"/>
          <w:lang w:eastAsia="zh-CN"/>
        </w:rPr>
      </w:pPr>
    </w:p>
    <w:p>
      <w:pPr>
        <w:widowControl/>
        <w:adjustRightInd/>
        <w:spacing w:line="240" w:lineRule="auto"/>
        <w:jc w:val="left"/>
        <w:textAlignment w:val="auto"/>
        <w:rPr>
          <w:rFonts w:cs="宋体"/>
          <w:b/>
          <w:sz w:val="24"/>
          <w:szCs w:val="21"/>
        </w:rPr>
      </w:pPr>
      <w:bookmarkStart w:id="1911" w:name="_Toc104482563"/>
      <w:r>
        <w:rPr>
          <w:rFonts w:cs="宋体"/>
          <w:szCs w:val="21"/>
        </w:rPr>
        <w:br w:type="page"/>
      </w:r>
    </w:p>
    <w:p>
      <w:pPr>
        <w:pStyle w:val="4"/>
        <w:spacing w:before="120" w:after="120" w:line="240" w:lineRule="auto"/>
        <w:rPr>
          <w:szCs w:val="24"/>
          <w:lang w:val="en-US" w:eastAsia="zh-CN"/>
        </w:rPr>
      </w:pPr>
      <w:bookmarkStart w:id="1912" w:name="_Toc32766972"/>
      <w:bookmarkStart w:id="1913" w:name="_Toc171063228"/>
      <w:bookmarkStart w:id="1914" w:name="_Toc169103363"/>
      <w:bookmarkStart w:id="1915" w:name="_Toc170313756"/>
      <w:bookmarkStart w:id="1916" w:name="_Toc324772077"/>
      <w:bookmarkStart w:id="1917" w:name="_Toc110264514"/>
      <w:bookmarkStart w:id="1918" w:name="_Toc110268549"/>
      <w:bookmarkStart w:id="1919" w:name="_Toc324772294"/>
      <w:bookmarkStart w:id="1920" w:name="_Toc110265213"/>
      <w:bookmarkStart w:id="1921" w:name="_Toc110264813"/>
      <w:bookmarkStart w:id="1922" w:name="_Toc391287427"/>
      <w:bookmarkStart w:id="1923" w:name="_Toc110272083"/>
      <w:bookmarkStart w:id="1924" w:name="_Toc110264977"/>
      <w:bookmarkStart w:id="1925" w:name="_Toc110264760"/>
      <w:r>
        <w:rPr>
          <w:rFonts w:hint="eastAsia"/>
          <w:szCs w:val="24"/>
          <w:lang w:val="en-US" w:eastAsia="zh-CN"/>
        </w:rPr>
        <w:t>环境-社会-健康-安全保证金</w:t>
      </w:r>
      <w:bookmarkEnd w:id="1912"/>
      <w:r>
        <w:rPr>
          <w:rFonts w:hint="eastAsia"/>
          <w:szCs w:val="24"/>
          <w:lang w:val="en-US" w:eastAsia="zh-CN"/>
        </w:rPr>
        <w:t>（如适用）</w:t>
      </w:r>
      <w:bookmarkEnd w:id="1913"/>
      <w:bookmarkEnd w:id="1914"/>
      <w:bookmarkEnd w:id="1915"/>
    </w:p>
    <w:p>
      <w:pPr>
        <w:widowControl/>
        <w:tabs>
          <w:tab w:val="center" w:leader="dot" w:pos="5040"/>
          <w:tab w:val="right" w:leader="dot" w:pos="9000"/>
        </w:tabs>
        <w:adjustRightInd/>
        <w:spacing w:before="120" w:after="120" w:line="240" w:lineRule="auto"/>
        <w:jc w:val="left"/>
        <w:textAlignment w:val="auto"/>
        <w:rPr>
          <w:rFonts w:ascii="宋体" w:hAnsi="宋体"/>
          <w:b/>
          <w:szCs w:val="21"/>
        </w:rPr>
      </w:pPr>
    </w:p>
    <w:p>
      <w:pPr>
        <w:widowControl/>
        <w:tabs>
          <w:tab w:val="center" w:leader="dot" w:pos="5040"/>
          <w:tab w:val="right" w:leader="dot" w:pos="9000"/>
        </w:tabs>
        <w:adjustRightInd/>
        <w:spacing w:before="120" w:after="120" w:line="240" w:lineRule="auto"/>
        <w:jc w:val="left"/>
        <w:textAlignment w:val="auto"/>
        <w:rPr>
          <w:rFonts w:ascii="宋体" w:hAnsi="宋体"/>
          <w:b/>
          <w:szCs w:val="21"/>
        </w:rPr>
      </w:pPr>
    </w:p>
    <w:p>
      <w:pPr>
        <w:spacing w:before="120" w:after="120" w:line="240" w:lineRule="atLeast"/>
        <w:ind w:left="420" w:firstLine="420"/>
        <w:jc w:val="right"/>
        <w:rPr>
          <w:rFonts w:hAnsi="宋体"/>
          <w:iCs/>
          <w:szCs w:val="21"/>
        </w:rPr>
      </w:pPr>
      <w:r>
        <w:rPr>
          <w:rFonts w:hint="eastAsia" w:hAnsi="宋体"/>
          <w:iCs/>
          <w:szCs w:val="21"/>
        </w:rPr>
        <w:t>合同号和合同名称：________________</w:t>
      </w:r>
    </w:p>
    <w:p>
      <w:pPr>
        <w:spacing w:before="120" w:after="120" w:line="240" w:lineRule="atLeast"/>
        <w:jc w:val="right"/>
        <w:rPr>
          <w:rFonts w:ascii="宋体" w:hAnsi="宋体"/>
          <w:szCs w:val="21"/>
        </w:rPr>
      </w:pPr>
      <w:r>
        <w:rPr>
          <w:rFonts w:hAnsi="宋体"/>
          <w:iCs/>
          <w:szCs w:val="21"/>
        </w:rPr>
        <w:t>银行名称</w:t>
      </w:r>
      <w:r>
        <w:rPr>
          <w:rFonts w:hint="eastAsia" w:hAnsi="宋体"/>
          <w:iCs/>
          <w:szCs w:val="21"/>
        </w:rPr>
        <w:t>和地址</w:t>
      </w:r>
      <w:r>
        <w:rPr>
          <w:rFonts w:hAnsi="宋体"/>
          <w:iCs/>
          <w:szCs w:val="21"/>
        </w:rPr>
        <w:t>：</w:t>
      </w:r>
      <w:r>
        <w:rPr>
          <w:iCs/>
          <w:szCs w:val="21"/>
          <w:lang w:val="es-ES"/>
        </w:rPr>
        <w:t>________________</w:t>
      </w:r>
      <w:r>
        <w:rPr>
          <w:i/>
          <w:iCs/>
          <w:szCs w:val="21"/>
        </w:rPr>
        <w:t xml:space="preserve"> </w:t>
      </w:r>
    </w:p>
    <w:p>
      <w:pPr>
        <w:widowControl/>
        <w:spacing w:before="120" w:after="120" w:line="240" w:lineRule="atLeast"/>
        <w:ind w:firstLine="420" w:firstLineChars="200"/>
        <w:rPr>
          <w:rFonts w:ascii="宋体" w:hAnsi="宋体"/>
          <w:szCs w:val="21"/>
        </w:rPr>
      </w:pPr>
    </w:p>
    <w:p>
      <w:pPr>
        <w:widowControl/>
        <w:spacing w:before="120" w:after="120" w:line="240" w:lineRule="atLeast"/>
        <w:ind w:firstLine="420" w:firstLineChars="200"/>
        <w:rPr>
          <w:rFonts w:ascii="宋体" w:hAnsi="宋体"/>
          <w:i/>
          <w:iCs/>
          <w:szCs w:val="21"/>
        </w:rPr>
      </w:pPr>
      <w:r>
        <w:rPr>
          <w:rFonts w:hint="eastAsia" w:ascii="宋体" w:hAnsi="宋体"/>
          <w:szCs w:val="21"/>
        </w:rPr>
        <w:t>受益人：______________（业主名称）</w:t>
      </w:r>
    </w:p>
    <w:p>
      <w:pPr>
        <w:widowControl/>
        <w:spacing w:before="120" w:after="120" w:line="240" w:lineRule="atLeast"/>
        <w:ind w:firstLine="422" w:firstLineChars="200"/>
        <w:rPr>
          <w:rFonts w:ascii="宋体" w:hAnsi="宋体"/>
          <w:szCs w:val="21"/>
        </w:rPr>
      </w:pPr>
      <w:r>
        <w:rPr>
          <w:rFonts w:hint="eastAsia" w:ascii="宋体" w:hAnsi="宋体"/>
          <w:b/>
          <w:szCs w:val="21"/>
        </w:rPr>
        <w:t>保函编号</w:t>
      </w:r>
      <w:r>
        <w:rPr>
          <w:rFonts w:hint="eastAsia" w:ascii="宋体" w:hAnsi="宋体"/>
          <w:szCs w:val="21"/>
        </w:rPr>
        <w:t>：____________</w:t>
      </w:r>
    </w:p>
    <w:p>
      <w:pPr>
        <w:widowControl/>
        <w:spacing w:before="120" w:after="120" w:line="240" w:lineRule="atLeast"/>
        <w:ind w:firstLine="420" w:firstLineChars="200"/>
        <w:rPr>
          <w:rFonts w:ascii="宋体" w:hAnsi="宋体"/>
          <w:iCs/>
          <w:szCs w:val="21"/>
        </w:rPr>
      </w:pPr>
      <w:r>
        <w:rPr>
          <w:rFonts w:hint="eastAsia" w:ascii="宋体" w:hAnsi="宋体"/>
          <w:iCs/>
          <w:szCs w:val="21"/>
        </w:rPr>
        <w:t>日期：________________</w:t>
      </w:r>
    </w:p>
    <w:p>
      <w:pPr>
        <w:widowControl/>
        <w:spacing w:before="120" w:after="120" w:line="240" w:lineRule="atLeast"/>
        <w:ind w:firstLine="420" w:firstLineChars="200"/>
        <w:rPr>
          <w:rFonts w:ascii="宋体" w:hAnsi="宋体"/>
          <w:i/>
          <w:iCs/>
          <w:szCs w:val="21"/>
        </w:rPr>
      </w:pPr>
    </w:p>
    <w:p>
      <w:pPr>
        <w:widowControl/>
        <w:spacing w:before="120" w:after="120" w:line="240" w:lineRule="atLeast"/>
        <w:ind w:firstLine="420" w:firstLineChars="200"/>
        <w:rPr>
          <w:rFonts w:ascii="宋体" w:hAnsi="宋体"/>
          <w:szCs w:val="21"/>
        </w:rPr>
      </w:pPr>
    </w:p>
    <w:p>
      <w:pPr>
        <w:widowControl/>
        <w:spacing w:before="120" w:after="120" w:line="240" w:lineRule="atLeast"/>
        <w:ind w:firstLine="420" w:firstLineChars="200"/>
        <w:rPr>
          <w:rFonts w:ascii="宋体" w:hAnsi="宋体"/>
          <w:szCs w:val="21"/>
        </w:rPr>
      </w:pPr>
      <w:r>
        <w:rPr>
          <w:rFonts w:hint="eastAsia" w:ascii="宋体" w:hAnsi="宋体"/>
          <w:szCs w:val="21"/>
        </w:rPr>
        <w:t>鉴于________________（以下称“承包商”）已与你方于________年____月</w:t>
      </w:r>
      <w:r>
        <w:rPr>
          <w:rFonts w:hint="eastAsia" w:ascii="宋体" w:hAnsi="宋体"/>
          <w:szCs w:val="21"/>
          <w:u w:val="single"/>
        </w:rPr>
        <w:t>____</w:t>
      </w:r>
      <w:r>
        <w:rPr>
          <w:rFonts w:hint="eastAsia" w:ascii="宋体" w:hAnsi="宋体"/>
          <w:szCs w:val="21"/>
        </w:rPr>
        <w:t>日签订了编号为_____________的__________合同，并且鉴于上述合同要求承包商提交一份</w:t>
      </w:r>
      <w:r>
        <w:rPr>
          <w:rFonts w:hint="eastAsia"/>
          <w:szCs w:val="21"/>
        </w:rPr>
        <w:t>环境-社会-健康-安全</w:t>
      </w:r>
      <w:r>
        <w:rPr>
          <w:rFonts w:hint="eastAsia" w:ascii="宋体" w:hAnsi="宋体"/>
          <w:szCs w:val="21"/>
        </w:rPr>
        <w:t>保函：</w:t>
      </w:r>
    </w:p>
    <w:p>
      <w:pPr>
        <w:widowControl/>
        <w:spacing w:before="120" w:after="120" w:line="240" w:lineRule="atLeast"/>
        <w:ind w:firstLine="420" w:firstLineChars="200"/>
        <w:rPr>
          <w:rFonts w:ascii="宋体" w:hAnsi="宋体"/>
          <w:szCs w:val="21"/>
        </w:rPr>
      </w:pPr>
      <w:r>
        <w:rPr>
          <w:rFonts w:hint="eastAsia" w:ascii="宋体" w:hAnsi="宋体"/>
          <w:szCs w:val="21"/>
        </w:rPr>
        <w:t>根据承包商的要求，我方在此保证，在收到你方第一次书面要求，说明承包商未能履行合同规定的</w:t>
      </w:r>
      <w:r>
        <w:rPr>
          <w:rFonts w:hint="eastAsia"/>
          <w:szCs w:val="21"/>
        </w:rPr>
        <w:t>环境-社会-健康-安全义务</w:t>
      </w:r>
      <w:r>
        <w:rPr>
          <w:rFonts w:hint="eastAsia" w:ascii="宋体" w:hAnsi="宋体"/>
          <w:szCs w:val="21"/>
        </w:rPr>
        <w:t>后，我方将不可撤销地向你方支付总额不</w:t>
      </w:r>
      <w:r>
        <w:rPr>
          <w:rFonts w:hAnsi="宋体"/>
          <w:szCs w:val="21"/>
        </w:rPr>
        <w:t>超过人民币</w:t>
      </w:r>
      <w:r>
        <w:rPr>
          <w:szCs w:val="21"/>
        </w:rPr>
        <w:t>________________</w:t>
      </w:r>
      <w:r>
        <w:rPr>
          <w:rFonts w:hAnsi="宋体"/>
          <w:szCs w:val="21"/>
        </w:rPr>
        <w:t>的保证金，我方将不挑剔、不争论</w:t>
      </w:r>
      <w:r>
        <w:rPr>
          <w:rFonts w:hint="eastAsia" w:ascii="宋体" w:hAnsi="宋体"/>
          <w:szCs w:val="21"/>
        </w:rPr>
        <w:t>，不需要你方证明或出示你方要求支付上述金额的背景或原因。</w:t>
      </w:r>
    </w:p>
    <w:p>
      <w:pPr>
        <w:widowControl/>
        <w:spacing w:before="120" w:after="120" w:line="240" w:lineRule="atLeast"/>
        <w:ind w:firstLine="420" w:firstLineChars="200"/>
        <w:rPr>
          <w:rFonts w:ascii="宋体" w:hAnsi="宋体"/>
          <w:szCs w:val="21"/>
        </w:rPr>
      </w:pPr>
      <w:r>
        <w:rPr>
          <w:rFonts w:hint="eastAsia" w:ascii="宋体" w:hAnsi="宋体"/>
          <w:szCs w:val="21"/>
        </w:rPr>
        <w:t>本保函有效期至________年____月____日</w:t>
      </w:r>
      <w:r>
        <w:rPr>
          <w:rFonts w:hint="eastAsia" w:ascii="宋体" w:hAnsi="宋体"/>
          <w:iCs/>
          <w:szCs w:val="21"/>
        </w:rPr>
        <w:t>，</w:t>
      </w:r>
      <w:r>
        <w:rPr>
          <w:rFonts w:hint="eastAsia" w:ascii="宋体" w:hAnsi="宋体"/>
          <w:szCs w:val="21"/>
        </w:rPr>
        <w:t>任何要求本保函支付的通知必须在上述截止时间前送达我方办公室。</w:t>
      </w:r>
    </w:p>
    <w:p>
      <w:pPr>
        <w:widowControl/>
        <w:spacing w:before="120" w:after="120" w:line="240" w:lineRule="atLeast"/>
        <w:ind w:firstLine="420" w:firstLineChars="200"/>
        <w:rPr>
          <w:rFonts w:ascii="宋体" w:hAnsi="宋体"/>
          <w:szCs w:val="21"/>
        </w:rPr>
      </w:pPr>
    </w:p>
    <w:p>
      <w:pPr>
        <w:widowControl/>
        <w:spacing w:before="120" w:after="120" w:line="240" w:lineRule="atLeast"/>
        <w:ind w:right="210" w:firstLine="420" w:firstLineChars="200"/>
        <w:jc w:val="right"/>
        <w:textAlignment w:val="auto"/>
        <w:rPr>
          <w:i/>
          <w:szCs w:val="21"/>
        </w:rPr>
      </w:pPr>
      <w:r>
        <w:rPr>
          <w:rFonts w:hint="eastAsia"/>
          <w:szCs w:val="21"/>
        </w:rPr>
        <w:t>授权人：</w:t>
      </w:r>
      <w:r>
        <w:rPr>
          <w:szCs w:val="21"/>
        </w:rPr>
        <w:t>________________</w:t>
      </w:r>
    </w:p>
    <w:p>
      <w:pPr>
        <w:widowControl/>
        <w:spacing w:before="120" w:after="120" w:line="240" w:lineRule="atLeast"/>
        <w:ind w:right="420" w:firstLine="420" w:firstLineChars="200"/>
        <w:jc w:val="right"/>
        <w:textAlignment w:val="auto"/>
        <w:rPr>
          <w:szCs w:val="21"/>
        </w:rPr>
      </w:pPr>
      <w:r>
        <w:rPr>
          <w:rFonts w:hint="eastAsia"/>
          <w:szCs w:val="21"/>
        </w:rPr>
        <w:t>职务：________________</w:t>
      </w:r>
    </w:p>
    <w:p>
      <w:pPr>
        <w:widowControl/>
        <w:spacing w:before="120" w:after="120" w:line="240" w:lineRule="atLeast"/>
        <w:ind w:firstLine="420" w:firstLineChars="200"/>
        <w:jc w:val="right"/>
        <w:textAlignment w:val="auto"/>
        <w:rPr>
          <w:szCs w:val="21"/>
        </w:rPr>
      </w:pPr>
      <w:r>
        <w:rPr>
          <w:szCs w:val="21"/>
        </w:rPr>
        <w:t xml:space="preserve">  </w:t>
      </w:r>
      <w:r>
        <w:rPr>
          <w:rFonts w:hint="eastAsia"/>
          <w:szCs w:val="21"/>
        </w:rPr>
        <w:t>银行</w:t>
      </w:r>
      <w:r>
        <w:rPr>
          <w:szCs w:val="21"/>
        </w:rPr>
        <w:t>名称：</w:t>
      </w:r>
      <w:r>
        <w:rPr>
          <w:rFonts w:hint="eastAsia"/>
          <w:szCs w:val="21"/>
        </w:rPr>
        <w:t>________________</w:t>
      </w:r>
    </w:p>
    <w:p>
      <w:pPr>
        <w:ind w:right="800"/>
        <w:jc w:val="right"/>
        <w:textAlignment w:val="auto"/>
        <w:rPr>
          <w:rFonts w:cs="Arial"/>
          <w:sz w:val="20"/>
        </w:rPr>
      </w:pPr>
      <w:r>
        <w:rPr>
          <w:rFonts w:hint="eastAsia" w:cs="Arial"/>
          <w:sz w:val="20"/>
        </w:rPr>
        <w:t xml:space="preserve">（加盖公章） </w:t>
      </w:r>
      <w:r>
        <w:rPr>
          <w:rFonts w:cs="Arial"/>
          <w:sz w:val="20"/>
        </w:rPr>
        <w:t xml:space="preserve"> </w:t>
      </w:r>
    </w:p>
    <w:p>
      <w:pPr>
        <w:widowControl/>
        <w:spacing w:before="120" w:after="120" w:line="240" w:lineRule="atLeast"/>
        <w:ind w:right="420" w:firstLine="420" w:firstLineChars="200"/>
        <w:jc w:val="right"/>
        <w:textAlignment w:val="auto"/>
        <w:rPr>
          <w:iCs/>
          <w:szCs w:val="21"/>
        </w:rPr>
      </w:pPr>
      <w:r>
        <w:rPr>
          <w:rFonts w:hint="eastAsia"/>
          <w:iCs/>
          <w:szCs w:val="21"/>
        </w:rPr>
        <w:t>地址：________________</w:t>
      </w:r>
    </w:p>
    <w:p>
      <w:pPr>
        <w:widowControl/>
        <w:adjustRightInd/>
        <w:spacing w:line="240" w:lineRule="auto"/>
        <w:ind w:right="420"/>
        <w:jc w:val="right"/>
        <w:textAlignment w:val="auto"/>
        <w:rPr>
          <w:iCs/>
          <w:szCs w:val="21"/>
        </w:rPr>
      </w:pPr>
      <w:r>
        <w:rPr>
          <w:rFonts w:hint="eastAsia"/>
          <w:szCs w:val="21"/>
        </w:rPr>
        <w:t>日期：</w:t>
      </w:r>
      <w:r>
        <w:rPr>
          <w:rFonts w:hint="eastAsia"/>
          <w:iCs/>
          <w:szCs w:val="21"/>
        </w:rPr>
        <w:t>________________</w:t>
      </w:r>
    </w:p>
    <w:p>
      <w:pPr>
        <w:widowControl/>
        <w:adjustRightInd/>
        <w:spacing w:line="240" w:lineRule="auto"/>
        <w:jc w:val="left"/>
        <w:textAlignment w:val="auto"/>
        <w:rPr>
          <w:iCs/>
          <w:szCs w:val="21"/>
        </w:rPr>
      </w:pPr>
      <w:r>
        <w:rPr>
          <w:iCs/>
          <w:szCs w:val="21"/>
        </w:rPr>
        <w:br w:type="page"/>
      </w:r>
    </w:p>
    <w:p>
      <w:pPr>
        <w:pStyle w:val="4"/>
      </w:pPr>
      <w:bookmarkStart w:id="1926" w:name="_Toc171063229"/>
      <w:bookmarkStart w:id="1927" w:name="_Toc170313757"/>
      <w:r>
        <w:rPr>
          <w:rFonts w:hint="eastAsia"/>
        </w:rPr>
        <w:t>预付款银行保函</w:t>
      </w:r>
      <w:bookmarkEnd w:id="1911"/>
      <w:bookmarkEnd w:id="1916"/>
      <w:bookmarkEnd w:id="1917"/>
      <w:bookmarkEnd w:id="1918"/>
      <w:bookmarkEnd w:id="1919"/>
      <w:bookmarkEnd w:id="1920"/>
      <w:bookmarkEnd w:id="1921"/>
      <w:bookmarkEnd w:id="1922"/>
      <w:bookmarkEnd w:id="1923"/>
      <w:bookmarkEnd w:id="1924"/>
      <w:bookmarkEnd w:id="1925"/>
      <w:bookmarkEnd w:id="1926"/>
      <w:bookmarkEnd w:id="1927"/>
    </w:p>
    <w:p>
      <w:pPr>
        <w:spacing w:before="120" w:after="120" w:line="240" w:lineRule="atLeast"/>
        <w:jc w:val="right"/>
        <w:textAlignment w:val="auto"/>
        <w:rPr>
          <w:szCs w:val="21"/>
          <w:lang w:val="es-ES"/>
        </w:rPr>
      </w:pPr>
    </w:p>
    <w:p>
      <w:pPr>
        <w:spacing w:before="120" w:after="120" w:line="240" w:lineRule="atLeast"/>
        <w:jc w:val="right"/>
        <w:textAlignment w:val="auto"/>
        <w:rPr>
          <w:szCs w:val="21"/>
          <w:lang w:val="es-ES"/>
        </w:rPr>
      </w:pPr>
      <w:r>
        <w:rPr>
          <w:rFonts w:hint="eastAsia"/>
          <w:szCs w:val="21"/>
          <w:lang w:val="es-ES"/>
        </w:rPr>
        <w:t>合同号和合同名称：____________</w:t>
      </w:r>
      <w:r>
        <w:rPr>
          <w:szCs w:val="21"/>
          <w:lang w:val="es-ES"/>
        </w:rPr>
        <w:t>____</w:t>
      </w:r>
    </w:p>
    <w:p>
      <w:pPr>
        <w:widowControl/>
        <w:spacing w:before="120" w:after="120" w:line="240" w:lineRule="atLeast"/>
        <w:ind w:right="210"/>
        <w:jc w:val="right"/>
        <w:textAlignment w:val="auto"/>
        <w:rPr>
          <w:szCs w:val="21"/>
        </w:rPr>
      </w:pPr>
      <w:r>
        <w:rPr>
          <w:iCs/>
          <w:szCs w:val="21"/>
        </w:rPr>
        <w:t>银行名称</w:t>
      </w:r>
      <w:r>
        <w:rPr>
          <w:rFonts w:hint="eastAsia"/>
          <w:iCs/>
          <w:szCs w:val="21"/>
        </w:rPr>
        <w:t>和地址</w:t>
      </w:r>
      <w:r>
        <w:rPr>
          <w:iCs/>
          <w:szCs w:val="21"/>
        </w:rPr>
        <w:t>：</w:t>
      </w:r>
      <w:r>
        <w:rPr>
          <w:iCs/>
          <w:szCs w:val="21"/>
          <w:lang w:val="es-ES"/>
        </w:rPr>
        <w:t>________________</w:t>
      </w:r>
      <w:r>
        <w:rPr>
          <w:i/>
          <w:iCs/>
          <w:szCs w:val="21"/>
        </w:rPr>
        <w:t xml:space="preserve"> </w:t>
      </w:r>
    </w:p>
    <w:p>
      <w:pPr>
        <w:spacing w:before="120" w:after="120" w:line="240" w:lineRule="atLeast"/>
        <w:ind w:firstLine="420" w:firstLineChars="200"/>
        <w:textAlignment w:val="auto"/>
        <w:rPr>
          <w:i/>
          <w:iCs/>
          <w:szCs w:val="21"/>
        </w:rPr>
      </w:pPr>
      <w:r>
        <w:rPr>
          <w:rFonts w:hint="eastAsia"/>
          <w:szCs w:val="21"/>
          <w:lang w:val="es-ES"/>
        </w:rPr>
        <w:t>受益人</w:t>
      </w:r>
      <w:r>
        <w:rPr>
          <w:rFonts w:hint="eastAsia"/>
          <w:szCs w:val="21"/>
        </w:rPr>
        <w:t>：_______________</w:t>
      </w:r>
    </w:p>
    <w:p>
      <w:pPr>
        <w:spacing w:before="120" w:after="120" w:line="240" w:lineRule="atLeast"/>
        <w:ind w:firstLine="420" w:firstLineChars="200"/>
        <w:textAlignment w:val="auto"/>
        <w:rPr>
          <w:i/>
          <w:iCs/>
          <w:szCs w:val="21"/>
        </w:rPr>
      </w:pPr>
      <w:r>
        <w:rPr>
          <w:rFonts w:hint="eastAsia"/>
          <w:bCs/>
          <w:szCs w:val="21"/>
        </w:rPr>
        <w:t>预付款</w:t>
      </w:r>
      <w:r>
        <w:rPr>
          <w:rFonts w:hint="eastAsia"/>
          <w:bCs/>
          <w:szCs w:val="21"/>
          <w:lang w:val="es-ES"/>
        </w:rPr>
        <w:t>保证函</w:t>
      </w:r>
      <w:r>
        <w:rPr>
          <w:rFonts w:hint="eastAsia"/>
          <w:bCs/>
          <w:szCs w:val="21"/>
        </w:rPr>
        <w:t>编号：</w:t>
      </w:r>
      <w:r>
        <w:rPr>
          <w:rFonts w:hint="eastAsia"/>
          <w:szCs w:val="21"/>
        </w:rPr>
        <w:t>________________</w:t>
      </w:r>
    </w:p>
    <w:p>
      <w:pPr>
        <w:widowControl/>
        <w:spacing w:before="120" w:after="120" w:line="240" w:lineRule="atLeast"/>
        <w:textAlignment w:val="auto"/>
        <w:rPr>
          <w:szCs w:val="21"/>
        </w:rPr>
      </w:pPr>
    </w:p>
    <w:p>
      <w:pPr>
        <w:pStyle w:val="57"/>
        <w:tabs>
          <w:tab w:val="right" w:leader="dot" w:pos="9000"/>
        </w:tabs>
        <w:spacing w:before="120" w:beforeAutospacing="0" w:after="120" w:afterAutospacing="0"/>
        <w:ind w:firstLine="420" w:firstLineChars="200"/>
        <w:jc w:val="both"/>
        <w:rPr>
          <w:rFonts w:ascii="Times New Roman" w:hAnsi="Times New Roman" w:eastAsia="宋体"/>
          <w:sz w:val="21"/>
          <w:szCs w:val="21"/>
          <w:lang w:eastAsia="zh-CN"/>
        </w:rPr>
      </w:pPr>
      <w:r>
        <w:rPr>
          <w:rFonts w:hint="eastAsia" w:ascii="Times New Roman" w:hAnsi="Times New Roman" w:eastAsia="宋体"/>
          <w:sz w:val="21"/>
          <w:szCs w:val="21"/>
          <w:lang w:eastAsia="zh-CN"/>
        </w:rPr>
        <w:t>鉴于__________（以下称“承包商”）已与你方于________年____月____日签订了编号为_____________的__________</w:t>
      </w:r>
      <w:r>
        <w:rPr>
          <w:rFonts w:ascii="Times New Roman" w:hAnsi="Times New Roman" w:eastAsia="宋体"/>
          <w:sz w:val="21"/>
          <w:szCs w:val="21"/>
          <w:lang w:eastAsia="zh-CN"/>
        </w:rPr>
        <w:t xml:space="preserve"> </w:t>
      </w:r>
      <w:r>
        <w:rPr>
          <w:rFonts w:ascii="Times New Roman" w:hAnsi="Times New Roman" w:eastAsia="宋体"/>
          <w:i/>
          <w:iCs/>
          <w:sz w:val="21"/>
          <w:szCs w:val="21"/>
          <w:lang w:eastAsia="zh-CN"/>
        </w:rPr>
        <w:t>[</w:t>
      </w:r>
      <w:r>
        <w:rPr>
          <w:rFonts w:hint="eastAsia" w:ascii="Times New Roman" w:hAnsi="Times New Roman" w:eastAsia="宋体"/>
          <w:i/>
          <w:sz w:val="21"/>
          <w:szCs w:val="21"/>
          <w:lang w:eastAsia="zh-CN"/>
        </w:rPr>
        <w:t>插入工程简述</w:t>
      </w:r>
      <w:r>
        <w:rPr>
          <w:rFonts w:ascii="Times New Roman" w:hAnsi="Times New Roman" w:eastAsia="宋体"/>
          <w:i/>
          <w:sz w:val="21"/>
          <w:szCs w:val="21"/>
          <w:lang w:eastAsia="zh-CN"/>
        </w:rPr>
        <w:t>]</w:t>
      </w:r>
      <w:r>
        <w:rPr>
          <w:rFonts w:hint="eastAsia" w:ascii="Times New Roman" w:hAnsi="Times New Roman" w:eastAsia="宋体"/>
          <w:sz w:val="21"/>
          <w:szCs w:val="21"/>
          <w:lang w:eastAsia="zh-CN"/>
        </w:rPr>
        <w:t>合同，并且鉴于上述合同要求</w:t>
      </w:r>
      <w:r>
        <w:rPr>
          <w:rFonts w:ascii="Times New Roman" w:hAnsi="Times New Roman" w:eastAsia="宋体"/>
          <w:sz w:val="21"/>
          <w:szCs w:val="21"/>
          <w:lang w:eastAsia="zh-CN"/>
        </w:rPr>
        <w:t>根据预付款保函支付</w:t>
      </w:r>
      <w:r>
        <w:rPr>
          <w:rFonts w:hint="eastAsia" w:ascii="Times New Roman" w:hAnsi="Times New Roman" w:eastAsia="宋体"/>
          <w:sz w:val="21"/>
          <w:szCs w:val="21"/>
          <w:lang w:eastAsia="zh-CN"/>
        </w:rPr>
        <w:t>人民币____________________</w:t>
      </w:r>
      <w:r>
        <w:rPr>
          <w:rFonts w:hint="eastAsia" w:ascii="Times New Roman" w:hAnsi="Times New Roman"/>
          <w:szCs w:val="21"/>
          <w:lang w:eastAsia="zh-CN"/>
        </w:rPr>
        <w:t>元</w:t>
      </w:r>
      <w:r>
        <w:rPr>
          <w:rFonts w:hint="eastAsia" w:ascii="Times New Roman" w:hAnsi="Times New Roman" w:eastAsia="宋体"/>
          <w:i/>
          <w:sz w:val="21"/>
          <w:szCs w:val="21"/>
          <w:lang w:eastAsia="zh-CN"/>
        </w:rPr>
        <w:t>[插入用大写和数字表示的合同价格</w:t>
      </w:r>
      <w:r>
        <w:rPr>
          <w:rFonts w:ascii="Times New Roman" w:hAnsi="Times New Roman" w:eastAsia="宋体"/>
          <w:i/>
          <w:sz w:val="21"/>
          <w:szCs w:val="21"/>
          <w:lang w:eastAsia="zh-CN"/>
        </w:rPr>
        <w:t>]</w:t>
      </w:r>
      <w:r>
        <w:rPr>
          <w:rFonts w:ascii="Times New Roman" w:hAnsi="Times New Roman" w:eastAsia="宋体"/>
          <w:bCs/>
          <w:iCs/>
          <w:sz w:val="21"/>
          <w:szCs w:val="21"/>
          <w:lang w:eastAsia="zh-CN"/>
        </w:rPr>
        <w:t>的预付款</w:t>
      </w:r>
      <w:r>
        <w:rPr>
          <w:rFonts w:hint="eastAsia" w:ascii="Times New Roman" w:hAnsi="Times New Roman" w:eastAsia="宋体"/>
          <w:sz w:val="21"/>
          <w:szCs w:val="21"/>
          <w:lang w:eastAsia="zh-CN"/>
        </w:rPr>
        <w:t>：</w:t>
      </w:r>
    </w:p>
    <w:p>
      <w:pPr>
        <w:widowControl/>
        <w:spacing w:before="120" w:after="120" w:line="240" w:lineRule="atLeast"/>
        <w:ind w:firstLine="420" w:firstLineChars="200"/>
        <w:textAlignment w:val="auto"/>
        <w:rPr>
          <w:szCs w:val="21"/>
        </w:rPr>
      </w:pPr>
      <w:r>
        <w:rPr>
          <w:rFonts w:hint="eastAsia"/>
          <w:szCs w:val="21"/>
        </w:rPr>
        <w:t>根据承包商的要求，我方在此不可撤销地保证，在收到你方第一次书面要求，说明承包商将预付款用于实施和完成合同工程之外的其它目的后，我方向你方支付总额不超过人民币____________________元</w:t>
      </w:r>
      <w:r>
        <w:rPr>
          <w:rFonts w:hint="eastAsia"/>
          <w:i/>
          <w:szCs w:val="21"/>
        </w:rPr>
        <w:t>[插入用大写和数字表示的合同价格</w:t>
      </w:r>
      <w:r>
        <w:rPr>
          <w:i/>
          <w:szCs w:val="21"/>
        </w:rPr>
        <w:t>]</w:t>
      </w:r>
      <w:r>
        <w:rPr>
          <w:rFonts w:hint="eastAsia"/>
          <w:szCs w:val="21"/>
        </w:rPr>
        <w:t>的保证金。</w:t>
      </w:r>
    </w:p>
    <w:p>
      <w:pPr>
        <w:widowControl/>
        <w:spacing w:before="120" w:after="120" w:line="240" w:lineRule="atLeast"/>
        <w:ind w:firstLine="420" w:firstLineChars="200"/>
        <w:textAlignment w:val="auto"/>
        <w:rPr>
          <w:szCs w:val="21"/>
        </w:rPr>
      </w:pPr>
      <w:r>
        <w:rPr>
          <w:rFonts w:hint="eastAsia"/>
          <w:szCs w:val="21"/>
        </w:rPr>
        <w:t>本保函的支付条件是，承包商在其_</w:t>
      </w:r>
      <w:r>
        <w:rPr>
          <w:szCs w:val="21"/>
        </w:rPr>
        <w:t>______</w:t>
      </w:r>
      <w:r>
        <w:rPr>
          <w:rFonts w:hint="eastAsia"/>
          <w:szCs w:val="21"/>
        </w:rPr>
        <w:t>银行帐户（账户号：______________，开户行地址：_______________）上收到了上述预付款。</w:t>
      </w:r>
    </w:p>
    <w:p>
      <w:pPr>
        <w:widowControl/>
        <w:spacing w:before="120" w:after="120" w:line="240" w:lineRule="atLeast"/>
        <w:ind w:firstLine="420" w:firstLineChars="200"/>
        <w:textAlignment w:val="auto"/>
        <w:rPr>
          <w:szCs w:val="21"/>
        </w:rPr>
      </w:pPr>
      <w:r>
        <w:rPr>
          <w:szCs w:val="21"/>
        </w:rPr>
        <w:t xml:space="preserve"> </w:t>
      </w:r>
      <w:r>
        <w:rPr>
          <w:rFonts w:hint="eastAsia"/>
          <w:szCs w:val="21"/>
        </w:rPr>
        <w:t>显示承包商返还预付款的中期支付证书副本应该送达本银行。本保函的封顶金额应该随着承包商返还预付款的进度而逐步降低。本保函最晚应在以下两个日期中较早的日期到达时失效：</w:t>
      </w:r>
    </w:p>
    <w:p>
      <w:pPr>
        <w:widowControl/>
        <w:spacing w:before="120" w:after="120" w:line="240" w:lineRule="atLeast"/>
        <w:ind w:firstLine="420" w:firstLineChars="200"/>
        <w:textAlignment w:val="auto"/>
        <w:rPr>
          <w:szCs w:val="21"/>
        </w:rPr>
      </w:pPr>
      <w:r>
        <w:rPr>
          <w:rFonts w:hint="eastAsia"/>
          <w:szCs w:val="21"/>
        </w:rPr>
        <w:t>（1）本银行收到中期支付证书，显示合同价80%的金额已经被确认应支付给承包商；</w:t>
      </w:r>
    </w:p>
    <w:p>
      <w:pPr>
        <w:widowControl/>
        <w:spacing w:before="120" w:after="120" w:line="240" w:lineRule="atLeast"/>
        <w:ind w:firstLine="420" w:firstLineChars="200"/>
        <w:textAlignment w:val="auto"/>
        <w:rPr>
          <w:szCs w:val="21"/>
        </w:rPr>
      </w:pPr>
      <w:r>
        <w:rPr>
          <w:rFonts w:hint="eastAsia"/>
          <w:szCs w:val="21"/>
        </w:rPr>
        <w:t xml:space="preserve">（2）______年___ 月___日。 </w:t>
      </w:r>
    </w:p>
    <w:p>
      <w:pPr>
        <w:widowControl/>
        <w:spacing w:before="120" w:after="120" w:line="240" w:lineRule="atLeast"/>
        <w:ind w:firstLine="420" w:firstLineChars="200"/>
        <w:textAlignment w:val="auto"/>
        <w:rPr>
          <w:szCs w:val="21"/>
        </w:rPr>
      </w:pPr>
      <w:r>
        <w:rPr>
          <w:rFonts w:hint="eastAsia"/>
          <w:szCs w:val="21"/>
        </w:rPr>
        <w:t>因此，所有偿付要求须在此日期当日或之前送达我方办公室。</w:t>
      </w: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textAlignment w:val="auto"/>
        <w:rPr>
          <w:szCs w:val="21"/>
        </w:rPr>
      </w:pPr>
      <w:r>
        <w:rPr>
          <w:rFonts w:hint="eastAsia"/>
          <w:szCs w:val="21"/>
        </w:rPr>
        <w:t>本保函受《见索即付保函统一规则》（国际商会第758号出版物）的约束。</w:t>
      </w: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textAlignment w:val="auto"/>
        <w:rPr>
          <w:szCs w:val="21"/>
        </w:rPr>
      </w:pPr>
    </w:p>
    <w:p>
      <w:pPr>
        <w:widowControl/>
        <w:spacing w:before="120" w:after="120" w:line="240" w:lineRule="atLeast"/>
        <w:ind w:firstLine="420" w:firstLineChars="200"/>
        <w:jc w:val="right"/>
        <w:textAlignment w:val="auto"/>
        <w:rPr>
          <w:i/>
          <w:szCs w:val="21"/>
        </w:rPr>
      </w:pPr>
      <w:r>
        <w:rPr>
          <w:rFonts w:hint="eastAsia"/>
          <w:szCs w:val="21"/>
        </w:rPr>
        <w:t>授权人：</w:t>
      </w:r>
      <w:r>
        <w:rPr>
          <w:szCs w:val="21"/>
        </w:rPr>
        <w:t>________________</w:t>
      </w:r>
    </w:p>
    <w:p>
      <w:pPr>
        <w:widowControl/>
        <w:spacing w:before="120" w:after="120" w:line="240" w:lineRule="atLeast"/>
        <w:ind w:firstLine="420" w:firstLineChars="200"/>
        <w:jc w:val="right"/>
        <w:textAlignment w:val="auto"/>
        <w:rPr>
          <w:szCs w:val="21"/>
        </w:rPr>
      </w:pPr>
      <w:r>
        <w:rPr>
          <w:rFonts w:hint="eastAsia"/>
          <w:szCs w:val="21"/>
        </w:rPr>
        <w:t>职务：________________</w:t>
      </w:r>
    </w:p>
    <w:p>
      <w:pPr>
        <w:widowControl/>
        <w:spacing w:before="120" w:after="120" w:line="240" w:lineRule="atLeast"/>
        <w:ind w:firstLine="420" w:firstLineChars="200"/>
        <w:jc w:val="right"/>
        <w:textAlignment w:val="auto"/>
        <w:rPr>
          <w:szCs w:val="21"/>
        </w:rPr>
      </w:pPr>
      <w:r>
        <w:rPr>
          <w:szCs w:val="21"/>
        </w:rPr>
        <w:t xml:space="preserve">  </w:t>
      </w:r>
      <w:r>
        <w:rPr>
          <w:rFonts w:hint="eastAsia"/>
          <w:szCs w:val="21"/>
        </w:rPr>
        <w:t>银行</w:t>
      </w:r>
      <w:r>
        <w:rPr>
          <w:szCs w:val="21"/>
        </w:rPr>
        <w:t>名称：</w:t>
      </w:r>
      <w:r>
        <w:rPr>
          <w:rFonts w:hint="eastAsia"/>
          <w:szCs w:val="21"/>
        </w:rPr>
        <w:t>________________</w:t>
      </w:r>
    </w:p>
    <w:p>
      <w:pPr>
        <w:ind w:right="200"/>
        <w:jc w:val="right"/>
        <w:textAlignment w:val="auto"/>
        <w:rPr>
          <w:rFonts w:cs="Arial"/>
          <w:sz w:val="20"/>
        </w:rPr>
      </w:pPr>
      <w:r>
        <w:rPr>
          <w:rFonts w:hint="eastAsia" w:cs="Arial"/>
          <w:sz w:val="20"/>
        </w:rPr>
        <w:t xml:space="preserve">（加盖公章） </w:t>
      </w:r>
      <w:r>
        <w:rPr>
          <w:rFonts w:cs="Arial"/>
          <w:sz w:val="20"/>
        </w:rPr>
        <w:t xml:space="preserve"> </w:t>
      </w:r>
    </w:p>
    <w:p>
      <w:pPr>
        <w:widowControl/>
        <w:spacing w:before="120" w:after="120" w:line="240" w:lineRule="atLeast"/>
        <w:ind w:firstLine="420" w:firstLineChars="200"/>
        <w:jc w:val="right"/>
        <w:textAlignment w:val="auto"/>
        <w:rPr>
          <w:iCs/>
          <w:szCs w:val="21"/>
        </w:rPr>
      </w:pPr>
      <w:r>
        <w:rPr>
          <w:rFonts w:hint="eastAsia"/>
          <w:iCs/>
          <w:szCs w:val="21"/>
        </w:rPr>
        <w:t>地址：________________</w:t>
      </w:r>
    </w:p>
    <w:p>
      <w:pPr>
        <w:widowControl/>
        <w:spacing w:before="120" w:after="120" w:line="240" w:lineRule="atLeast"/>
        <w:ind w:firstLine="420" w:firstLineChars="200"/>
        <w:jc w:val="right"/>
        <w:textAlignment w:val="auto"/>
        <w:rPr>
          <w:iCs/>
          <w:szCs w:val="21"/>
        </w:rPr>
      </w:pPr>
      <w:r>
        <w:rPr>
          <w:rFonts w:hint="eastAsia"/>
          <w:szCs w:val="21"/>
        </w:rPr>
        <w:t>日期：</w:t>
      </w:r>
      <w:r>
        <w:rPr>
          <w:rFonts w:hint="eastAsia"/>
          <w:iCs/>
          <w:szCs w:val="21"/>
        </w:rPr>
        <w:t>_______________</w:t>
      </w:r>
      <w:bookmarkEnd w:id="1858"/>
      <w:bookmarkEnd w:id="1873"/>
      <w:bookmarkStart w:id="1928" w:name="_Toc428352208"/>
      <w:bookmarkEnd w:id="1928"/>
      <w:bookmarkStart w:id="1929" w:name="_Toc438907199"/>
      <w:bookmarkEnd w:id="1929"/>
      <w:bookmarkStart w:id="1930" w:name="_Toc438907299"/>
      <w:bookmarkEnd w:id="1930"/>
    </w:p>
    <w:sectPr>
      <w:headerReference r:id="rId25" w:type="default"/>
      <w:footnotePr>
        <w:numRestart w:val="eachPage"/>
      </w:footnotePr>
      <w:endnotePr>
        <w:numFmt w:val="decimal"/>
      </w:endnote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
    <w:altName w:val="微软雅黑"/>
    <w:panose1 w:val="00000000000000000000"/>
    <w:charset w:val="86"/>
    <w:family w:val="auto"/>
    <w:pitch w:val="default"/>
    <w:sig w:usb0="00000000" w:usb1="00000000" w:usb2="00000010" w:usb3="00000000" w:csb0="00140000" w:csb1="00000000"/>
  </w:font>
  <w:font w:name="Comic Sans MS">
    <w:panose1 w:val="030F0702030302020204"/>
    <w:charset w:val="00"/>
    <w:family w:val="script"/>
    <w:pitch w:val="default"/>
    <w:sig w:usb0="00000287" w:usb1="00000013" w:usb2="00000000" w:usb3="00000000" w:csb0="2000009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Courier New"/>
    <w:panose1 w:val="00000000000000000000"/>
    <w:charset w:val="00"/>
    <w:family w:val="auto"/>
    <w:pitch w:val="default"/>
    <w:sig w:usb0="00000000" w:usb1="00000000" w:usb2="00000000" w:usb3="00000000" w:csb0="000001BF" w:csb1="00000000"/>
  </w:font>
  <w:font w:name="CG Times">
    <w:altName w:val="Times New Roman"/>
    <w:panose1 w:val="00000000000000000000"/>
    <w:charset w:val="00"/>
    <w:family w:val="roman"/>
    <w:pitch w:val="default"/>
    <w:sig w:usb0="00000000" w:usb1="00000000" w:usb2="00000000" w:usb3="00000000" w:csb0="00000001" w:csb1="00000000"/>
  </w:font>
  <w:font w:name="Ideal Sans Light">
    <w:altName w:val="Calibri"/>
    <w:panose1 w:val="00000000000000000000"/>
    <w:charset w:val="00"/>
    <w:family w:val="modern"/>
    <w:pitch w:val="default"/>
    <w:sig w:usb0="00000000" w:usb1="00000000" w:usb2="00000000" w:usb3="00000000" w:csb0="0000009B"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9"/>
        <w:rPr>
          <w:lang w:eastAsia="zh-CN"/>
        </w:rPr>
      </w:pPr>
      <w:r>
        <w:rPr>
          <w:rStyle w:val="72"/>
        </w:rPr>
        <w:footnoteRef/>
      </w:r>
      <w:r>
        <w:rPr>
          <w:lang w:eastAsia="zh-CN"/>
        </w:rPr>
        <w:t xml:space="preserve"> </w:t>
      </w:r>
      <w:r>
        <w:rPr>
          <w:rFonts w:hint="eastAsia"/>
          <w:lang w:eastAsia="zh-CN"/>
        </w:rPr>
        <w:t>利益冲突的评审将针对所有递交投标文件的投标人进行。</w:t>
      </w:r>
    </w:p>
  </w:footnote>
  <w:footnote w:id="1">
    <w:p>
      <w:pPr>
        <w:pStyle w:val="49"/>
        <w:rPr>
          <w:sz w:val="18"/>
          <w:szCs w:val="18"/>
          <w:lang w:eastAsia="zh-CN"/>
        </w:rPr>
      </w:pPr>
      <w:r>
        <w:rPr>
          <w:rStyle w:val="72"/>
          <w:sz w:val="18"/>
          <w:szCs w:val="18"/>
        </w:rPr>
        <w:footnoteRef/>
      </w:r>
      <w:r>
        <w:rPr>
          <w:sz w:val="18"/>
          <w:szCs w:val="18"/>
          <w:lang w:eastAsia="zh-CN"/>
        </w:rPr>
        <w:t xml:space="preserve"> </w:t>
      </w:r>
      <w:r>
        <w:rPr>
          <w:rFonts w:hint="eastAsia"/>
          <w:sz w:val="18"/>
          <w:szCs w:val="18"/>
          <w:lang w:eastAsia="zh-CN"/>
        </w:rPr>
        <w:t>对总价合同，删去工程量清单，换为“单项工程价单”。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6"/>
      <w:gridCol w:w="415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6"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评标和资格标准</w:t>
          </w:r>
        </w:p>
      </w:tc>
      <w:tc>
        <w:tcPr>
          <w:tcW w:w="4157"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29</w:t>
          </w:r>
          <w:r>
            <w:rPr>
              <w:szCs w:val="18"/>
              <w:lang w:val="en-US" w:eastAsia="zh-CN"/>
            </w:rPr>
            <w:fldChar w:fldCharType="end"/>
          </w:r>
        </w:p>
      </w:tc>
    </w:tr>
  </w:tbl>
  <w:p>
    <w:pPr>
      <w:pStyle w:val="43"/>
      <w:pBdr>
        <w:bottom w:val="none" w:color="auto" w:sz="0" w:space="0"/>
      </w:pBdr>
      <w:ind w:firstLine="360"/>
      <w:jc w:val="both"/>
      <w:rPr>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6"/>
      <w:gridCol w:w="415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6"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投标文件格式</w:t>
          </w:r>
        </w:p>
      </w:tc>
      <w:tc>
        <w:tcPr>
          <w:tcW w:w="4157"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31</w:t>
          </w:r>
          <w:r>
            <w:rPr>
              <w:szCs w:val="18"/>
              <w:lang w:val="en-US" w:eastAsia="zh-CN"/>
            </w:rPr>
            <w:fldChar w:fldCharType="end"/>
          </w:r>
        </w:p>
      </w:tc>
    </w:tr>
  </w:tbl>
  <w:p>
    <w:pPr>
      <w:pStyle w:val="43"/>
      <w:pBdr>
        <w:bottom w:val="none" w:color="auto" w:sz="0" w:space="0"/>
      </w:pBdr>
      <w:ind w:firstLine="360"/>
      <w:jc w:val="both"/>
      <w:rPr>
        <w:sz w:val="21"/>
      </w:rPr>
    </w:pPr>
    <w:r>
      <w:rPr>
        <w:rFonts w:hint="eastAsia"/>
        <w:szCs w:val="18"/>
        <w:lang w:val="en-US" w:eastAsia="zh-CN"/>
      </w:rPr>
      <mc:AlternateContent>
        <mc:Choice Requires="wps">
          <w:drawing>
            <wp:anchor distT="0" distB="0" distL="114300" distR="114300" simplePos="0" relativeHeight="251649024" behindDoc="0" locked="0" layoutInCell="0" allowOverlap="1">
              <wp:simplePos x="0" y="0"/>
              <wp:positionH relativeFrom="page">
                <wp:align>right</wp:align>
              </wp:positionH>
              <wp:positionV relativeFrom="page">
                <wp:align>top</wp:align>
              </wp:positionV>
              <wp:extent cx="7772400" cy="464185"/>
              <wp:effectExtent l="0" t="0" r="0" b="12065"/>
              <wp:wrapNone/>
              <wp:docPr id="33" name="MSIPCM5f61473cb96791d4e4a12507" descr="{&quot;HashCode&quot;:1605846831,&quot;Height&quot;:9999999.0,&quot;Width&quot;:9999999.0,&quot;Placement&quot;:&quot;Header&quot;,&quot;Index&quot;:&quot;Primary&quot;,&quot;Section&quot;:49,&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5f61473cb96791d4e4a12507" o:spid="_x0000_s1026" o:spt="202" alt="{&quot;HashCode&quot;:1605846831,&quot;Height&quot;:9999999.0,&quot;Width&quot;:9999999.0,&quot;Placement&quot;:&quot;Header&quot;,&quot;Index&quot;:&quot;Primary&quot;,&quot;Section&quot;:49,&quot;Top&quot;:0.0,&quot;Left&quot;:0.0}" type="#_x0000_t202" style="position:absolute;left:0pt;height:36.55pt;width:612pt;mso-position-horizontal:right;mso-position-horizontal-relative:page;mso-position-vertical:top;mso-position-vertical-relative:page;z-index:251649024;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DSf9dYAAAAFAQAADwAAAAAAAAABACAAAAAiAAAAZHJzL2Rvd25yZXYu&#10;eG1sUEsBAhQAFAAAAAgAh07iQGwJ+BdvAgAAyAQAAA4AAAAAAAAAAQAgAAAAJQEAAGRycy9lMm9E&#10;b2MueG1sUEsFBgAAAAAGAAYAWQEAAAYGA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15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0" w:type="dxa"/>
        </w:tcPr>
        <w:p>
          <w:pPr>
            <w:pStyle w:val="43"/>
            <w:pBdr>
              <w:bottom w:val="none" w:color="auto" w:sz="0" w:space="0"/>
            </w:pBdr>
            <w:jc w:val="both"/>
            <w:rPr>
              <w:sz w:val="21"/>
              <w:szCs w:val="21"/>
              <w:lang w:val="en-US" w:eastAsia="zh-CN"/>
            </w:rPr>
          </w:pPr>
          <w:r>
            <w:rPr>
              <w:rFonts w:hint="eastAsia"/>
              <w:sz w:val="21"/>
              <w:szCs w:val="21"/>
              <w:lang w:val="en-US" w:eastAsia="zh-CN"/>
            </w:rPr>
            <w:t>投标文件格式</w:t>
          </w:r>
        </w:p>
      </w:tc>
      <w:tc>
        <w:tcPr>
          <w:tcW w:w="4153"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56</w:t>
          </w:r>
          <w:r>
            <w:rPr>
              <w:sz w:val="21"/>
              <w:szCs w:val="21"/>
              <w:lang w:val="en-US" w:eastAsia="zh-CN"/>
            </w:rPr>
            <w:fldChar w:fldCharType="end"/>
          </w:r>
        </w:p>
      </w:tc>
    </w:tr>
  </w:tbl>
  <w:p>
    <w:pPr>
      <w:pStyle w:val="43"/>
      <w:pBdr>
        <w:bottom w:val="none" w:color="auto" w:sz="0" w:space="0"/>
      </w:pBdr>
    </w:pPr>
    <w:r>
      <w:rPr>
        <w:rFonts w:hint="eastAsia"/>
        <w:sz w:val="21"/>
        <w:szCs w:val="21"/>
        <w:lang w:val="en-US" w:eastAsia="zh-CN"/>
      </w:rPr>
      <mc:AlternateContent>
        <mc:Choice Requires="wps">
          <w:drawing>
            <wp:anchor distT="0" distB="0" distL="114300" distR="114300" simplePos="0" relativeHeight="251654144" behindDoc="0" locked="0" layoutInCell="0" allowOverlap="1">
              <wp:simplePos x="0" y="0"/>
              <wp:positionH relativeFrom="page">
                <wp:align>right</wp:align>
              </wp:positionH>
              <wp:positionV relativeFrom="page">
                <wp:align>top</wp:align>
              </wp:positionV>
              <wp:extent cx="7772400" cy="464185"/>
              <wp:effectExtent l="0" t="0" r="0" b="12065"/>
              <wp:wrapNone/>
              <wp:docPr id="35" name="MSIPCM1c6e4f2fa6f2ae4424a6c8c4" descr="{&quot;HashCode&quot;:1605846831,&quot;Height&quot;:9999999.0,&quot;Width&quot;:9999999.0,&quot;Placement&quot;:&quot;Header&quot;,&quot;Index&quot;:&quot;Primary&quot;,&quot;Section&quot;:53,&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1c6e4f2fa6f2ae4424a6c8c4" o:spid="_x0000_s1026" o:spt="202" alt="{&quot;HashCode&quot;:1605846831,&quot;Height&quot;:9999999.0,&quot;Width&quot;:9999999.0,&quot;Placement&quot;:&quot;Header&quot;,&quot;Index&quot;:&quot;Primary&quot;,&quot;Section&quot;:53,&quot;Top&quot;:0.0,&quot;Left&quot;:0.0}" type="#_x0000_t202" style="position:absolute;left:0pt;height:36.55pt;width:612pt;mso-position-horizontal:right;mso-position-horizontal-relative:page;mso-position-vertical:top;mso-position-vertical-relative:page;z-index:251654144;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w0n/XWAAAABQEAAA8AAAAAAAAAAQAgAAAAIgAAAGRycy9kb3ducmV2Lnht&#10;bFBLAQIUABQAAAAIAIdO4kCX8BOTbQIAAMgEAAAOAAAAAAAAAAEAIAAAACUBAABkcnMvZTJvRG9j&#10;LnhtbFBLBQYAAAAABgAGAFkBAAAEBg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15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0" w:type="dxa"/>
        </w:tcPr>
        <w:p>
          <w:pPr>
            <w:pStyle w:val="43"/>
            <w:pBdr>
              <w:bottom w:val="none" w:color="auto" w:sz="0" w:space="0"/>
            </w:pBdr>
            <w:jc w:val="both"/>
            <w:rPr>
              <w:sz w:val="21"/>
              <w:szCs w:val="21"/>
              <w:lang w:val="en-US" w:eastAsia="zh-CN"/>
            </w:rPr>
          </w:pPr>
          <w:r>
            <w:rPr>
              <w:rFonts w:hint="eastAsia"/>
              <w:sz w:val="21"/>
              <w:szCs w:val="21"/>
              <w:lang w:val="en-US" w:eastAsia="zh-CN"/>
            </w:rPr>
            <w:t>合格国家</w:t>
          </w:r>
        </w:p>
      </w:tc>
      <w:tc>
        <w:tcPr>
          <w:tcW w:w="4153"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56</w:t>
          </w:r>
          <w:r>
            <w:rPr>
              <w:sz w:val="21"/>
              <w:szCs w:val="21"/>
              <w:lang w:val="en-US" w:eastAsia="zh-CN"/>
            </w:rPr>
            <w:fldChar w:fldCharType="end"/>
          </w:r>
        </w:p>
      </w:tc>
    </w:tr>
  </w:tbl>
  <w:p>
    <w:pPr>
      <w:pStyle w:val="43"/>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15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0" w:type="dxa"/>
        </w:tcPr>
        <w:p>
          <w:pPr>
            <w:pStyle w:val="43"/>
            <w:pBdr>
              <w:bottom w:val="none" w:color="auto" w:sz="0" w:space="0"/>
            </w:pBdr>
            <w:jc w:val="both"/>
            <w:rPr>
              <w:sz w:val="21"/>
              <w:szCs w:val="21"/>
              <w:lang w:val="en-US" w:eastAsia="zh-CN"/>
            </w:rPr>
          </w:pPr>
          <w:r>
            <w:rPr>
              <w:rFonts w:hint="eastAsia"/>
              <w:sz w:val="21"/>
              <w:szCs w:val="21"/>
              <w:lang w:val="en-US" w:eastAsia="zh-CN"/>
            </w:rPr>
            <w:t>业主要求</w:t>
          </w:r>
        </w:p>
      </w:tc>
      <w:tc>
        <w:tcPr>
          <w:tcW w:w="4153"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60</w:t>
          </w:r>
          <w:r>
            <w:rPr>
              <w:sz w:val="21"/>
              <w:szCs w:val="21"/>
              <w:lang w:val="en-US" w:eastAsia="zh-CN"/>
            </w:rPr>
            <w:fldChar w:fldCharType="end"/>
          </w:r>
        </w:p>
      </w:tc>
    </w:tr>
  </w:tbl>
  <w:p>
    <w:pPr>
      <w:pStyle w:val="43"/>
      <w:pBdr>
        <w:bottom w:val="none" w:color="auto" w:sz="0" w:space="0"/>
      </w:pBdr>
    </w:pPr>
    <w:r>
      <w:rPr>
        <w:rFonts w:hint="eastAsia"/>
        <w:sz w:val="21"/>
        <w:szCs w:val="21"/>
        <w:lang w:val="en-US" w:eastAsia="zh-CN"/>
      </w:rPr>
      <mc:AlternateContent>
        <mc:Choice Requires="wps">
          <w:drawing>
            <wp:anchor distT="0" distB="0" distL="114300" distR="114300" simplePos="0" relativeHeight="251656192" behindDoc="0" locked="0" layoutInCell="0" allowOverlap="1">
              <wp:simplePos x="0" y="0"/>
              <wp:positionH relativeFrom="page">
                <wp:align>right</wp:align>
              </wp:positionH>
              <wp:positionV relativeFrom="page">
                <wp:align>top</wp:align>
              </wp:positionV>
              <wp:extent cx="7772400" cy="464185"/>
              <wp:effectExtent l="0" t="0" r="0" b="12065"/>
              <wp:wrapNone/>
              <wp:docPr id="36" name="MSIPCM89d34058b795018370760d31" descr="{&quot;HashCode&quot;:1605846831,&quot;Height&quot;:9999999.0,&quot;Width&quot;:9999999.0,&quot;Placement&quot;:&quot;Header&quot;,&quot;Index&quot;:&quot;Primary&quot;,&quot;Section&quot;:56,&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89d34058b795018370760d31" o:spid="_x0000_s1026" o:spt="202" alt="{&quot;HashCode&quot;:1605846831,&quot;Height&quot;:9999999.0,&quot;Width&quot;:9999999.0,&quot;Placement&quot;:&quot;Header&quot;,&quot;Index&quot;:&quot;Primary&quot;,&quot;Section&quot;:56,&quot;Top&quot;:0.0,&quot;Left&quot;:0.0}" type="#_x0000_t202" style="position:absolute;left:0pt;height:36.55pt;width:612pt;mso-position-horizontal:right;mso-position-horizontal-relative:page;mso-position-vertical:top;mso-position-vertical-relative:page;z-index:251656192;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DSf9dYAAAAFAQAADwAAAAAAAAABACAAAAAiAAAAZHJzL2Rvd25yZXYu&#10;eG1sUEsBAhQAFAAAAAgAh07iQAt4rZdvAgAAyAQAAA4AAAAAAAAAAQAgAAAAJQEAAGRycy9lMm9E&#10;b2MueG1sUEsFBgAAAAAGAAYAWQEAAAYGA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6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tcPr>
        <w:p>
          <w:pPr>
            <w:pStyle w:val="43"/>
            <w:pBdr>
              <w:bottom w:val="none" w:color="auto" w:sz="0" w:space="0"/>
            </w:pBdr>
            <w:jc w:val="both"/>
            <w:rPr>
              <w:sz w:val="21"/>
              <w:szCs w:val="21"/>
              <w:lang w:val="en-US" w:eastAsia="zh-CN"/>
            </w:rPr>
          </w:pPr>
        </w:p>
      </w:tc>
      <w:tc>
        <w:tcPr>
          <w:tcW w:w="4160"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61</w:t>
          </w:r>
          <w:r>
            <w:rPr>
              <w:sz w:val="21"/>
              <w:szCs w:val="21"/>
              <w:lang w:val="en-US" w:eastAsia="zh-CN"/>
            </w:rPr>
            <w:fldChar w:fldCharType="end"/>
          </w:r>
        </w:p>
      </w:tc>
    </w:tr>
  </w:tbl>
  <w:p>
    <w:pPr>
      <w:pStyle w:val="43"/>
      <w:pBdr>
        <w:bottom w:val="none" w:color="auto" w:sz="0" w:space="0"/>
      </w:pBdr>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15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PrEx>
      <w:tc>
        <w:tcPr>
          <w:tcW w:w="4160" w:type="dxa"/>
        </w:tcPr>
        <w:p>
          <w:pPr>
            <w:pStyle w:val="43"/>
            <w:pBdr>
              <w:bottom w:val="none" w:color="auto" w:sz="0" w:space="0"/>
            </w:pBdr>
            <w:jc w:val="both"/>
            <w:rPr>
              <w:sz w:val="21"/>
              <w:szCs w:val="21"/>
              <w:lang w:val="en-US" w:eastAsia="zh-CN"/>
            </w:rPr>
          </w:pPr>
          <w:r>
            <w:rPr>
              <w:rFonts w:hint="eastAsia"/>
              <w:sz w:val="21"/>
              <w:szCs w:val="21"/>
              <w:lang w:val="en-US" w:eastAsia="zh-CN"/>
            </w:rPr>
            <w:t>一般合同条款</w:t>
          </w:r>
        </w:p>
      </w:tc>
      <w:tc>
        <w:tcPr>
          <w:tcW w:w="4153"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77</w:t>
          </w:r>
          <w:r>
            <w:rPr>
              <w:sz w:val="21"/>
              <w:szCs w:val="21"/>
              <w:lang w:val="en-US" w:eastAsia="zh-CN"/>
            </w:rPr>
            <w:fldChar w:fldCharType="end"/>
          </w:r>
        </w:p>
      </w:tc>
    </w:tr>
  </w:tbl>
  <w:p>
    <w:pPr>
      <w:pStyle w:val="43"/>
      <w:pBdr>
        <w:bottom w:val="none" w:color="auto" w:sz="0" w:space="0"/>
      </w:pBdr>
    </w:pPr>
    <w:r>
      <w:rPr>
        <w:rFonts w:hint="eastAsia"/>
        <w:sz w:val="21"/>
        <w:szCs w:val="21"/>
        <w:lang w:val="en-US" w:eastAsia="zh-CN"/>
      </w:rPr>
      <mc:AlternateContent>
        <mc:Choice Requires="wps">
          <w:drawing>
            <wp:anchor distT="0" distB="0" distL="114300" distR="114300" simplePos="0" relativeHeight="251651072" behindDoc="0" locked="0" layoutInCell="0" allowOverlap="1">
              <wp:simplePos x="0" y="0"/>
              <wp:positionH relativeFrom="page">
                <wp:align>right</wp:align>
              </wp:positionH>
              <wp:positionV relativeFrom="page">
                <wp:align>top</wp:align>
              </wp:positionV>
              <wp:extent cx="7772400" cy="464185"/>
              <wp:effectExtent l="0" t="0" r="0" b="12065"/>
              <wp:wrapNone/>
              <wp:docPr id="38" name="MSIPCM89854776b540bffef7d51c07" descr="{&quot;HashCode&quot;:1605846831,&quot;Height&quot;:9999999.0,&quot;Width&quot;:9999999.0,&quot;Placement&quot;:&quot;Header&quot;,&quot;Index&quot;:&quot;Primary&quot;,&quot;Section&quot;:6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89854776b540bffef7d51c07" o:spid="_x0000_s1026" o:spt="202" alt="{&quot;HashCode&quot;:1605846831,&quot;Height&quot;:9999999.0,&quot;Width&quot;:9999999.0,&quot;Placement&quot;:&quot;Header&quot;,&quot;Index&quot;:&quot;Primary&quot;,&quot;Section&quot;:61,&quot;Top&quot;:0.0,&quot;Left&quot;:0.0}" type="#_x0000_t202" style="position:absolute;left:0pt;height:36.55pt;width:612pt;mso-position-horizontal:right;mso-position-horizontal-relative:page;mso-position-vertical:top;mso-position-vertical-relative:page;z-index:251651072;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DSf9dYAAAAFAQAADwAAAAAAAAABACAAAAAiAAAAZHJzL2Rvd25yZXYu&#10;eG1sUEsBAhQAFAAAAAgAh07iQABQov1vAgAAyAQAAA4AAAAAAAAAAQAgAAAAJQEAAGRycy9lMm9E&#10;b2MueG1sUEsFBgAAAAAGAAYAWQEAAAYGA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15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0" w:type="dxa"/>
        </w:tcPr>
        <w:p>
          <w:pPr>
            <w:pStyle w:val="43"/>
            <w:pBdr>
              <w:bottom w:val="none" w:color="auto" w:sz="0" w:space="0"/>
            </w:pBdr>
            <w:jc w:val="both"/>
            <w:rPr>
              <w:sz w:val="21"/>
              <w:szCs w:val="21"/>
              <w:lang w:val="en-US" w:eastAsia="zh-CN"/>
            </w:rPr>
          </w:pPr>
          <w:r>
            <w:rPr>
              <w:rFonts w:hint="eastAsia"/>
              <w:sz w:val="21"/>
              <w:szCs w:val="21"/>
              <w:lang w:val="en-US" w:eastAsia="zh-CN"/>
            </w:rPr>
            <w:t>特殊合同条款</w:t>
          </w:r>
        </w:p>
      </w:tc>
      <w:tc>
        <w:tcPr>
          <w:tcW w:w="4153" w:type="dxa"/>
        </w:tcPr>
        <w:p>
          <w:pPr>
            <w:pStyle w:val="43"/>
            <w:pBdr>
              <w:bottom w:val="none" w:color="auto" w:sz="0" w:space="0"/>
            </w:pBdr>
            <w:jc w:val="right"/>
            <w:rPr>
              <w:sz w:val="21"/>
              <w:szCs w:val="21"/>
              <w:lang w:val="en-US" w:eastAsia="zh-CN"/>
            </w:rPr>
          </w:pPr>
          <w:r>
            <w:rPr>
              <w:sz w:val="21"/>
              <w:szCs w:val="21"/>
              <w:lang w:val="en-US" w:eastAsia="zh-CN"/>
            </w:rPr>
            <w:fldChar w:fldCharType="begin"/>
          </w:r>
          <w:r>
            <w:rPr>
              <w:sz w:val="21"/>
              <w:szCs w:val="21"/>
              <w:lang w:val="en-US" w:eastAsia="zh-CN"/>
            </w:rPr>
            <w:instrText xml:space="preserve"> PAGE   \* MERGEFORMAT </w:instrText>
          </w:r>
          <w:r>
            <w:rPr>
              <w:sz w:val="21"/>
              <w:szCs w:val="21"/>
              <w:lang w:val="en-US" w:eastAsia="zh-CN"/>
            </w:rPr>
            <w:fldChar w:fldCharType="separate"/>
          </w:r>
          <w:r>
            <w:rPr>
              <w:sz w:val="21"/>
              <w:szCs w:val="21"/>
              <w:lang w:val="zh-CN" w:eastAsia="zh-CN"/>
            </w:rPr>
            <w:t>81</w:t>
          </w:r>
          <w:r>
            <w:rPr>
              <w:sz w:val="21"/>
              <w:szCs w:val="21"/>
              <w:lang w:val="en-US" w:eastAsia="zh-CN"/>
            </w:rPr>
            <w:fldChar w:fldCharType="end"/>
          </w:r>
        </w:p>
      </w:tc>
    </w:tr>
  </w:tbl>
  <w:p>
    <w:pPr>
      <w:pStyle w:val="43"/>
      <w:pBdr>
        <w:bottom w:val="none" w:color="auto" w:sz="0" w:space="0"/>
      </w:pBdr>
      <w:ind w:firstLine="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9"/>
      <w:gridCol w:w="415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9" w:type="dxa"/>
        </w:tcPr>
        <w:p>
          <w:pPr>
            <w:pStyle w:val="43"/>
            <w:pBdr>
              <w:bottom w:val="none" w:color="auto" w:sz="0" w:space="0"/>
            </w:pBdr>
            <w:jc w:val="left"/>
            <w:rPr>
              <w:lang w:val="en-US" w:eastAsia="zh-CN"/>
            </w:rPr>
          </w:pPr>
          <w:r>
            <w:rPr>
              <w:rFonts w:hint="eastAsia"/>
              <w:lang w:val="en-US" w:eastAsia="zh-CN"/>
            </w:rPr>
            <w:t>合同格式</w:t>
          </w:r>
        </w:p>
      </w:tc>
      <w:tc>
        <w:tcPr>
          <w:tcW w:w="4154" w:type="dxa"/>
        </w:tcPr>
        <w:p>
          <w:pPr>
            <w:pStyle w:val="43"/>
            <w:pBdr>
              <w:bottom w:val="none" w:color="auto" w:sz="0" w:space="0"/>
            </w:pBdr>
            <w:jc w:val="right"/>
            <w:rPr>
              <w:lang w:val="en-US" w:eastAsia="zh-CN"/>
            </w:rPr>
          </w:pPr>
          <w:r>
            <w:rPr>
              <w:lang w:val="en-US" w:eastAsia="zh-CN"/>
            </w:rPr>
            <w:fldChar w:fldCharType="begin"/>
          </w:r>
          <w:r>
            <w:rPr>
              <w:lang w:val="en-US" w:eastAsia="zh-CN"/>
            </w:rPr>
            <w:instrText xml:space="preserve"> PAGE   \* MERGEFORMAT </w:instrText>
          </w:r>
          <w:r>
            <w:rPr>
              <w:lang w:val="en-US" w:eastAsia="zh-CN"/>
            </w:rPr>
            <w:fldChar w:fldCharType="separate"/>
          </w:r>
          <w:r>
            <w:rPr>
              <w:lang w:val="en-US" w:eastAsia="zh-CN"/>
            </w:rPr>
            <w:t>84</w:t>
          </w:r>
          <w:r>
            <w:rPr>
              <w:lang w:val="en-US" w:eastAsia="zh-CN"/>
            </w:rPr>
            <w:fldChar w:fldCharType="end"/>
          </w:r>
        </w:p>
      </w:tc>
    </w:tr>
  </w:tbl>
  <w:p>
    <w:pPr>
      <w:pStyle w:val="43"/>
      <w:pBdr>
        <w:bottom w:val="none" w:color="auto" w:sz="0" w:space="0"/>
      </w:pBdr>
      <w:ind w:firstLine="360"/>
    </w:pPr>
    <w:r>
      <w:rPr>
        <w:rFonts w:hint="eastAsia"/>
        <w:lang w:val="zh-CN" w:eastAsia="zh-CN"/>
      </w:rPr>
      <mc:AlternateContent>
        <mc:Choice Requires="wps">
          <w:drawing>
            <wp:anchor distT="0" distB="0" distL="114300" distR="114300" simplePos="0" relativeHeight="251657216" behindDoc="0" locked="0" layoutInCell="0" allowOverlap="1">
              <wp:simplePos x="0" y="0"/>
              <wp:positionH relativeFrom="page">
                <wp:posOffset>-234950</wp:posOffset>
              </wp:positionH>
              <wp:positionV relativeFrom="page">
                <wp:align>top</wp:align>
              </wp:positionV>
              <wp:extent cx="7772400" cy="463550"/>
              <wp:effectExtent l="0" t="0" r="0" b="12700"/>
              <wp:wrapNone/>
              <wp:docPr id="21" name="MSIPCMce274d119ab3e69173a8d494" descr="{&quot;HashCode&quot;:1605846831,&quot;Height&quot;:9999999.0,&quot;Width&quot;:9999999.0,&quot;Placement&quot;:&quot;Header&quot;,&quot;Index&quot;:&quot;Primary&quot;,&quot;Section&quot;:5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jc w:val="right"/>
                            <w:rPr>
                              <w:rFonts w:ascii="Calibri" w:hAnsi="Calibri" w:cs="Calibri"/>
                              <w:color w:val="000000"/>
                              <w:sz w:val="24"/>
                            </w:rPr>
                          </w:pPr>
                          <w:r>
                            <w:rPr>
                              <w:rFonts w:ascii="Calibri" w:hAnsi="Calibri" w:cs="Calibri"/>
                              <w:color w:val="000000"/>
                              <w:sz w:val="24"/>
                            </w:rPr>
                            <w:t>*OFFICIAL USE ONLY</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 id="MSIPCMce274d119ab3e69173a8d494" o:spid="_x0000_s1026" o:spt="202" alt="{&quot;HashCode&quot;:1605846831,&quot;Height&quot;:9999999.0,&quot;Width&quot;:9999999.0,&quot;Placement&quot;:&quot;Header&quot;,&quot;Index&quot;:&quot;Primary&quot;,&quot;Section&quot;:57,&quot;Top&quot;:0.0,&quot;Left&quot;:0.0}" type="#_x0000_t202" style="position:absolute;left:0pt;margin-left:-18.5pt;height:36.5pt;width:612pt;mso-position-horizontal-relative:page;mso-position-vertical:top;mso-position-vertical-relative:page;z-index:251657216;v-text-anchor:middle;mso-width-relative:page;mso-height-relative:page;" filled="f" stroked="f" coordsize="21600,21600" o:allowincell="f" o:gfxdata="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ysJu01QAAAAgB&#10;AAAPAAAAAAAAAAEAIAAAACIAAABkcnMvZG93bnJldi54bWxQSwECFAAUAAAACACHTuJAtbT2EJAC&#10;AAAZBQAADgAAAAAAAAABACAAAAAkAQAAZHJzL2Uyb0RvYy54bWxQSwUGAAAAAAYABgBZAQAAJgYA&#10;AAAA&#10;">
              <v:fill on="f" focussize="0,0"/>
              <v:stroke on="f" weight="0.5pt"/>
              <v:imagedata o:title=""/>
              <o:lock v:ext="edit" aspectratio="f"/>
              <v:textbox inset="2.54mm,0mm,20pt,0mm">
                <w:txbxContent>
                  <w:p>
                    <w:pPr>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7"/>
      <w:gridCol w:w="416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7" w:type="dxa"/>
        </w:tcPr>
        <w:p>
          <w:pPr>
            <w:pStyle w:val="43"/>
            <w:pBdr>
              <w:bottom w:val="none" w:color="auto" w:sz="0" w:space="0"/>
            </w:pBdr>
            <w:jc w:val="left"/>
            <w:rPr>
              <w:lang w:val="en-US" w:eastAsia="zh-CN"/>
            </w:rPr>
          </w:pPr>
          <w:r>
            <w:rPr>
              <w:rFonts w:hint="eastAsia"/>
              <w:lang w:val="en-US" w:eastAsia="zh-CN"/>
            </w:rPr>
            <w:t>合同格式</w:t>
          </w:r>
        </w:p>
      </w:tc>
      <w:tc>
        <w:tcPr>
          <w:tcW w:w="4166" w:type="dxa"/>
        </w:tcPr>
        <w:p>
          <w:pPr>
            <w:pStyle w:val="43"/>
            <w:pBdr>
              <w:bottom w:val="none" w:color="auto" w:sz="0" w:space="0"/>
            </w:pBdr>
            <w:ind w:firstLine="360"/>
            <w:jc w:val="right"/>
            <w:rPr>
              <w:lang w:val="en-US" w:eastAsia="zh-CN"/>
            </w:rPr>
          </w:pPr>
          <w:r>
            <w:rPr>
              <w:lang w:val="en-US" w:eastAsia="zh-CN"/>
            </w:rPr>
            <w:fldChar w:fldCharType="begin"/>
          </w:r>
          <w:r>
            <w:rPr>
              <w:lang w:val="en-US" w:eastAsia="zh-CN"/>
            </w:rPr>
            <w:instrText xml:space="preserve"> PAGE   \* MERGEFORMAT </w:instrText>
          </w:r>
          <w:r>
            <w:rPr>
              <w:lang w:val="en-US" w:eastAsia="zh-CN"/>
            </w:rPr>
            <w:fldChar w:fldCharType="separate"/>
          </w:r>
          <w:r>
            <w:rPr>
              <w:lang w:val="en-US" w:eastAsia="zh-CN"/>
            </w:rPr>
            <w:t>92</w:t>
          </w:r>
          <w:r>
            <w:rPr>
              <w:lang w:val="en-US" w:eastAsia="zh-CN"/>
            </w:rPr>
            <w:fldChar w:fldCharType="end"/>
          </w:r>
        </w:p>
      </w:tc>
    </w:tr>
  </w:tbl>
  <w:p>
    <w:pPr>
      <w:pStyle w:val="43"/>
      <w:pBdr>
        <w:bottom w:val="none" w:color="auto" w:sz="0" w:space="0"/>
      </w:pBdr>
      <w:ind w:firstLine="360"/>
    </w:pPr>
    <w:r>
      <w:rPr>
        <w:rFonts w:hint="eastAsia"/>
        <w:lang w:val="en-US" w:eastAsia="zh-CN"/>
      </w:rPr>
      <mc:AlternateContent>
        <mc:Choice Requires="wps">
          <w:drawing>
            <wp:anchor distT="0" distB="0" distL="114300" distR="114300" simplePos="0" relativeHeight="251653120" behindDoc="0" locked="0" layoutInCell="0" allowOverlap="1">
              <wp:simplePos x="0" y="0"/>
              <wp:positionH relativeFrom="page">
                <wp:posOffset>-205740</wp:posOffset>
              </wp:positionH>
              <wp:positionV relativeFrom="page">
                <wp:posOffset>78105</wp:posOffset>
              </wp:positionV>
              <wp:extent cx="7772400" cy="464185"/>
              <wp:effectExtent l="0" t="1905" r="0" b="635"/>
              <wp:wrapNone/>
              <wp:docPr id="1" name="MSIPCM90af4f1385d8acd77127eea9" descr="{&quot;HashCode&quot;:1605846831,&quot;Height&quot;:9999999.0,&quot;Width&quot;:9999999.0,&quot;Placement&quot;:&quot;Header&quot;,&quot;Index&quot;:&quot;Primary&quot;,&quot;Section&quot;:65,&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90af4f1385d8acd77127eea9" o:spid="_x0000_s1026" o:spt="202" alt="{&quot;HashCode&quot;:1605846831,&quot;Height&quot;:9999999.0,&quot;Width&quot;:9999999.0,&quot;Placement&quot;:&quot;Header&quot;,&quot;Index&quot;:&quot;Primary&quot;,&quot;Section&quot;:65,&quot;Top&quot;:0.0,&quot;Left&quot;:0.0}" type="#_x0000_t202" style="position:absolute;left:0pt;margin-left:-16.2pt;margin-top:6.15pt;height:36.55pt;width:612pt;mso-position-horizontal-relative:page;mso-position-vertical-relative:page;z-index:251653120;v-text-anchor:middle;mso-width-relative:page;mso-height-relative:page;" filled="f" stroked="f" coordsize="21600,21600" o:allowincell="f" o:gfxdata="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HB3WzaAAAACgEAAA8AAAAAAAAAAQAgAAAAIgAAAGRycy9kb3ducmV2&#10;LnhtbFBLAQIUABQAAAAIAIdO4kASskTlbAIAAMcEAAAOAAAAAAAAAAEAIAAAACkBAABkcnMvZTJv&#10;RG9jLnhtbFBLBQYAAAAABgAGAFkBAAAHBgAAAAA=&#10;">
              <v:fill on="f" focussize="0,0"/>
              <v:stroke on="f"/>
              <v:imagedata o:title=""/>
              <o:lock v:ext="edit" aspectratio="f"/>
              <v:textbox inset="2.54mm,0mm,20pt,0mm">
                <w:txbxContent>
                  <w:p>
                    <w:pPr>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7"/>
      <w:gridCol w:w="415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7"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投标邀请函</w:t>
          </w:r>
        </w:p>
      </w:tc>
      <w:tc>
        <w:tcPr>
          <w:tcW w:w="4156"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15</w:t>
          </w:r>
          <w:r>
            <w:rPr>
              <w:szCs w:val="18"/>
              <w:lang w:val="en-US" w:eastAsia="zh-CN"/>
            </w:rPr>
            <w:fldChar w:fldCharType="end"/>
          </w:r>
        </w:p>
      </w:tc>
    </w:tr>
  </w:tbl>
  <w:p>
    <w:pPr>
      <w:pStyle w:val="43"/>
      <w:pBdr>
        <w:bottom w:val="none" w:color="auto" w:sz="0" w:space="0"/>
      </w:pBdr>
      <w:jc w:val="both"/>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7"/>
      <w:gridCol w:w="415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7"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目录</w:t>
          </w:r>
        </w:p>
      </w:tc>
      <w:tc>
        <w:tcPr>
          <w:tcW w:w="4156"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15</w:t>
          </w:r>
          <w:r>
            <w:rPr>
              <w:szCs w:val="18"/>
              <w:lang w:val="en-US" w:eastAsia="zh-CN"/>
            </w:rPr>
            <w:fldChar w:fldCharType="end"/>
          </w:r>
        </w:p>
      </w:tc>
    </w:tr>
  </w:tbl>
  <w:p>
    <w:pPr>
      <w:pStyle w:val="43"/>
      <w:pBdr>
        <w:bottom w:val="none" w:color="auto" w:sz="0" w:space="0"/>
      </w:pBdr>
      <w:jc w:val="both"/>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5"/>
      <w:gridCol w:w="4158"/>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5"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p>
      </w:tc>
      <w:tc>
        <w:tcPr>
          <w:tcW w:w="4158"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15</w:t>
          </w:r>
          <w:r>
            <w:rPr>
              <w:szCs w:val="18"/>
              <w:lang w:val="en-US" w:eastAsia="zh-CN"/>
            </w:rPr>
            <w:fldChar w:fldCharType="end"/>
          </w:r>
        </w:p>
      </w:tc>
    </w:tr>
  </w:tbl>
  <w:p>
    <w:pPr>
      <w:pStyle w:val="43"/>
      <w:pBdr>
        <w:bottom w:val="none" w:color="auto" w:sz="0" w:space="0"/>
      </w:pBdr>
      <w:jc w:val="both"/>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7"/>
      <w:gridCol w:w="415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7"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投标人须知</w:t>
          </w:r>
        </w:p>
      </w:tc>
      <w:tc>
        <w:tcPr>
          <w:tcW w:w="4156"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20</w:t>
          </w:r>
          <w:r>
            <w:rPr>
              <w:szCs w:val="18"/>
              <w:lang w:val="en-US" w:eastAsia="zh-CN"/>
            </w:rPr>
            <w:fldChar w:fldCharType="end"/>
          </w:r>
        </w:p>
      </w:tc>
    </w:tr>
  </w:tbl>
  <w:p>
    <w:pPr>
      <w:pStyle w:val="43"/>
      <w:pBdr>
        <w:bottom w:val="none" w:color="auto" w:sz="0" w:space="0"/>
      </w:pBdr>
      <w:ind w:firstLine="360"/>
      <w:jc w:val="both"/>
      <w:rPr>
        <w:sz w:val="21"/>
      </w:rPr>
    </w:pPr>
    <w:r>
      <w:rPr>
        <w:rFonts w:hint="eastAsia"/>
        <w:szCs w:val="18"/>
        <w:lang w:val="zh-CN" w:eastAsia="zh-CN"/>
      </w:rPr>
      <mc:AlternateContent>
        <mc:Choice Requires="wps">
          <w:drawing>
            <wp:anchor distT="0" distB="0" distL="114300" distR="114300" simplePos="0" relativeHeight="251652096" behindDoc="0" locked="0" layoutInCell="0" allowOverlap="1">
              <wp:simplePos x="0" y="0"/>
              <wp:positionH relativeFrom="page">
                <wp:align>right</wp:align>
              </wp:positionH>
              <wp:positionV relativeFrom="page">
                <wp:align>top</wp:align>
              </wp:positionV>
              <wp:extent cx="7772400" cy="463550"/>
              <wp:effectExtent l="0" t="0" r="0" b="12700"/>
              <wp:wrapNone/>
              <wp:docPr id="14" name="MSIPCM25fe4768b924ca98713c6ff1" descr="{&quot;HashCode&quot;:1605846831,&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jc w:val="right"/>
                            <w:rPr>
                              <w:rFonts w:ascii="Calibri" w:hAnsi="Calibri" w:cs="Calibri"/>
                              <w:color w:val="000000"/>
                              <w:sz w:val="24"/>
                            </w:rPr>
                          </w:pPr>
                          <w:r>
                            <w:rPr>
                              <w:rFonts w:ascii="Calibri" w:hAnsi="Calibri" w:cs="Calibri"/>
                              <w:color w:val="000000"/>
                              <w:sz w:val="24"/>
                            </w:rPr>
                            <w:t>*OFFICIAL USE ONLY</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 id="MSIPCM25fe4768b924ca98713c6ff1" o:spid="_x0000_s1026" o:spt="202" alt="{&quot;HashCode&quot;:1605846831,&quot;Height&quot;:9999999.0,&quot;Width&quot;:9999999.0,&quot;Placement&quot;:&quot;Header&quot;,&quot;Index&quot;:&quot;Primary&quot;,&quot;Section&quot;:5,&quot;Top&quot;:0.0,&quot;Left&quot;:0.0}" type="#_x0000_t202" style="position:absolute;left:0pt;height:36.5pt;width:612pt;mso-position-horizontal:right;mso-position-horizontal-relative:page;mso-position-vertical:top;mso-position-vertical-relative:page;z-index:251652096;v-text-anchor:middle;mso-width-relative:page;mso-height-relative:page;" filled="f" stroked="f" coordsize="21600,21600" o:allowincell="f" o:gfxdata="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NXbL20wAAAAUBAAAP&#10;AAAAAAAAAAEAIAAAACIAAABkcnMvZG93bnJldi54bWxQSwECFAAUAAAACACHTuJAd8zJ2o8CAAAY&#10;BQAADgAAAAAAAAABACAAAAAiAQAAZHJzL2Uyb0RvYy54bWxQSwUGAAAAAAYABgBZAQAAIwYAAAAA&#10;">
              <v:fill on="f" focussize="0,0"/>
              <v:stroke on="f" weight="0.5pt"/>
              <v:imagedata o:title=""/>
              <o:lock v:ext="edit" aspectratio="f"/>
              <v:textbox inset="2.54mm,0mm,20pt,0mm">
                <w:txbxContent>
                  <w:p>
                    <w:pPr>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7"/>
      <w:gridCol w:w="415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7"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评标和资格标准</w:t>
          </w:r>
        </w:p>
      </w:tc>
      <w:tc>
        <w:tcPr>
          <w:tcW w:w="4156"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21</w:t>
          </w:r>
          <w:r>
            <w:rPr>
              <w:szCs w:val="18"/>
              <w:lang w:val="en-US" w:eastAsia="zh-CN"/>
            </w:rPr>
            <w:fldChar w:fldCharType="end"/>
          </w:r>
        </w:p>
      </w:tc>
    </w:tr>
  </w:tbl>
  <w:p>
    <w:pPr>
      <w:pStyle w:val="43"/>
      <w:pBdr>
        <w:bottom w:val="none" w:color="auto" w:sz="0" w:space="0"/>
      </w:pBdr>
      <w:ind w:firstLine="360"/>
      <w:jc w:val="both"/>
      <w:rPr>
        <w:sz w:val="21"/>
      </w:rPr>
    </w:pPr>
    <w:r>
      <w:rPr>
        <w:rFonts w:hint="eastAsia"/>
        <w:szCs w:val="18"/>
        <w:lang w:val="en-US" w:eastAsia="zh-CN"/>
      </w:rPr>
      <mc:AlternateContent>
        <mc:Choice Requires="wps">
          <w:drawing>
            <wp:anchor distT="0" distB="0" distL="114300" distR="114300" simplePos="0" relativeHeight="251656192" behindDoc="0" locked="0" layoutInCell="0" allowOverlap="1">
              <wp:simplePos x="0" y="0"/>
              <wp:positionH relativeFrom="page">
                <wp:align>right</wp:align>
              </wp:positionH>
              <wp:positionV relativeFrom="page">
                <wp:align>top</wp:align>
              </wp:positionV>
              <wp:extent cx="7772400" cy="464185"/>
              <wp:effectExtent l="0" t="0" r="0" b="12065"/>
              <wp:wrapNone/>
              <wp:docPr id="30" name="MSIPCM7dd74737827f589021c0c61f" descr="{&quot;HashCode&quot;:1605846831,&quot;Height&quot;:9999999.0,&quot;Width&quot;:9999999.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7dd74737827f589021c0c61f" o:spid="_x0000_s1026" o:spt="202" alt="{&quot;HashCode&quot;:1605846831,&quot;Height&quot;:9999999.0,&quot;Width&quot;:9999999.0,&quot;Placement&quot;:&quot;Header&quot;,&quot;Index&quot;:&quot;Primary&quot;,&quot;Section&quot;:12,&quot;Top&quot;:0.0,&quot;Left&quot;:0.0}" type="#_x0000_t202" style="position:absolute;left:0pt;height:36.55pt;width:612pt;mso-position-horizontal:right;mso-position-horizontal-relative:page;mso-position-vertical:top;mso-position-vertical-relative:page;z-index:251656192;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NJ/11gAAAAUBAAAPAAAAAAAAAAEAIAAAACIAAABkcnMvZG93bnJldi54&#10;bWxQSwECFAAUAAAACACHTuJAI/AfI24CAADIBAAADgAAAAAAAAABACAAAAAlAQAAZHJzL2Uyb0Rv&#10;Yy54bWxQSwUGAAAAAAYABgBZAQAABQY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2"/>
      <w:tblW w:w="831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6"/>
      <w:gridCol w:w="415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6" w:type="dxa"/>
        </w:tcPr>
        <w:p>
          <w:pPr>
            <w:pStyle w:val="43"/>
            <w:pBdr>
              <w:bottom w:val="none" w:color="auto" w:sz="0" w:space="0"/>
            </w:pBdr>
            <w:tabs>
              <w:tab w:val="center" w:pos="4153"/>
              <w:tab w:val="left" w:pos="6860"/>
              <w:tab w:val="right" w:pos="8306"/>
              <w:tab w:val="clear" w:pos="4320"/>
              <w:tab w:val="clear" w:pos="8640"/>
            </w:tabs>
            <w:snapToGrid w:val="0"/>
            <w:jc w:val="left"/>
            <w:rPr>
              <w:szCs w:val="18"/>
              <w:lang w:val="en-US" w:eastAsia="zh-CN"/>
            </w:rPr>
          </w:pPr>
          <w:r>
            <w:rPr>
              <w:rFonts w:hint="eastAsia"/>
              <w:szCs w:val="18"/>
              <w:lang w:val="en-US" w:eastAsia="zh-CN"/>
            </w:rPr>
            <w:t>评标和资格标准</w:t>
          </w:r>
        </w:p>
      </w:tc>
      <w:tc>
        <w:tcPr>
          <w:tcW w:w="4157" w:type="dxa"/>
        </w:tcPr>
        <w:p>
          <w:pPr>
            <w:pStyle w:val="43"/>
            <w:pBdr>
              <w:bottom w:val="none" w:color="auto" w:sz="0" w:space="0"/>
            </w:pBdr>
            <w:tabs>
              <w:tab w:val="center" w:pos="4153"/>
              <w:tab w:val="left" w:pos="6860"/>
              <w:tab w:val="right" w:pos="8306"/>
              <w:tab w:val="clear" w:pos="4320"/>
              <w:tab w:val="clear" w:pos="8640"/>
            </w:tabs>
            <w:snapToGrid w:val="0"/>
            <w:jc w:val="right"/>
            <w:rPr>
              <w:szCs w:val="18"/>
              <w:lang w:val="en-US" w:eastAsia="zh-CN"/>
            </w:rPr>
          </w:pPr>
          <w:r>
            <w:rPr>
              <w:szCs w:val="18"/>
              <w:lang w:val="en-US" w:eastAsia="zh-CN"/>
            </w:rPr>
            <w:fldChar w:fldCharType="begin"/>
          </w:r>
          <w:r>
            <w:rPr>
              <w:szCs w:val="18"/>
              <w:lang w:val="en-US" w:eastAsia="zh-CN"/>
            </w:rPr>
            <w:instrText xml:space="preserve"> PAGE   \* MERGEFORMAT </w:instrText>
          </w:r>
          <w:r>
            <w:rPr>
              <w:szCs w:val="18"/>
              <w:lang w:val="en-US" w:eastAsia="zh-CN"/>
            </w:rPr>
            <w:fldChar w:fldCharType="separate"/>
          </w:r>
          <w:r>
            <w:rPr>
              <w:szCs w:val="18"/>
              <w:lang w:val="zh-CN" w:eastAsia="zh-CN"/>
            </w:rPr>
            <w:t>28</w:t>
          </w:r>
          <w:r>
            <w:rPr>
              <w:szCs w:val="18"/>
              <w:lang w:val="en-US" w:eastAsia="zh-CN"/>
            </w:rPr>
            <w:fldChar w:fldCharType="end"/>
          </w:r>
        </w:p>
      </w:tc>
    </w:tr>
  </w:tbl>
  <w:p>
    <w:pPr>
      <w:pStyle w:val="43"/>
      <w:pBdr>
        <w:bottom w:val="none" w:color="auto" w:sz="0" w:space="0"/>
      </w:pBdr>
      <w:ind w:firstLine="360"/>
      <w:jc w:val="both"/>
      <w:rPr>
        <w:sz w:val="21"/>
      </w:rPr>
    </w:pPr>
    <w:r>
      <w:rPr>
        <w:rFonts w:hint="eastAsia"/>
        <w:szCs w:val="18"/>
        <w:lang w:val="en-US" w:eastAsia="zh-CN"/>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page">
                <wp:align>top</wp:align>
              </wp:positionV>
              <wp:extent cx="7772400" cy="464185"/>
              <wp:effectExtent l="0" t="0" r="0" b="12065"/>
              <wp:wrapNone/>
              <wp:docPr id="31" name="MSIPCM7f5d48d0beec5ebe41128fb8" descr="{&quot;HashCode&quot;:1605846831,&quot;Height&quot;:9999999.0,&quot;Width&quot;:9999999.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wps:spPr>
                    <wps:txbx>
                      <w:txbxContent>
                        <w:p>
                          <w:pPr>
                            <w:ind w:firstLine="480"/>
                            <w:jc w:val="right"/>
                            <w:rPr>
                              <w:rFonts w:ascii="Calibri" w:hAnsi="Calibri" w:cs="Calibri"/>
                              <w:color w:val="000000"/>
                              <w:sz w:val="24"/>
                            </w:rPr>
                          </w:pPr>
                          <w:r>
                            <w:rPr>
                              <w:rFonts w:ascii="Calibri" w:hAnsi="Calibri" w:cs="Calibri"/>
                              <w:color w:val="000000"/>
                              <w:sz w:val="24"/>
                            </w:rPr>
                            <w:t>*OFFICIAL USE ONLY</w:t>
                          </w:r>
                        </w:p>
                      </w:txbxContent>
                    </wps:txbx>
                    <wps:bodyPr rot="0" vert="horz" wrap="square" lIns="91440" tIns="0" rIns="254000" bIns="0" anchor="ctr" anchorCtr="0" upright="1">
                      <a:noAutofit/>
                    </wps:bodyPr>
                  </wps:wsp>
                </a:graphicData>
              </a:graphic>
            </wp:anchor>
          </w:drawing>
        </mc:Choice>
        <mc:Fallback>
          <w:pict>
            <v:shape id="MSIPCM7f5d48d0beec5ebe41128fb8" o:spid="_x0000_s1026" o:spt="202" alt="{&quot;HashCode&quot;:1605846831,&quot;Height&quot;:9999999.0,&quot;Width&quot;:9999999.0,&quot;Placement&quot;:&quot;Header&quot;,&quot;Index&quot;:&quot;Primary&quot;,&quot;Section&quot;:13,&quot;Top&quot;:0.0,&quot;Left&quot;:0.0}" type="#_x0000_t202" style="position:absolute;left:0pt;height:36.55pt;width:612pt;mso-position-horizontal:right;mso-position-horizontal-relative:page;mso-position-vertical:top;mso-position-vertical-relative:page;z-index:251659264;v-text-anchor:middle;mso-width-relative:page;mso-height-relative:page;" filled="f" stroked="f" coordsize="21600,21600" o:allowincell="f" o:gfxdata="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NJ/11gAAAAUBAAAPAAAAAAAAAAEAIAAAACIAAABkcnMvZG93bnJldi54&#10;bWxQSwECFAAUAAAACACHTuJAtMtFv24CAADIBAAADgAAAAAAAAABACAAAAAlAQAAZHJzL2Uyb0Rv&#10;Yy54bWxQSwUGAAAAAAYABgBZAQAABQYAAAAA&#10;">
              <v:fill on="f" focussize="0,0"/>
              <v:stroke on="f"/>
              <v:imagedata o:title=""/>
              <o:lock v:ext="edit" aspectratio="f"/>
              <v:textbox inset="2.54mm,0mm,20pt,0mm">
                <w:txbxContent>
                  <w:p>
                    <w:pPr>
                      <w:ind w:firstLine="480"/>
                      <w:jc w:val="right"/>
                      <w:rPr>
                        <w:rFonts w:ascii="Calibri" w:hAnsi="Calibri" w:cs="Calibri"/>
                        <w:color w:val="000000"/>
                        <w:sz w:val="24"/>
                      </w:rPr>
                    </w:pPr>
                    <w:r>
                      <w:rPr>
                        <w:rFonts w:ascii="Calibri" w:hAnsi="Calibri" w:cs="Calibri"/>
                        <w:color w:val="000000"/>
                        <w:sz w:val="24"/>
                      </w:rPr>
                      <w:t>*OFFICIAL USE ONLY</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57"/>
      </w:tabs>
    </w:pPr>
    <w:r>
      <w:rPr>
        <w:rStyle w:val="67"/>
        <w:rFonts w:cs="Arial"/>
        <w:sz w:val="16"/>
      </w:rPr>
      <w:t>4-</w:t>
    </w:r>
    <w:r>
      <w:rPr>
        <w:rStyle w:val="67"/>
        <w:rFonts w:cs="Arial"/>
        <w:sz w:val="16"/>
      </w:rPr>
      <w:fldChar w:fldCharType="begin"/>
    </w:r>
    <w:r>
      <w:rPr>
        <w:rStyle w:val="67"/>
        <w:rFonts w:cs="Arial"/>
        <w:sz w:val="16"/>
      </w:rPr>
      <w:instrText xml:space="preserve"> PAGE </w:instrText>
    </w:r>
    <w:r>
      <w:rPr>
        <w:rStyle w:val="67"/>
        <w:rFonts w:cs="Arial"/>
        <w:sz w:val="16"/>
      </w:rPr>
      <w:fldChar w:fldCharType="separate"/>
    </w:r>
    <w:r>
      <w:rPr>
        <w:rStyle w:val="67"/>
        <w:rFonts w:cs="Arial"/>
        <w:sz w:val="16"/>
      </w:rPr>
      <w:t>8</w:t>
    </w:r>
    <w:r>
      <w:rPr>
        <w:rStyle w:val="67"/>
        <w:rFonts w:cs="Arial"/>
        <w:sz w:val="16"/>
      </w:rPr>
      <w:fldChar w:fldCharType="end"/>
    </w:r>
    <w:r>
      <w:rPr>
        <w:rStyle w:val="67"/>
        <w:rFonts w:cs="Arial"/>
        <w:sz w:val="16"/>
      </w:rPr>
      <w:tab/>
    </w:r>
    <w:r>
      <w:rPr>
        <w:rStyle w:val="67"/>
        <w:rFonts w:cs="Arial"/>
        <w:sz w:val="16"/>
      </w:rPr>
      <w:t>Section 4 - Bidding 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000"/>
      </w:tabs>
      <w:ind w:right="-18"/>
    </w:pPr>
    <w:r>
      <w:rPr>
        <w:rStyle w:val="67"/>
      </w:rPr>
      <w:t>1-</w:t>
    </w:r>
    <w:r>
      <w:rPr>
        <w:rStyle w:val="67"/>
      </w:rPr>
      <w:fldChar w:fldCharType="begin"/>
    </w:r>
    <w:r>
      <w:rPr>
        <w:rStyle w:val="67"/>
      </w:rPr>
      <w:instrText xml:space="preserve"> PAGE </w:instrText>
    </w:r>
    <w:r>
      <w:rPr>
        <w:rStyle w:val="67"/>
      </w:rPr>
      <w:fldChar w:fldCharType="separate"/>
    </w:r>
    <w:r>
      <w:rPr>
        <w:rStyle w:val="67"/>
      </w:rPr>
      <w:t>2</w:t>
    </w:r>
    <w:r>
      <w:rPr>
        <w:rStyle w:val="67"/>
      </w:rPr>
      <w:fldChar w:fldCharType="end"/>
    </w:r>
    <w:r>
      <w:rPr>
        <w:rStyle w:val="67"/>
      </w:rPr>
      <w:tab/>
    </w:r>
    <w:r>
      <w:t>Section IV. Bidding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129"/>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28"/>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1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35"/>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15"/>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4A3236D"/>
    <w:multiLevelType w:val="multilevel"/>
    <w:tmpl w:val="04A3236D"/>
    <w:lvl w:ilvl="0" w:tentative="0">
      <w:start w:val="1"/>
      <w:numFmt w:val="upperLetter"/>
      <w:pStyle w:val="188"/>
      <w:lvlText w:val="%1."/>
      <w:lvlJc w:val="center"/>
      <w:pPr>
        <w:tabs>
          <w:tab w:val="left" w:pos="648"/>
        </w:tabs>
        <w:ind w:left="360" w:hanging="72"/>
      </w:pPr>
      <w:rPr>
        <w:rFonts w:hint="default"/>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BD766DA"/>
    <w:multiLevelType w:val="multilevel"/>
    <w:tmpl w:val="0BD766DA"/>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2">
    <w:nsid w:val="0BDD503E"/>
    <w:multiLevelType w:val="multilevel"/>
    <w:tmpl w:val="0BDD503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E0609C"/>
    <w:multiLevelType w:val="multilevel"/>
    <w:tmpl w:val="24E0609C"/>
    <w:lvl w:ilvl="0" w:tentative="0">
      <w:start w:val="1"/>
      <w:numFmt w:val="decimal"/>
      <w:lvlText w:val="（%1）"/>
      <w:lvlJc w:val="left"/>
      <w:pPr>
        <w:ind w:left="1140" w:hanging="72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4">
    <w:nsid w:val="2FFE4EBF"/>
    <w:multiLevelType w:val="multilevel"/>
    <w:tmpl w:val="2FFE4EBF"/>
    <w:lvl w:ilvl="0" w:tentative="0">
      <w:start w:val="1"/>
      <w:numFmt w:val="decimal"/>
      <w:lvlText w:val="%1."/>
      <w:lvlJc w:val="left"/>
      <w:pPr>
        <w:ind w:left="1140" w:hanging="360"/>
      </w:pPr>
      <w:rPr>
        <w:rFonts w:hint="default"/>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5">
    <w:nsid w:val="39094A02"/>
    <w:multiLevelType w:val="multilevel"/>
    <w:tmpl w:val="39094A02"/>
    <w:lvl w:ilvl="0" w:tentative="0">
      <w:start w:val="1"/>
      <w:numFmt w:val="lowerRoman"/>
      <w:lvlText w:val="（%1）"/>
      <w:lvlJc w:val="right"/>
      <w:pPr>
        <w:ind w:left="1560" w:hanging="360"/>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16">
    <w:nsid w:val="3F0C7969"/>
    <w:multiLevelType w:val="multilevel"/>
    <w:tmpl w:val="3F0C7969"/>
    <w:lvl w:ilvl="0" w:tentative="0">
      <w:start w:val="1"/>
      <w:numFmt w:val="lowerLetter"/>
      <w:pStyle w:val="23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1DD70BF"/>
    <w:multiLevelType w:val="multilevel"/>
    <w:tmpl w:val="41DD70BF"/>
    <w:lvl w:ilvl="0" w:tentative="0">
      <w:start w:val="1"/>
      <w:numFmt w:val="lowerLetter"/>
      <w:lvlText w:val="%1)"/>
      <w:lvlJc w:val="left"/>
      <w:pPr>
        <w:tabs>
          <w:tab w:val="left" w:pos="1440"/>
        </w:tabs>
        <w:ind w:left="1440" w:hanging="720"/>
      </w:pPr>
      <w:rPr>
        <w:rFonts w:hint="default"/>
      </w:rPr>
    </w:lvl>
    <w:lvl w:ilvl="1" w:tentative="0">
      <w:start w:val="1"/>
      <w:numFmt w:val="upperLetter"/>
      <w:lvlText w:val="%2."/>
      <w:lvlJc w:val="left"/>
      <w:pPr>
        <w:tabs>
          <w:tab w:val="left" w:pos="1152"/>
        </w:tabs>
        <w:ind w:left="1152" w:hanging="576"/>
      </w:pPr>
    </w:lvl>
    <w:lvl w:ilvl="2" w:tentative="0">
      <w:start w:val="1"/>
      <w:numFmt w:val="decimal"/>
      <w:pStyle w:val="113"/>
      <w:lvlText w:val="%3."/>
      <w:lvlJc w:val="left"/>
      <w:pPr>
        <w:tabs>
          <w:tab w:val="left" w:pos="1728"/>
        </w:tabs>
        <w:ind w:left="1728" w:hanging="432"/>
      </w:pPr>
    </w:lvl>
    <w:lvl w:ilvl="3" w:tentative="0">
      <w:start w:val="1"/>
      <w:numFmt w:val="lowerLetter"/>
      <w:pStyle w:val="114"/>
      <w:lvlText w:val="%4)"/>
      <w:lvlJc w:val="left"/>
      <w:pPr>
        <w:tabs>
          <w:tab w:val="left" w:pos="2304"/>
        </w:tabs>
        <w:ind w:left="2304" w:hanging="576"/>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8">
    <w:nsid w:val="4F0F3894"/>
    <w:multiLevelType w:val="multilevel"/>
    <w:tmpl w:val="4F0F3894"/>
    <w:lvl w:ilvl="0" w:tentative="0">
      <w:start w:val="1"/>
      <w:numFmt w:val="upperLetter"/>
      <w:lvlText w:val="%1."/>
      <w:lvlJc w:val="left"/>
      <w:pPr>
        <w:tabs>
          <w:tab w:val="left" w:pos="504"/>
        </w:tabs>
        <w:ind w:left="504" w:hanging="504"/>
      </w:pPr>
      <w:rPr>
        <w:rFonts w:hint="default"/>
      </w:rPr>
    </w:lvl>
    <w:lvl w:ilvl="1" w:tentative="0">
      <w:start w:val="16"/>
      <w:numFmt w:val="decimal"/>
      <w:pStyle w:val="112"/>
      <w:lvlText w:val="%2."/>
      <w:lvlJc w:val="left"/>
      <w:pPr>
        <w:tabs>
          <w:tab w:val="left" w:pos="504"/>
        </w:tabs>
        <w:ind w:left="504" w:hanging="504"/>
      </w:pPr>
    </w:lvl>
    <w:lvl w:ilvl="2" w:tentative="0">
      <w:start w:val="1"/>
      <w:numFmt w:val="decimal"/>
      <w:lvlText w:val="%3."/>
      <w:lvlJc w:val="left"/>
      <w:pPr>
        <w:tabs>
          <w:tab w:val="left" w:pos="0"/>
        </w:tabs>
        <w:ind w:left="2160" w:hanging="720"/>
      </w:pPr>
    </w:lvl>
    <w:lvl w:ilvl="3" w:tentative="0">
      <w:start w:val="1"/>
      <w:numFmt w:val="decimal"/>
      <w:lvlText w:val="%4."/>
      <w:lvlJc w:val="left"/>
      <w:pPr>
        <w:tabs>
          <w:tab w:val="left" w:pos="0"/>
        </w:tabs>
        <w:ind w:left="2880" w:hanging="720"/>
      </w:pPr>
    </w:lvl>
    <w:lvl w:ilvl="4" w:tentative="0">
      <w:start w:val="1"/>
      <w:numFmt w:val="decimal"/>
      <w:lvlText w:val="%5."/>
      <w:lvlJc w:val="left"/>
      <w:pPr>
        <w:tabs>
          <w:tab w:val="left" w:pos="0"/>
        </w:tabs>
        <w:ind w:left="3600" w:hanging="720"/>
      </w:pPr>
    </w:lvl>
    <w:lvl w:ilvl="5" w:tentative="0">
      <w:start w:val="1"/>
      <w:numFmt w:val="decimal"/>
      <w:lvlText w:val="%6."/>
      <w:lvlJc w:val="left"/>
      <w:pPr>
        <w:tabs>
          <w:tab w:val="left" w:pos="0"/>
        </w:tabs>
        <w:ind w:left="4320" w:hanging="720"/>
      </w:pPr>
    </w:lvl>
    <w:lvl w:ilvl="6" w:tentative="0">
      <w:start w:val="1"/>
      <w:numFmt w:val="decimal"/>
      <w:lvlText w:val="%7."/>
      <w:lvlJc w:val="left"/>
      <w:pPr>
        <w:tabs>
          <w:tab w:val="left" w:pos="0"/>
        </w:tabs>
        <w:ind w:left="5040" w:hanging="720"/>
      </w:pPr>
    </w:lvl>
    <w:lvl w:ilvl="7" w:tentative="0">
      <w:start w:val="1"/>
      <w:numFmt w:val="decimal"/>
      <w:lvlText w:val="%8."/>
      <w:lvlJc w:val="left"/>
      <w:pPr>
        <w:tabs>
          <w:tab w:val="left" w:pos="0"/>
        </w:tabs>
        <w:ind w:left="5760" w:hanging="720"/>
      </w:pPr>
    </w:lvl>
    <w:lvl w:ilvl="8" w:tentative="0">
      <w:start w:val="1"/>
      <w:numFmt w:val="lowerRoman"/>
      <w:lvlText w:val="%9"/>
      <w:lvlJc w:val="left"/>
      <w:pPr>
        <w:tabs>
          <w:tab w:val="left" w:pos="0"/>
        </w:tabs>
        <w:ind w:left="6480" w:hanging="720"/>
      </w:pPr>
    </w:lvl>
  </w:abstractNum>
  <w:abstractNum w:abstractNumId="19">
    <w:nsid w:val="642770E2"/>
    <w:multiLevelType w:val="multilevel"/>
    <w:tmpl w:val="642770E2"/>
    <w:lvl w:ilvl="0" w:tentative="0">
      <w:start w:val="1"/>
      <w:numFmt w:val="decimal"/>
      <w:lvlText w:val="%1."/>
      <w:lvlJc w:val="left"/>
      <w:pPr>
        <w:ind w:left="1797" w:hanging="360"/>
      </w:pPr>
      <w:rPr>
        <w:rFonts w:hint="default"/>
        <w:sz w:val="20"/>
      </w:rPr>
    </w:lvl>
    <w:lvl w:ilvl="1" w:tentative="0">
      <w:start w:val="1"/>
      <w:numFmt w:val="bullet"/>
      <w:lvlText w:val="o"/>
      <w:lvlJc w:val="left"/>
      <w:pPr>
        <w:ind w:left="2517" w:hanging="360"/>
      </w:pPr>
      <w:rPr>
        <w:rFonts w:hint="default" w:ascii="Courier New" w:hAnsi="Courier New" w:cs="Courier New"/>
      </w:rPr>
    </w:lvl>
    <w:lvl w:ilvl="2" w:tentative="0">
      <w:start w:val="1"/>
      <w:numFmt w:val="bullet"/>
      <w:lvlText w:val=""/>
      <w:lvlJc w:val="left"/>
      <w:pPr>
        <w:ind w:left="3237" w:hanging="360"/>
      </w:pPr>
      <w:rPr>
        <w:rFonts w:hint="default" w:ascii="Wingdings" w:hAnsi="Wingdings"/>
      </w:rPr>
    </w:lvl>
    <w:lvl w:ilvl="3" w:tentative="0">
      <w:start w:val="1"/>
      <w:numFmt w:val="bullet"/>
      <w:lvlText w:val=""/>
      <w:lvlJc w:val="left"/>
      <w:pPr>
        <w:ind w:left="3957" w:hanging="360"/>
      </w:pPr>
      <w:rPr>
        <w:rFonts w:hint="default" w:ascii="Symbol" w:hAnsi="Symbol"/>
      </w:rPr>
    </w:lvl>
    <w:lvl w:ilvl="4" w:tentative="0">
      <w:start w:val="1"/>
      <w:numFmt w:val="bullet"/>
      <w:lvlText w:val="o"/>
      <w:lvlJc w:val="left"/>
      <w:pPr>
        <w:ind w:left="4677" w:hanging="360"/>
      </w:pPr>
      <w:rPr>
        <w:rFonts w:hint="default" w:ascii="Courier New" w:hAnsi="Courier New" w:cs="Courier New"/>
      </w:rPr>
    </w:lvl>
    <w:lvl w:ilvl="5" w:tentative="0">
      <w:start w:val="1"/>
      <w:numFmt w:val="bullet"/>
      <w:lvlText w:val=""/>
      <w:lvlJc w:val="left"/>
      <w:pPr>
        <w:ind w:left="5397" w:hanging="360"/>
      </w:pPr>
      <w:rPr>
        <w:rFonts w:hint="default" w:ascii="Wingdings" w:hAnsi="Wingdings"/>
      </w:rPr>
    </w:lvl>
    <w:lvl w:ilvl="6" w:tentative="0">
      <w:start w:val="1"/>
      <w:numFmt w:val="bullet"/>
      <w:lvlText w:val=""/>
      <w:lvlJc w:val="left"/>
      <w:pPr>
        <w:ind w:left="6117" w:hanging="360"/>
      </w:pPr>
      <w:rPr>
        <w:rFonts w:hint="default" w:ascii="Symbol" w:hAnsi="Symbol"/>
      </w:rPr>
    </w:lvl>
    <w:lvl w:ilvl="7" w:tentative="0">
      <w:start w:val="1"/>
      <w:numFmt w:val="bullet"/>
      <w:lvlText w:val="o"/>
      <w:lvlJc w:val="left"/>
      <w:pPr>
        <w:ind w:left="6837" w:hanging="360"/>
      </w:pPr>
      <w:rPr>
        <w:rFonts w:hint="default" w:ascii="Courier New" w:hAnsi="Courier New" w:cs="Courier New"/>
      </w:rPr>
    </w:lvl>
    <w:lvl w:ilvl="8" w:tentative="0">
      <w:start w:val="1"/>
      <w:numFmt w:val="bullet"/>
      <w:lvlText w:val=""/>
      <w:lvlJc w:val="left"/>
      <w:pPr>
        <w:ind w:left="7557" w:hanging="360"/>
      </w:pPr>
      <w:rPr>
        <w:rFonts w:hint="default" w:ascii="Wingdings" w:hAnsi="Wingdings"/>
      </w:rPr>
    </w:lvl>
  </w:abstractNum>
  <w:abstractNum w:abstractNumId="20">
    <w:nsid w:val="663721DB"/>
    <w:multiLevelType w:val="multilevel"/>
    <w:tmpl w:val="663721DB"/>
    <w:lvl w:ilvl="0" w:tentative="0">
      <w:start w:val="1"/>
      <w:numFmt w:val="decimal"/>
      <w:lvlText w:val="(%1)"/>
      <w:lvlJc w:val="left"/>
      <w:pPr>
        <w:tabs>
          <w:tab w:val="left" w:pos="720"/>
        </w:tabs>
        <w:ind w:left="720" w:hanging="360"/>
      </w:pPr>
      <w:rPr>
        <w:rFonts w:hint="default"/>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83C0C94"/>
    <w:multiLevelType w:val="multilevel"/>
    <w:tmpl w:val="683C0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A6F61BA"/>
    <w:multiLevelType w:val="multilevel"/>
    <w:tmpl w:val="6A6F61BA"/>
    <w:lvl w:ilvl="0" w:tentative="0">
      <w:start w:val="1"/>
      <w:numFmt w:val="bullet"/>
      <w:lvlText w:val=""/>
      <w:lvlJc w:val="left"/>
      <w:pPr>
        <w:ind w:left="630" w:hanging="420"/>
      </w:pPr>
      <w:rPr>
        <w:rFonts w:hint="default" w:ascii="Wingdings" w:hAnsi="Wingdings"/>
        <w:sz w:val="13"/>
        <w:szCs w:val="13"/>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3">
    <w:nsid w:val="6D5A684A"/>
    <w:multiLevelType w:val="multilevel"/>
    <w:tmpl w:val="6D5A68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5311FCB"/>
    <w:multiLevelType w:val="multilevel"/>
    <w:tmpl w:val="75311FCB"/>
    <w:lvl w:ilvl="0" w:tentative="0">
      <w:start w:val="1"/>
      <w:numFmt w:val="lowerRoman"/>
      <w:lvlText w:val="（%1）"/>
      <w:lvlJc w:val="right"/>
      <w:pPr>
        <w:ind w:left="1530" w:hanging="360"/>
      </w:pPr>
      <w:rPr>
        <w:rFonts w:hint="default"/>
      </w:r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25">
    <w:nsid w:val="75396DAD"/>
    <w:multiLevelType w:val="multilevel"/>
    <w:tmpl w:val="75396DAD"/>
    <w:lvl w:ilvl="0" w:tentative="0">
      <w:start w:val="1"/>
      <w:numFmt w:val="lowerRoman"/>
      <w:pStyle w:val="238"/>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75CB4C27"/>
    <w:multiLevelType w:val="multilevel"/>
    <w:tmpl w:val="75CB4C27"/>
    <w:lvl w:ilvl="0" w:tentative="0">
      <w:start w:val="1"/>
      <w:numFmt w:val="decimal"/>
      <w:lvlText w:val="（%1）"/>
      <w:lvlJc w:val="left"/>
      <w:pPr>
        <w:ind w:left="1140" w:hanging="72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7">
    <w:nsid w:val="797E1710"/>
    <w:multiLevelType w:val="singleLevel"/>
    <w:tmpl w:val="797E1710"/>
    <w:lvl w:ilvl="0" w:tentative="0">
      <w:start w:val="1"/>
      <w:numFmt w:val="lowerRoman"/>
      <w:pStyle w:val="115"/>
      <w:lvlText w:val="%1)"/>
      <w:lvlJc w:val="left"/>
      <w:pPr>
        <w:tabs>
          <w:tab w:val="left" w:pos="1782"/>
        </w:tabs>
        <w:ind w:left="1782" w:hanging="792"/>
      </w:pPr>
      <w:rPr>
        <w:rFonts w:hint="default"/>
      </w:rPr>
    </w:lvl>
  </w:abstractNum>
  <w:num w:numId="1">
    <w:abstractNumId w:val="8"/>
  </w:num>
  <w:num w:numId="2">
    <w:abstractNumId w:val="6"/>
  </w:num>
  <w:num w:numId="3">
    <w:abstractNumId w:val="4"/>
  </w:num>
  <w:num w:numId="4">
    <w:abstractNumId w:val="7"/>
  </w:num>
  <w:num w:numId="5">
    <w:abstractNumId w:val="3"/>
  </w:num>
  <w:num w:numId="6">
    <w:abstractNumId w:val="9"/>
  </w:num>
  <w:num w:numId="7">
    <w:abstractNumId w:val="5"/>
  </w:num>
  <w:num w:numId="8">
    <w:abstractNumId w:val="2"/>
  </w:num>
  <w:num w:numId="9">
    <w:abstractNumId w:val="1"/>
  </w:num>
  <w:num w:numId="10">
    <w:abstractNumId w:val="18"/>
  </w:num>
  <w:num w:numId="11">
    <w:abstractNumId w:val="17"/>
  </w:num>
  <w:num w:numId="12">
    <w:abstractNumId w:val="27"/>
  </w:num>
  <w:num w:numId="13">
    <w:abstractNumId w:val="0"/>
  </w:num>
  <w:num w:numId="14">
    <w:abstractNumId w:val="10"/>
  </w:num>
  <w:num w:numId="15">
    <w:abstractNumId w:val="25"/>
  </w:num>
  <w:num w:numId="16">
    <w:abstractNumId w:val="16"/>
  </w:num>
  <w:num w:numId="17">
    <w:abstractNumId w:val="24"/>
  </w:num>
  <w:num w:numId="18">
    <w:abstractNumId w:val="15"/>
  </w:num>
  <w:num w:numId="19">
    <w:abstractNumId w:val="20"/>
  </w:num>
  <w:num w:numId="20">
    <w:abstractNumId w:val="26"/>
  </w:num>
  <w:num w:numId="21">
    <w:abstractNumId w:val="13"/>
  </w:num>
  <w:num w:numId="22">
    <w:abstractNumId w:val="11"/>
  </w:num>
  <w:num w:numId="23">
    <w:abstractNumId w:val="14"/>
  </w:num>
  <w:num w:numId="24">
    <w:abstractNumId w:val="22"/>
  </w:num>
  <w:num w:numId="25">
    <w:abstractNumId w:val="19"/>
  </w:num>
  <w:num w:numId="26">
    <w:abstractNumId w:val="21"/>
  </w:num>
  <w:num w:numId="27">
    <w:abstractNumId w:val="12"/>
  </w:num>
  <w:num w:numId="28">
    <w:abstractNumId w:val="23"/>
  </w:num>
  <w:num w:numId="29">
    <w:abstractNumId w:val="16"/>
    <w:lvlOverride w:ilvl="0">
      <w:startOverride w:val="1"/>
    </w:lvlOverride>
  </w:num>
  <w:num w:numId="30">
    <w:abstractNumId w:val="25"/>
    <w:lvlOverride w:ilvl="0">
      <w:startOverride w:val="1"/>
    </w:lvlOverride>
  </w:num>
  <w:num w:numId="3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numRestart w:val="eachPage"/>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1MjYyNzExNzc1MDJT0lEKTi0uzszPAykwMaoFACQkwXYtAAAA"/>
  </w:docVars>
  <w:rsids>
    <w:rsidRoot w:val="00E51572"/>
    <w:rsid w:val="000007BF"/>
    <w:rsid w:val="00000D2B"/>
    <w:rsid w:val="000017CF"/>
    <w:rsid w:val="00001ADE"/>
    <w:rsid w:val="00002F59"/>
    <w:rsid w:val="0000310B"/>
    <w:rsid w:val="000031B6"/>
    <w:rsid w:val="000049B9"/>
    <w:rsid w:val="00005BCE"/>
    <w:rsid w:val="000062EA"/>
    <w:rsid w:val="0000639D"/>
    <w:rsid w:val="000064CC"/>
    <w:rsid w:val="000067FD"/>
    <w:rsid w:val="00006934"/>
    <w:rsid w:val="00006E5E"/>
    <w:rsid w:val="00007A2F"/>
    <w:rsid w:val="00007D4C"/>
    <w:rsid w:val="000102EA"/>
    <w:rsid w:val="000108BF"/>
    <w:rsid w:val="00011686"/>
    <w:rsid w:val="00011FD1"/>
    <w:rsid w:val="00013811"/>
    <w:rsid w:val="00013BCD"/>
    <w:rsid w:val="000141CB"/>
    <w:rsid w:val="0001454B"/>
    <w:rsid w:val="00015586"/>
    <w:rsid w:val="00015903"/>
    <w:rsid w:val="00015A82"/>
    <w:rsid w:val="00015D48"/>
    <w:rsid w:val="00015F71"/>
    <w:rsid w:val="00016DD5"/>
    <w:rsid w:val="000176CA"/>
    <w:rsid w:val="0001798B"/>
    <w:rsid w:val="00017D29"/>
    <w:rsid w:val="000212C5"/>
    <w:rsid w:val="0002173C"/>
    <w:rsid w:val="0002187B"/>
    <w:rsid w:val="00021CBD"/>
    <w:rsid w:val="00022E29"/>
    <w:rsid w:val="00023C90"/>
    <w:rsid w:val="0002430F"/>
    <w:rsid w:val="00024A3B"/>
    <w:rsid w:val="00025144"/>
    <w:rsid w:val="00026B59"/>
    <w:rsid w:val="00027AA8"/>
    <w:rsid w:val="00031A6C"/>
    <w:rsid w:val="000328E7"/>
    <w:rsid w:val="00032D64"/>
    <w:rsid w:val="00035131"/>
    <w:rsid w:val="00035544"/>
    <w:rsid w:val="000377C6"/>
    <w:rsid w:val="000410A0"/>
    <w:rsid w:val="000410BB"/>
    <w:rsid w:val="000411B2"/>
    <w:rsid w:val="00042659"/>
    <w:rsid w:val="0004485E"/>
    <w:rsid w:val="00045386"/>
    <w:rsid w:val="00045A93"/>
    <w:rsid w:val="0004664D"/>
    <w:rsid w:val="0004684C"/>
    <w:rsid w:val="00046BCB"/>
    <w:rsid w:val="00046E34"/>
    <w:rsid w:val="0005078B"/>
    <w:rsid w:val="00050893"/>
    <w:rsid w:val="000528B9"/>
    <w:rsid w:val="000545BD"/>
    <w:rsid w:val="00055348"/>
    <w:rsid w:val="00055E9A"/>
    <w:rsid w:val="0005700E"/>
    <w:rsid w:val="0005735A"/>
    <w:rsid w:val="00057BE5"/>
    <w:rsid w:val="00057ED7"/>
    <w:rsid w:val="0006032C"/>
    <w:rsid w:val="00060D2C"/>
    <w:rsid w:val="00061C9B"/>
    <w:rsid w:val="00061F1B"/>
    <w:rsid w:val="000630D1"/>
    <w:rsid w:val="00063E7B"/>
    <w:rsid w:val="00064247"/>
    <w:rsid w:val="00064E8D"/>
    <w:rsid w:val="00065E01"/>
    <w:rsid w:val="000668AF"/>
    <w:rsid w:val="00066CB3"/>
    <w:rsid w:val="00066D64"/>
    <w:rsid w:val="0006786B"/>
    <w:rsid w:val="00067875"/>
    <w:rsid w:val="00067ED3"/>
    <w:rsid w:val="000701A8"/>
    <w:rsid w:val="0007078F"/>
    <w:rsid w:val="00070D5F"/>
    <w:rsid w:val="00070FC7"/>
    <w:rsid w:val="00071DD2"/>
    <w:rsid w:val="000738DC"/>
    <w:rsid w:val="000766B3"/>
    <w:rsid w:val="0007684C"/>
    <w:rsid w:val="0008027C"/>
    <w:rsid w:val="00080289"/>
    <w:rsid w:val="00082766"/>
    <w:rsid w:val="00082DFA"/>
    <w:rsid w:val="00083107"/>
    <w:rsid w:val="000831E4"/>
    <w:rsid w:val="00083933"/>
    <w:rsid w:val="00083C68"/>
    <w:rsid w:val="0008455B"/>
    <w:rsid w:val="0008467D"/>
    <w:rsid w:val="000847E0"/>
    <w:rsid w:val="00084AF4"/>
    <w:rsid w:val="000854AA"/>
    <w:rsid w:val="00085D00"/>
    <w:rsid w:val="000861E0"/>
    <w:rsid w:val="00086638"/>
    <w:rsid w:val="000869E2"/>
    <w:rsid w:val="00087718"/>
    <w:rsid w:val="0008785E"/>
    <w:rsid w:val="00087B51"/>
    <w:rsid w:val="0009030E"/>
    <w:rsid w:val="00090611"/>
    <w:rsid w:val="00091577"/>
    <w:rsid w:val="00092287"/>
    <w:rsid w:val="00092B01"/>
    <w:rsid w:val="00092D0D"/>
    <w:rsid w:val="00093CFC"/>
    <w:rsid w:val="0009454C"/>
    <w:rsid w:val="00094FBF"/>
    <w:rsid w:val="00095250"/>
    <w:rsid w:val="00095CB3"/>
    <w:rsid w:val="00096B8D"/>
    <w:rsid w:val="000978EB"/>
    <w:rsid w:val="000A13EF"/>
    <w:rsid w:val="000A1BC6"/>
    <w:rsid w:val="000A1C86"/>
    <w:rsid w:val="000A20C0"/>
    <w:rsid w:val="000A27D8"/>
    <w:rsid w:val="000A2C63"/>
    <w:rsid w:val="000A2DAE"/>
    <w:rsid w:val="000A308F"/>
    <w:rsid w:val="000A34CF"/>
    <w:rsid w:val="000A5281"/>
    <w:rsid w:val="000A58D7"/>
    <w:rsid w:val="000A6434"/>
    <w:rsid w:val="000A64CF"/>
    <w:rsid w:val="000A65ED"/>
    <w:rsid w:val="000A73DF"/>
    <w:rsid w:val="000A748D"/>
    <w:rsid w:val="000A77AC"/>
    <w:rsid w:val="000A7BE0"/>
    <w:rsid w:val="000A7F91"/>
    <w:rsid w:val="000B0130"/>
    <w:rsid w:val="000B01BC"/>
    <w:rsid w:val="000B0F91"/>
    <w:rsid w:val="000B1B3C"/>
    <w:rsid w:val="000B1C19"/>
    <w:rsid w:val="000B1E47"/>
    <w:rsid w:val="000B3243"/>
    <w:rsid w:val="000B4538"/>
    <w:rsid w:val="000B4E75"/>
    <w:rsid w:val="000B4F20"/>
    <w:rsid w:val="000B5D83"/>
    <w:rsid w:val="000B75E9"/>
    <w:rsid w:val="000B7B83"/>
    <w:rsid w:val="000B7ED3"/>
    <w:rsid w:val="000C01F4"/>
    <w:rsid w:val="000C0364"/>
    <w:rsid w:val="000C070A"/>
    <w:rsid w:val="000C09F6"/>
    <w:rsid w:val="000C0BBF"/>
    <w:rsid w:val="000C1A46"/>
    <w:rsid w:val="000C2520"/>
    <w:rsid w:val="000C3B4F"/>
    <w:rsid w:val="000C4263"/>
    <w:rsid w:val="000C4F45"/>
    <w:rsid w:val="000C51E7"/>
    <w:rsid w:val="000C527E"/>
    <w:rsid w:val="000C5C62"/>
    <w:rsid w:val="000C66E4"/>
    <w:rsid w:val="000D0CFE"/>
    <w:rsid w:val="000D12C9"/>
    <w:rsid w:val="000D441D"/>
    <w:rsid w:val="000D5471"/>
    <w:rsid w:val="000D5FB6"/>
    <w:rsid w:val="000D6245"/>
    <w:rsid w:val="000D6A9F"/>
    <w:rsid w:val="000D6E05"/>
    <w:rsid w:val="000D7E30"/>
    <w:rsid w:val="000E02BF"/>
    <w:rsid w:val="000E044F"/>
    <w:rsid w:val="000E0C98"/>
    <w:rsid w:val="000E0E08"/>
    <w:rsid w:val="000E1380"/>
    <w:rsid w:val="000E244E"/>
    <w:rsid w:val="000E4407"/>
    <w:rsid w:val="000E57BB"/>
    <w:rsid w:val="000E5BD2"/>
    <w:rsid w:val="000E5FDE"/>
    <w:rsid w:val="000E6208"/>
    <w:rsid w:val="000E679C"/>
    <w:rsid w:val="000E772C"/>
    <w:rsid w:val="000F0DE1"/>
    <w:rsid w:val="000F150C"/>
    <w:rsid w:val="000F180D"/>
    <w:rsid w:val="000F1A75"/>
    <w:rsid w:val="000F3B45"/>
    <w:rsid w:val="000F57D8"/>
    <w:rsid w:val="000F6679"/>
    <w:rsid w:val="000F6FBA"/>
    <w:rsid w:val="000F7220"/>
    <w:rsid w:val="000F7FEF"/>
    <w:rsid w:val="00100958"/>
    <w:rsid w:val="00100B15"/>
    <w:rsid w:val="00100F1B"/>
    <w:rsid w:val="001011D0"/>
    <w:rsid w:val="001015C4"/>
    <w:rsid w:val="001017BA"/>
    <w:rsid w:val="001017FF"/>
    <w:rsid w:val="00102564"/>
    <w:rsid w:val="00103A09"/>
    <w:rsid w:val="00104285"/>
    <w:rsid w:val="001050D3"/>
    <w:rsid w:val="00105270"/>
    <w:rsid w:val="001068E3"/>
    <w:rsid w:val="00106C3C"/>
    <w:rsid w:val="00106E32"/>
    <w:rsid w:val="00107989"/>
    <w:rsid w:val="00107B14"/>
    <w:rsid w:val="00110378"/>
    <w:rsid w:val="0011084A"/>
    <w:rsid w:val="00111085"/>
    <w:rsid w:val="00111DBD"/>
    <w:rsid w:val="00112214"/>
    <w:rsid w:val="00112B26"/>
    <w:rsid w:val="00112D5D"/>
    <w:rsid w:val="00112E26"/>
    <w:rsid w:val="00112F62"/>
    <w:rsid w:val="00116502"/>
    <w:rsid w:val="00116A25"/>
    <w:rsid w:val="0011773E"/>
    <w:rsid w:val="00121085"/>
    <w:rsid w:val="00121BC4"/>
    <w:rsid w:val="00122099"/>
    <w:rsid w:val="00122701"/>
    <w:rsid w:val="001236F7"/>
    <w:rsid w:val="00123909"/>
    <w:rsid w:val="001249A2"/>
    <w:rsid w:val="00124C2B"/>
    <w:rsid w:val="00124E23"/>
    <w:rsid w:val="001254BB"/>
    <w:rsid w:val="00126895"/>
    <w:rsid w:val="0012691B"/>
    <w:rsid w:val="001304DD"/>
    <w:rsid w:val="001306AB"/>
    <w:rsid w:val="00130C53"/>
    <w:rsid w:val="00130C7E"/>
    <w:rsid w:val="001311B0"/>
    <w:rsid w:val="00131536"/>
    <w:rsid w:val="00132414"/>
    <w:rsid w:val="001327D7"/>
    <w:rsid w:val="00132B38"/>
    <w:rsid w:val="00133753"/>
    <w:rsid w:val="00135840"/>
    <w:rsid w:val="00135943"/>
    <w:rsid w:val="001364FE"/>
    <w:rsid w:val="00136A8C"/>
    <w:rsid w:val="00137277"/>
    <w:rsid w:val="001405F1"/>
    <w:rsid w:val="00140BB3"/>
    <w:rsid w:val="00141EFD"/>
    <w:rsid w:val="00143A55"/>
    <w:rsid w:val="001443C8"/>
    <w:rsid w:val="00144568"/>
    <w:rsid w:val="00144841"/>
    <w:rsid w:val="00145C6F"/>
    <w:rsid w:val="00146EC1"/>
    <w:rsid w:val="00147924"/>
    <w:rsid w:val="00150FC6"/>
    <w:rsid w:val="001517A2"/>
    <w:rsid w:val="00151BE1"/>
    <w:rsid w:val="0015243D"/>
    <w:rsid w:val="00152B3B"/>
    <w:rsid w:val="00152C78"/>
    <w:rsid w:val="00154107"/>
    <w:rsid w:val="00154D61"/>
    <w:rsid w:val="00154FCA"/>
    <w:rsid w:val="00155004"/>
    <w:rsid w:val="00155AB2"/>
    <w:rsid w:val="00156204"/>
    <w:rsid w:val="00156653"/>
    <w:rsid w:val="0015767C"/>
    <w:rsid w:val="00157925"/>
    <w:rsid w:val="0015797E"/>
    <w:rsid w:val="001601C4"/>
    <w:rsid w:val="001603CE"/>
    <w:rsid w:val="001615F7"/>
    <w:rsid w:val="0016210B"/>
    <w:rsid w:val="0016231F"/>
    <w:rsid w:val="00163007"/>
    <w:rsid w:val="001636D5"/>
    <w:rsid w:val="00163836"/>
    <w:rsid w:val="00164973"/>
    <w:rsid w:val="00164A15"/>
    <w:rsid w:val="00164D76"/>
    <w:rsid w:val="00165038"/>
    <w:rsid w:val="001651D8"/>
    <w:rsid w:val="0016526C"/>
    <w:rsid w:val="00165D55"/>
    <w:rsid w:val="001667A5"/>
    <w:rsid w:val="001668BE"/>
    <w:rsid w:val="00166A54"/>
    <w:rsid w:val="0016750C"/>
    <w:rsid w:val="00167CBC"/>
    <w:rsid w:val="00167DB7"/>
    <w:rsid w:val="00170A25"/>
    <w:rsid w:val="001710FF"/>
    <w:rsid w:val="00171BE1"/>
    <w:rsid w:val="0017240F"/>
    <w:rsid w:val="00172F52"/>
    <w:rsid w:val="001736D1"/>
    <w:rsid w:val="00173A26"/>
    <w:rsid w:val="00173BBE"/>
    <w:rsid w:val="001740FF"/>
    <w:rsid w:val="001748CD"/>
    <w:rsid w:val="00174EDD"/>
    <w:rsid w:val="00175475"/>
    <w:rsid w:val="00175CC1"/>
    <w:rsid w:val="00175FF0"/>
    <w:rsid w:val="001764E1"/>
    <w:rsid w:val="0017734C"/>
    <w:rsid w:val="0017736D"/>
    <w:rsid w:val="00177655"/>
    <w:rsid w:val="00177691"/>
    <w:rsid w:val="00177DB4"/>
    <w:rsid w:val="00180238"/>
    <w:rsid w:val="00180357"/>
    <w:rsid w:val="001804CA"/>
    <w:rsid w:val="00180AF9"/>
    <w:rsid w:val="00180CFF"/>
    <w:rsid w:val="00181066"/>
    <w:rsid w:val="001812F4"/>
    <w:rsid w:val="0018165F"/>
    <w:rsid w:val="00181B7A"/>
    <w:rsid w:val="00181DB0"/>
    <w:rsid w:val="00182022"/>
    <w:rsid w:val="00182C34"/>
    <w:rsid w:val="00182EAD"/>
    <w:rsid w:val="00182F3A"/>
    <w:rsid w:val="00184293"/>
    <w:rsid w:val="00186A60"/>
    <w:rsid w:val="001870C5"/>
    <w:rsid w:val="00187564"/>
    <w:rsid w:val="0019066C"/>
    <w:rsid w:val="0019140C"/>
    <w:rsid w:val="00191742"/>
    <w:rsid w:val="0019249D"/>
    <w:rsid w:val="001934D3"/>
    <w:rsid w:val="00193A1F"/>
    <w:rsid w:val="001946E4"/>
    <w:rsid w:val="00194D7A"/>
    <w:rsid w:val="00195E9D"/>
    <w:rsid w:val="00196278"/>
    <w:rsid w:val="001964FC"/>
    <w:rsid w:val="00196A75"/>
    <w:rsid w:val="001975BE"/>
    <w:rsid w:val="00197B64"/>
    <w:rsid w:val="001A0EFE"/>
    <w:rsid w:val="001A121D"/>
    <w:rsid w:val="001A1C1C"/>
    <w:rsid w:val="001A1D0B"/>
    <w:rsid w:val="001A2650"/>
    <w:rsid w:val="001A2781"/>
    <w:rsid w:val="001A2B93"/>
    <w:rsid w:val="001A356B"/>
    <w:rsid w:val="001A3854"/>
    <w:rsid w:val="001A484E"/>
    <w:rsid w:val="001A4FD8"/>
    <w:rsid w:val="001A523F"/>
    <w:rsid w:val="001A58B6"/>
    <w:rsid w:val="001A6281"/>
    <w:rsid w:val="001A6942"/>
    <w:rsid w:val="001A6C06"/>
    <w:rsid w:val="001A7058"/>
    <w:rsid w:val="001A7F82"/>
    <w:rsid w:val="001B055C"/>
    <w:rsid w:val="001B148C"/>
    <w:rsid w:val="001B2CAE"/>
    <w:rsid w:val="001B35A2"/>
    <w:rsid w:val="001B36A5"/>
    <w:rsid w:val="001B40DC"/>
    <w:rsid w:val="001B4E8C"/>
    <w:rsid w:val="001B4F13"/>
    <w:rsid w:val="001B4FAD"/>
    <w:rsid w:val="001B6D72"/>
    <w:rsid w:val="001B7454"/>
    <w:rsid w:val="001C0D3A"/>
    <w:rsid w:val="001C15D4"/>
    <w:rsid w:val="001C1ACE"/>
    <w:rsid w:val="001C32A0"/>
    <w:rsid w:val="001C42D6"/>
    <w:rsid w:val="001C4322"/>
    <w:rsid w:val="001C4896"/>
    <w:rsid w:val="001C4E5C"/>
    <w:rsid w:val="001C4F5A"/>
    <w:rsid w:val="001C5230"/>
    <w:rsid w:val="001C527B"/>
    <w:rsid w:val="001C557F"/>
    <w:rsid w:val="001C63E7"/>
    <w:rsid w:val="001C69C6"/>
    <w:rsid w:val="001C69F1"/>
    <w:rsid w:val="001C719A"/>
    <w:rsid w:val="001C7D1A"/>
    <w:rsid w:val="001C7D33"/>
    <w:rsid w:val="001C7E92"/>
    <w:rsid w:val="001D0A9D"/>
    <w:rsid w:val="001D0E9C"/>
    <w:rsid w:val="001D1013"/>
    <w:rsid w:val="001D16BE"/>
    <w:rsid w:val="001D1CE1"/>
    <w:rsid w:val="001D20A2"/>
    <w:rsid w:val="001D3FA0"/>
    <w:rsid w:val="001D42ED"/>
    <w:rsid w:val="001D518E"/>
    <w:rsid w:val="001D599B"/>
    <w:rsid w:val="001D61D2"/>
    <w:rsid w:val="001D6677"/>
    <w:rsid w:val="001D685F"/>
    <w:rsid w:val="001D6CC6"/>
    <w:rsid w:val="001D755E"/>
    <w:rsid w:val="001D7B9E"/>
    <w:rsid w:val="001E090D"/>
    <w:rsid w:val="001E0FBC"/>
    <w:rsid w:val="001E16A7"/>
    <w:rsid w:val="001E1C9E"/>
    <w:rsid w:val="001E2014"/>
    <w:rsid w:val="001E284B"/>
    <w:rsid w:val="001E2A8A"/>
    <w:rsid w:val="001E2D6E"/>
    <w:rsid w:val="001E45BE"/>
    <w:rsid w:val="001E46D2"/>
    <w:rsid w:val="001E4C42"/>
    <w:rsid w:val="001E50A2"/>
    <w:rsid w:val="001E5991"/>
    <w:rsid w:val="001E6F4A"/>
    <w:rsid w:val="001E71FC"/>
    <w:rsid w:val="001E77AB"/>
    <w:rsid w:val="001F00C7"/>
    <w:rsid w:val="001F0A57"/>
    <w:rsid w:val="001F0F90"/>
    <w:rsid w:val="001F1611"/>
    <w:rsid w:val="001F20BD"/>
    <w:rsid w:val="001F20E3"/>
    <w:rsid w:val="001F3792"/>
    <w:rsid w:val="001F4258"/>
    <w:rsid w:val="001F4E14"/>
    <w:rsid w:val="001F4EF8"/>
    <w:rsid w:val="001F5711"/>
    <w:rsid w:val="001F5B05"/>
    <w:rsid w:val="001F5E0B"/>
    <w:rsid w:val="001F6109"/>
    <w:rsid w:val="001F6721"/>
    <w:rsid w:val="001F67F7"/>
    <w:rsid w:val="001F705D"/>
    <w:rsid w:val="001F70D7"/>
    <w:rsid w:val="001F76DC"/>
    <w:rsid w:val="001F7D8C"/>
    <w:rsid w:val="001F7EBB"/>
    <w:rsid w:val="002016F2"/>
    <w:rsid w:val="00201797"/>
    <w:rsid w:val="00201A72"/>
    <w:rsid w:val="00201ADB"/>
    <w:rsid w:val="002030EE"/>
    <w:rsid w:val="002033A4"/>
    <w:rsid w:val="00203FFF"/>
    <w:rsid w:val="002042AE"/>
    <w:rsid w:val="002044C3"/>
    <w:rsid w:val="002060B6"/>
    <w:rsid w:val="002062C3"/>
    <w:rsid w:val="002069C0"/>
    <w:rsid w:val="00206C52"/>
    <w:rsid w:val="00206F77"/>
    <w:rsid w:val="00207292"/>
    <w:rsid w:val="00207433"/>
    <w:rsid w:val="00207813"/>
    <w:rsid w:val="00207AA1"/>
    <w:rsid w:val="00207B6E"/>
    <w:rsid w:val="00210C09"/>
    <w:rsid w:val="00211597"/>
    <w:rsid w:val="002131F6"/>
    <w:rsid w:val="00213548"/>
    <w:rsid w:val="00214031"/>
    <w:rsid w:val="00214D9E"/>
    <w:rsid w:val="00214E2F"/>
    <w:rsid w:val="00215D80"/>
    <w:rsid w:val="0021607C"/>
    <w:rsid w:val="002165B1"/>
    <w:rsid w:val="00216C58"/>
    <w:rsid w:val="0022056B"/>
    <w:rsid w:val="00220B00"/>
    <w:rsid w:val="00221437"/>
    <w:rsid w:val="00221904"/>
    <w:rsid w:val="00221AFA"/>
    <w:rsid w:val="00221B7F"/>
    <w:rsid w:val="00223B0A"/>
    <w:rsid w:val="00223D36"/>
    <w:rsid w:val="002248BA"/>
    <w:rsid w:val="00225D35"/>
    <w:rsid w:val="0022646D"/>
    <w:rsid w:val="00227D0C"/>
    <w:rsid w:val="00227E4B"/>
    <w:rsid w:val="00232A54"/>
    <w:rsid w:val="00233B58"/>
    <w:rsid w:val="00233E10"/>
    <w:rsid w:val="00234227"/>
    <w:rsid w:val="0023586F"/>
    <w:rsid w:val="00235A1D"/>
    <w:rsid w:val="002361B3"/>
    <w:rsid w:val="00236705"/>
    <w:rsid w:val="00236A64"/>
    <w:rsid w:val="002375EF"/>
    <w:rsid w:val="00237755"/>
    <w:rsid w:val="00237AA0"/>
    <w:rsid w:val="00240B08"/>
    <w:rsid w:val="00240B15"/>
    <w:rsid w:val="00240DE0"/>
    <w:rsid w:val="00240E88"/>
    <w:rsid w:val="00240EBA"/>
    <w:rsid w:val="002417C3"/>
    <w:rsid w:val="002442CB"/>
    <w:rsid w:val="00246BAB"/>
    <w:rsid w:val="00246FC9"/>
    <w:rsid w:val="0024772D"/>
    <w:rsid w:val="002478B2"/>
    <w:rsid w:val="00251037"/>
    <w:rsid w:val="00251270"/>
    <w:rsid w:val="002519F8"/>
    <w:rsid w:val="002519FD"/>
    <w:rsid w:val="002523BC"/>
    <w:rsid w:val="0025290A"/>
    <w:rsid w:val="0025291B"/>
    <w:rsid w:val="00252991"/>
    <w:rsid w:val="002529F7"/>
    <w:rsid w:val="00253187"/>
    <w:rsid w:val="00253642"/>
    <w:rsid w:val="0025368A"/>
    <w:rsid w:val="002542F5"/>
    <w:rsid w:val="002544BD"/>
    <w:rsid w:val="002551B7"/>
    <w:rsid w:val="002552A8"/>
    <w:rsid w:val="002554B1"/>
    <w:rsid w:val="002561DC"/>
    <w:rsid w:val="002601D4"/>
    <w:rsid w:val="00261161"/>
    <w:rsid w:val="0026117C"/>
    <w:rsid w:val="002620C7"/>
    <w:rsid w:val="00262B21"/>
    <w:rsid w:val="00262D3F"/>
    <w:rsid w:val="00263064"/>
    <w:rsid w:val="00264451"/>
    <w:rsid w:val="00264A37"/>
    <w:rsid w:val="00265833"/>
    <w:rsid w:val="00265BC5"/>
    <w:rsid w:val="0026607F"/>
    <w:rsid w:val="002661D2"/>
    <w:rsid w:val="0026665F"/>
    <w:rsid w:val="00267879"/>
    <w:rsid w:val="002704A0"/>
    <w:rsid w:val="0027091B"/>
    <w:rsid w:val="002712D6"/>
    <w:rsid w:val="002719EF"/>
    <w:rsid w:val="00271B02"/>
    <w:rsid w:val="00272481"/>
    <w:rsid w:val="002724C0"/>
    <w:rsid w:val="00272ED9"/>
    <w:rsid w:val="0027301E"/>
    <w:rsid w:val="002730FD"/>
    <w:rsid w:val="00274B38"/>
    <w:rsid w:val="00276D0E"/>
    <w:rsid w:val="00277506"/>
    <w:rsid w:val="0027755D"/>
    <w:rsid w:val="00277832"/>
    <w:rsid w:val="00277BF1"/>
    <w:rsid w:val="00277E0D"/>
    <w:rsid w:val="002804D3"/>
    <w:rsid w:val="00280525"/>
    <w:rsid w:val="002806F6"/>
    <w:rsid w:val="00280BF1"/>
    <w:rsid w:val="00281676"/>
    <w:rsid w:val="002826D8"/>
    <w:rsid w:val="00282874"/>
    <w:rsid w:val="0028353B"/>
    <w:rsid w:val="00283DB4"/>
    <w:rsid w:val="00284DD7"/>
    <w:rsid w:val="002856C1"/>
    <w:rsid w:val="00285AEC"/>
    <w:rsid w:val="002861AA"/>
    <w:rsid w:val="00286C6A"/>
    <w:rsid w:val="00286D85"/>
    <w:rsid w:val="00286F25"/>
    <w:rsid w:val="00287373"/>
    <w:rsid w:val="00287650"/>
    <w:rsid w:val="00287DA4"/>
    <w:rsid w:val="00287F0A"/>
    <w:rsid w:val="002910E2"/>
    <w:rsid w:val="0029166C"/>
    <w:rsid w:val="00292C3A"/>
    <w:rsid w:val="002943E2"/>
    <w:rsid w:val="00294FA4"/>
    <w:rsid w:val="002957EF"/>
    <w:rsid w:val="00295D5C"/>
    <w:rsid w:val="00295EE7"/>
    <w:rsid w:val="00295FAC"/>
    <w:rsid w:val="0029648B"/>
    <w:rsid w:val="00296571"/>
    <w:rsid w:val="002976CF"/>
    <w:rsid w:val="00297770"/>
    <w:rsid w:val="002A0081"/>
    <w:rsid w:val="002A01FD"/>
    <w:rsid w:val="002A08B6"/>
    <w:rsid w:val="002A2889"/>
    <w:rsid w:val="002A2AED"/>
    <w:rsid w:val="002A3771"/>
    <w:rsid w:val="002A37E8"/>
    <w:rsid w:val="002A3DC4"/>
    <w:rsid w:val="002A4102"/>
    <w:rsid w:val="002A463C"/>
    <w:rsid w:val="002A485E"/>
    <w:rsid w:val="002A583A"/>
    <w:rsid w:val="002A6483"/>
    <w:rsid w:val="002A6692"/>
    <w:rsid w:val="002A69F0"/>
    <w:rsid w:val="002A71E8"/>
    <w:rsid w:val="002A7364"/>
    <w:rsid w:val="002A737D"/>
    <w:rsid w:val="002A77BF"/>
    <w:rsid w:val="002A7C7B"/>
    <w:rsid w:val="002A7E57"/>
    <w:rsid w:val="002B08FE"/>
    <w:rsid w:val="002B1529"/>
    <w:rsid w:val="002B16AC"/>
    <w:rsid w:val="002B1D1D"/>
    <w:rsid w:val="002B2F2E"/>
    <w:rsid w:val="002B30D2"/>
    <w:rsid w:val="002B3397"/>
    <w:rsid w:val="002B5206"/>
    <w:rsid w:val="002B6967"/>
    <w:rsid w:val="002B75CE"/>
    <w:rsid w:val="002B7F7B"/>
    <w:rsid w:val="002C0937"/>
    <w:rsid w:val="002C0C0E"/>
    <w:rsid w:val="002C0C53"/>
    <w:rsid w:val="002C1DA4"/>
    <w:rsid w:val="002C2054"/>
    <w:rsid w:val="002C21C4"/>
    <w:rsid w:val="002C2FF8"/>
    <w:rsid w:val="002C3297"/>
    <w:rsid w:val="002C3E4A"/>
    <w:rsid w:val="002C465E"/>
    <w:rsid w:val="002C50C0"/>
    <w:rsid w:val="002C5B9B"/>
    <w:rsid w:val="002C5CF9"/>
    <w:rsid w:val="002C62D7"/>
    <w:rsid w:val="002C63E2"/>
    <w:rsid w:val="002C6723"/>
    <w:rsid w:val="002C67DE"/>
    <w:rsid w:val="002C70EA"/>
    <w:rsid w:val="002C751A"/>
    <w:rsid w:val="002C7547"/>
    <w:rsid w:val="002C78D2"/>
    <w:rsid w:val="002C7C6F"/>
    <w:rsid w:val="002C7E90"/>
    <w:rsid w:val="002D02DA"/>
    <w:rsid w:val="002D03E1"/>
    <w:rsid w:val="002D05EC"/>
    <w:rsid w:val="002D085B"/>
    <w:rsid w:val="002D0BAE"/>
    <w:rsid w:val="002D2114"/>
    <w:rsid w:val="002D25A1"/>
    <w:rsid w:val="002D2E3D"/>
    <w:rsid w:val="002D50F4"/>
    <w:rsid w:val="002D6A7F"/>
    <w:rsid w:val="002D70E2"/>
    <w:rsid w:val="002D7DA1"/>
    <w:rsid w:val="002E0191"/>
    <w:rsid w:val="002E1200"/>
    <w:rsid w:val="002E174F"/>
    <w:rsid w:val="002E1AEA"/>
    <w:rsid w:val="002E20A2"/>
    <w:rsid w:val="002E343B"/>
    <w:rsid w:val="002E361C"/>
    <w:rsid w:val="002E3AC1"/>
    <w:rsid w:val="002E4151"/>
    <w:rsid w:val="002E4DB3"/>
    <w:rsid w:val="002E5AD4"/>
    <w:rsid w:val="002E5D1D"/>
    <w:rsid w:val="002E6C86"/>
    <w:rsid w:val="002E70ED"/>
    <w:rsid w:val="002E72C2"/>
    <w:rsid w:val="002F01B6"/>
    <w:rsid w:val="002F13D8"/>
    <w:rsid w:val="002F1631"/>
    <w:rsid w:val="002F1F63"/>
    <w:rsid w:val="002F2222"/>
    <w:rsid w:val="002F260E"/>
    <w:rsid w:val="002F28CB"/>
    <w:rsid w:val="002F2967"/>
    <w:rsid w:val="002F3BBC"/>
    <w:rsid w:val="002F3E09"/>
    <w:rsid w:val="002F444E"/>
    <w:rsid w:val="002F451A"/>
    <w:rsid w:val="002F45B7"/>
    <w:rsid w:val="002F4C10"/>
    <w:rsid w:val="002F5489"/>
    <w:rsid w:val="002F54D6"/>
    <w:rsid w:val="002F57A6"/>
    <w:rsid w:val="002F57E5"/>
    <w:rsid w:val="002F581E"/>
    <w:rsid w:val="002F5A5E"/>
    <w:rsid w:val="002F67AE"/>
    <w:rsid w:val="002F68AF"/>
    <w:rsid w:val="002F7279"/>
    <w:rsid w:val="002F7661"/>
    <w:rsid w:val="003006A7"/>
    <w:rsid w:val="00301140"/>
    <w:rsid w:val="0030188E"/>
    <w:rsid w:val="00302DB1"/>
    <w:rsid w:val="00303645"/>
    <w:rsid w:val="00303CB2"/>
    <w:rsid w:val="003042A5"/>
    <w:rsid w:val="003058AA"/>
    <w:rsid w:val="00305D57"/>
    <w:rsid w:val="00311683"/>
    <w:rsid w:val="00311FD6"/>
    <w:rsid w:val="003123EA"/>
    <w:rsid w:val="00312F9A"/>
    <w:rsid w:val="00313ACF"/>
    <w:rsid w:val="00313F12"/>
    <w:rsid w:val="00314411"/>
    <w:rsid w:val="00315B4C"/>
    <w:rsid w:val="00315F25"/>
    <w:rsid w:val="00316395"/>
    <w:rsid w:val="003163AD"/>
    <w:rsid w:val="003179B6"/>
    <w:rsid w:val="00317A52"/>
    <w:rsid w:val="00317E71"/>
    <w:rsid w:val="00321222"/>
    <w:rsid w:val="0032142C"/>
    <w:rsid w:val="00321AA3"/>
    <w:rsid w:val="003229F2"/>
    <w:rsid w:val="003231C2"/>
    <w:rsid w:val="00323906"/>
    <w:rsid w:val="00325516"/>
    <w:rsid w:val="00325D90"/>
    <w:rsid w:val="003262E0"/>
    <w:rsid w:val="00326614"/>
    <w:rsid w:val="003271A0"/>
    <w:rsid w:val="00327DA9"/>
    <w:rsid w:val="0033084B"/>
    <w:rsid w:val="00331BA9"/>
    <w:rsid w:val="00332705"/>
    <w:rsid w:val="003329E0"/>
    <w:rsid w:val="00332B26"/>
    <w:rsid w:val="0033356B"/>
    <w:rsid w:val="00333C49"/>
    <w:rsid w:val="00336816"/>
    <w:rsid w:val="00336B9C"/>
    <w:rsid w:val="00336C9D"/>
    <w:rsid w:val="00337ADA"/>
    <w:rsid w:val="00340EFF"/>
    <w:rsid w:val="0034150E"/>
    <w:rsid w:val="003415EA"/>
    <w:rsid w:val="00341D4C"/>
    <w:rsid w:val="00341D4D"/>
    <w:rsid w:val="00342030"/>
    <w:rsid w:val="00342289"/>
    <w:rsid w:val="00342AD9"/>
    <w:rsid w:val="00344BFA"/>
    <w:rsid w:val="00345743"/>
    <w:rsid w:val="00345EAD"/>
    <w:rsid w:val="003472D6"/>
    <w:rsid w:val="00347974"/>
    <w:rsid w:val="00350712"/>
    <w:rsid w:val="00350AE1"/>
    <w:rsid w:val="003524B4"/>
    <w:rsid w:val="00352547"/>
    <w:rsid w:val="003528DC"/>
    <w:rsid w:val="00352B81"/>
    <w:rsid w:val="00353CFA"/>
    <w:rsid w:val="003541C4"/>
    <w:rsid w:val="003546A0"/>
    <w:rsid w:val="003551BF"/>
    <w:rsid w:val="00355BCD"/>
    <w:rsid w:val="00355EF8"/>
    <w:rsid w:val="003563F7"/>
    <w:rsid w:val="003565E2"/>
    <w:rsid w:val="0035701F"/>
    <w:rsid w:val="00357504"/>
    <w:rsid w:val="00357604"/>
    <w:rsid w:val="0036027A"/>
    <w:rsid w:val="0036058B"/>
    <w:rsid w:val="0036226A"/>
    <w:rsid w:val="00362B72"/>
    <w:rsid w:val="0036351F"/>
    <w:rsid w:val="003642C5"/>
    <w:rsid w:val="00364B14"/>
    <w:rsid w:val="00364E75"/>
    <w:rsid w:val="00365186"/>
    <w:rsid w:val="00365370"/>
    <w:rsid w:val="00365680"/>
    <w:rsid w:val="00365683"/>
    <w:rsid w:val="003667A1"/>
    <w:rsid w:val="00367570"/>
    <w:rsid w:val="00370246"/>
    <w:rsid w:val="00370FE9"/>
    <w:rsid w:val="00371273"/>
    <w:rsid w:val="003715DF"/>
    <w:rsid w:val="0037347A"/>
    <w:rsid w:val="0037370B"/>
    <w:rsid w:val="0037381F"/>
    <w:rsid w:val="00373D60"/>
    <w:rsid w:val="003741C6"/>
    <w:rsid w:val="003753EF"/>
    <w:rsid w:val="00375ACB"/>
    <w:rsid w:val="00377233"/>
    <w:rsid w:val="00377E0E"/>
    <w:rsid w:val="00377FCF"/>
    <w:rsid w:val="0038003A"/>
    <w:rsid w:val="00380AA8"/>
    <w:rsid w:val="00380F61"/>
    <w:rsid w:val="003818F4"/>
    <w:rsid w:val="00381BC5"/>
    <w:rsid w:val="0038284F"/>
    <w:rsid w:val="00382A19"/>
    <w:rsid w:val="00382DE2"/>
    <w:rsid w:val="00384924"/>
    <w:rsid w:val="00385235"/>
    <w:rsid w:val="00386AEA"/>
    <w:rsid w:val="003871A1"/>
    <w:rsid w:val="00387229"/>
    <w:rsid w:val="00390662"/>
    <w:rsid w:val="00390A78"/>
    <w:rsid w:val="00391010"/>
    <w:rsid w:val="00391053"/>
    <w:rsid w:val="00391FB6"/>
    <w:rsid w:val="0039219C"/>
    <w:rsid w:val="00392C6F"/>
    <w:rsid w:val="003936D3"/>
    <w:rsid w:val="00393BC5"/>
    <w:rsid w:val="0039409A"/>
    <w:rsid w:val="003942AF"/>
    <w:rsid w:val="003961BB"/>
    <w:rsid w:val="003962D5"/>
    <w:rsid w:val="003968E3"/>
    <w:rsid w:val="00396DAC"/>
    <w:rsid w:val="00397010"/>
    <w:rsid w:val="00397540"/>
    <w:rsid w:val="003A03DA"/>
    <w:rsid w:val="003A0616"/>
    <w:rsid w:val="003A07F7"/>
    <w:rsid w:val="003A1306"/>
    <w:rsid w:val="003A20D8"/>
    <w:rsid w:val="003A2BA5"/>
    <w:rsid w:val="003A3DBD"/>
    <w:rsid w:val="003A6F7E"/>
    <w:rsid w:val="003B05A6"/>
    <w:rsid w:val="003B0E7A"/>
    <w:rsid w:val="003B22F5"/>
    <w:rsid w:val="003B38E0"/>
    <w:rsid w:val="003B3CAF"/>
    <w:rsid w:val="003B4335"/>
    <w:rsid w:val="003B4E68"/>
    <w:rsid w:val="003B6094"/>
    <w:rsid w:val="003B609B"/>
    <w:rsid w:val="003B67B5"/>
    <w:rsid w:val="003C0284"/>
    <w:rsid w:val="003C1952"/>
    <w:rsid w:val="003C2A71"/>
    <w:rsid w:val="003C2B90"/>
    <w:rsid w:val="003C30A4"/>
    <w:rsid w:val="003C3B5F"/>
    <w:rsid w:val="003C4EAE"/>
    <w:rsid w:val="003C60A4"/>
    <w:rsid w:val="003C63B1"/>
    <w:rsid w:val="003D0892"/>
    <w:rsid w:val="003D16DA"/>
    <w:rsid w:val="003D1817"/>
    <w:rsid w:val="003D194B"/>
    <w:rsid w:val="003D1C58"/>
    <w:rsid w:val="003D24DC"/>
    <w:rsid w:val="003D2731"/>
    <w:rsid w:val="003D3568"/>
    <w:rsid w:val="003D4114"/>
    <w:rsid w:val="003D41A2"/>
    <w:rsid w:val="003D5170"/>
    <w:rsid w:val="003D58B5"/>
    <w:rsid w:val="003D5F71"/>
    <w:rsid w:val="003D609C"/>
    <w:rsid w:val="003D60FA"/>
    <w:rsid w:val="003D7F46"/>
    <w:rsid w:val="003E0569"/>
    <w:rsid w:val="003E08E4"/>
    <w:rsid w:val="003E1C8C"/>
    <w:rsid w:val="003E37C9"/>
    <w:rsid w:val="003E38EE"/>
    <w:rsid w:val="003E3908"/>
    <w:rsid w:val="003E3F4D"/>
    <w:rsid w:val="003E4994"/>
    <w:rsid w:val="003E49DA"/>
    <w:rsid w:val="003E530D"/>
    <w:rsid w:val="003E571A"/>
    <w:rsid w:val="003E58E6"/>
    <w:rsid w:val="003E6191"/>
    <w:rsid w:val="003E6909"/>
    <w:rsid w:val="003E715F"/>
    <w:rsid w:val="003E7B34"/>
    <w:rsid w:val="003E7C26"/>
    <w:rsid w:val="003F017A"/>
    <w:rsid w:val="003F2369"/>
    <w:rsid w:val="003F26A4"/>
    <w:rsid w:val="003F2D82"/>
    <w:rsid w:val="003F3C74"/>
    <w:rsid w:val="003F3D62"/>
    <w:rsid w:val="003F3FF4"/>
    <w:rsid w:val="003F5ACC"/>
    <w:rsid w:val="003F71B1"/>
    <w:rsid w:val="003F767D"/>
    <w:rsid w:val="00400C87"/>
    <w:rsid w:val="00400DA8"/>
    <w:rsid w:val="00402222"/>
    <w:rsid w:val="00402343"/>
    <w:rsid w:val="00402EBA"/>
    <w:rsid w:val="004034B5"/>
    <w:rsid w:val="00403B80"/>
    <w:rsid w:val="00404A6D"/>
    <w:rsid w:val="004050AF"/>
    <w:rsid w:val="00407E06"/>
    <w:rsid w:val="00410750"/>
    <w:rsid w:val="004121F9"/>
    <w:rsid w:val="004128C2"/>
    <w:rsid w:val="00412AD1"/>
    <w:rsid w:val="004130BD"/>
    <w:rsid w:val="00413312"/>
    <w:rsid w:val="00413797"/>
    <w:rsid w:val="00413F7E"/>
    <w:rsid w:val="00415538"/>
    <w:rsid w:val="00415B26"/>
    <w:rsid w:val="00416554"/>
    <w:rsid w:val="00416FA2"/>
    <w:rsid w:val="00417478"/>
    <w:rsid w:val="004179E1"/>
    <w:rsid w:val="0042180E"/>
    <w:rsid w:val="00421A27"/>
    <w:rsid w:val="0042208E"/>
    <w:rsid w:val="00422BE4"/>
    <w:rsid w:val="00422F6A"/>
    <w:rsid w:val="00423149"/>
    <w:rsid w:val="004232CA"/>
    <w:rsid w:val="00423A9E"/>
    <w:rsid w:val="00424B38"/>
    <w:rsid w:val="00424E9A"/>
    <w:rsid w:val="004259F9"/>
    <w:rsid w:val="00425C12"/>
    <w:rsid w:val="00426B30"/>
    <w:rsid w:val="004272A3"/>
    <w:rsid w:val="00427772"/>
    <w:rsid w:val="00427F0A"/>
    <w:rsid w:val="00430019"/>
    <w:rsid w:val="0043088A"/>
    <w:rsid w:val="00430B3D"/>
    <w:rsid w:val="00430CFE"/>
    <w:rsid w:val="00431551"/>
    <w:rsid w:val="004316AE"/>
    <w:rsid w:val="00431EB3"/>
    <w:rsid w:val="0043202B"/>
    <w:rsid w:val="0043250A"/>
    <w:rsid w:val="0043253F"/>
    <w:rsid w:val="00433303"/>
    <w:rsid w:val="00433931"/>
    <w:rsid w:val="004347B3"/>
    <w:rsid w:val="0043486C"/>
    <w:rsid w:val="00434891"/>
    <w:rsid w:val="00434D80"/>
    <w:rsid w:val="00435115"/>
    <w:rsid w:val="004354F8"/>
    <w:rsid w:val="00435B20"/>
    <w:rsid w:val="00436CDC"/>
    <w:rsid w:val="00436E30"/>
    <w:rsid w:val="00437527"/>
    <w:rsid w:val="00440092"/>
    <w:rsid w:val="00440494"/>
    <w:rsid w:val="00440500"/>
    <w:rsid w:val="00442678"/>
    <w:rsid w:val="004447D4"/>
    <w:rsid w:val="004448FD"/>
    <w:rsid w:val="00444E51"/>
    <w:rsid w:val="00445316"/>
    <w:rsid w:val="00445B3B"/>
    <w:rsid w:val="00446180"/>
    <w:rsid w:val="00450252"/>
    <w:rsid w:val="00450B2C"/>
    <w:rsid w:val="00450B86"/>
    <w:rsid w:val="0045216B"/>
    <w:rsid w:val="004521AC"/>
    <w:rsid w:val="0045345F"/>
    <w:rsid w:val="004535FF"/>
    <w:rsid w:val="004537AF"/>
    <w:rsid w:val="00453DAB"/>
    <w:rsid w:val="0045521D"/>
    <w:rsid w:val="00455657"/>
    <w:rsid w:val="00455BF4"/>
    <w:rsid w:val="004609CA"/>
    <w:rsid w:val="0046114D"/>
    <w:rsid w:val="00461915"/>
    <w:rsid w:val="0046203E"/>
    <w:rsid w:val="00462109"/>
    <w:rsid w:val="00462989"/>
    <w:rsid w:val="00462DBD"/>
    <w:rsid w:val="004631EC"/>
    <w:rsid w:val="00463D0A"/>
    <w:rsid w:val="0046403C"/>
    <w:rsid w:val="00465823"/>
    <w:rsid w:val="0046795C"/>
    <w:rsid w:val="00470599"/>
    <w:rsid w:val="004708F4"/>
    <w:rsid w:val="004709B4"/>
    <w:rsid w:val="0047136F"/>
    <w:rsid w:val="00472BDF"/>
    <w:rsid w:val="00472C36"/>
    <w:rsid w:val="00473C23"/>
    <w:rsid w:val="00473E84"/>
    <w:rsid w:val="004748E9"/>
    <w:rsid w:val="004759CB"/>
    <w:rsid w:val="0047641C"/>
    <w:rsid w:val="004767BC"/>
    <w:rsid w:val="00477789"/>
    <w:rsid w:val="0048147F"/>
    <w:rsid w:val="004816EF"/>
    <w:rsid w:val="00481E77"/>
    <w:rsid w:val="00482040"/>
    <w:rsid w:val="00482B8D"/>
    <w:rsid w:val="004834EB"/>
    <w:rsid w:val="00483606"/>
    <w:rsid w:val="00484E8E"/>
    <w:rsid w:val="00485E4D"/>
    <w:rsid w:val="004865D7"/>
    <w:rsid w:val="0048695B"/>
    <w:rsid w:val="004871F9"/>
    <w:rsid w:val="00487E10"/>
    <w:rsid w:val="00487E94"/>
    <w:rsid w:val="004908B0"/>
    <w:rsid w:val="00490EE1"/>
    <w:rsid w:val="004910ED"/>
    <w:rsid w:val="00491469"/>
    <w:rsid w:val="004918A0"/>
    <w:rsid w:val="00492572"/>
    <w:rsid w:val="0049293D"/>
    <w:rsid w:val="0049324E"/>
    <w:rsid w:val="00494DA0"/>
    <w:rsid w:val="00494EFE"/>
    <w:rsid w:val="00495610"/>
    <w:rsid w:val="004973A8"/>
    <w:rsid w:val="004973C1"/>
    <w:rsid w:val="004A0A13"/>
    <w:rsid w:val="004A0C40"/>
    <w:rsid w:val="004A0F12"/>
    <w:rsid w:val="004A1632"/>
    <w:rsid w:val="004A176F"/>
    <w:rsid w:val="004A1FC5"/>
    <w:rsid w:val="004A272E"/>
    <w:rsid w:val="004A278C"/>
    <w:rsid w:val="004A29F4"/>
    <w:rsid w:val="004A3575"/>
    <w:rsid w:val="004A3732"/>
    <w:rsid w:val="004A3E89"/>
    <w:rsid w:val="004A3F93"/>
    <w:rsid w:val="004A45E7"/>
    <w:rsid w:val="004A47EF"/>
    <w:rsid w:val="004A4EAF"/>
    <w:rsid w:val="004A5125"/>
    <w:rsid w:val="004B00B2"/>
    <w:rsid w:val="004B00C9"/>
    <w:rsid w:val="004B18B6"/>
    <w:rsid w:val="004B1E6A"/>
    <w:rsid w:val="004B2ED8"/>
    <w:rsid w:val="004B4008"/>
    <w:rsid w:val="004B42F4"/>
    <w:rsid w:val="004B5F15"/>
    <w:rsid w:val="004B644A"/>
    <w:rsid w:val="004B65AD"/>
    <w:rsid w:val="004B7227"/>
    <w:rsid w:val="004B7D65"/>
    <w:rsid w:val="004C02CA"/>
    <w:rsid w:val="004C1D81"/>
    <w:rsid w:val="004C3777"/>
    <w:rsid w:val="004C3933"/>
    <w:rsid w:val="004C4324"/>
    <w:rsid w:val="004C4D78"/>
    <w:rsid w:val="004C5690"/>
    <w:rsid w:val="004C5BCD"/>
    <w:rsid w:val="004C6CB9"/>
    <w:rsid w:val="004C7BC5"/>
    <w:rsid w:val="004C7C82"/>
    <w:rsid w:val="004C7DB0"/>
    <w:rsid w:val="004D0270"/>
    <w:rsid w:val="004D0826"/>
    <w:rsid w:val="004D0AA1"/>
    <w:rsid w:val="004D11F1"/>
    <w:rsid w:val="004D1453"/>
    <w:rsid w:val="004D1457"/>
    <w:rsid w:val="004D154B"/>
    <w:rsid w:val="004D168F"/>
    <w:rsid w:val="004D17D2"/>
    <w:rsid w:val="004D1C6E"/>
    <w:rsid w:val="004D2B81"/>
    <w:rsid w:val="004D3D68"/>
    <w:rsid w:val="004D3E3E"/>
    <w:rsid w:val="004D3EA7"/>
    <w:rsid w:val="004D478F"/>
    <w:rsid w:val="004D490F"/>
    <w:rsid w:val="004D49E6"/>
    <w:rsid w:val="004D5690"/>
    <w:rsid w:val="004D59F5"/>
    <w:rsid w:val="004D5D5C"/>
    <w:rsid w:val="004D6D6E"/>
    <w:rsid w:val="004D718F"/>
    <w:rsid w:val="004D7D05"/>
    <w:rsid w:val="004D7D5E"/>
    <w:rsid w:val="004E09E1"/>
    <w:rsid w:val="004E0C26"/>
    <w:rsid w:val="004E1932"/>
    <w:rsid w:val="004E1BAF"/>
    <w:rsid w:val="004E1E64"/>
    <w:rsid w:val="004E207F"/>
    <w:rsid w:val="004E30C3"/>
    <w:rsid w:val="004E3B18"/>
    <w:rsid w:val="004E4260"/>
    <w:rsid w:val="004E46F0"/>
    <w:rsid w:val="004E47F0"/>
    <w:rsid w:val="004E4FE5"/>
    <w:rsid w:val="004E563A"/>
    <w:rsid w:val="004E5B03"/>
    <w:rsid w:val="004E6321"/>
    <w:rsid w:val="004E651C"/>
    <w:rsid w:val="004E72F3"/>
    <w:rsid w:val="004E76E7"/>
    <w:rsid w:val="004E7ED2"/>
    <w:rsid w:val="004F0281"/>
    <w:rsid w:val="004F031D"/>
    <w:rsid w:val="004F1EA6"/>
    <w:rsid w:val="004F384D"/>
    <w:rsid w:val="004F3A93"/>
    <w:rsid w:val="004F3F49"/>
    <w:rsid w:val="004F3F53"/>
    <w:rsid w:val="004F4075"/>
    <w:rsid w:val="004F41B0"/>
    <w:rsid w:val="004F41CF"/>
    <w:rsid w:val="004F6726"/>
    <w:rsid w:val="00500E80"/>
    <w:rsid w:val="00502451"/>
    <w:rsid w:val="0050281A"/>
    <w:rsid w:val="00503433"/>
    <w:rsid w:val="00503DD9"/>
    <w:rsid w:val="00503EE7"/>
    <w:rsid w:val="00504572"/>
    <w:rsid w:val="00504A20"/>
    <w:rsid w:val="00504E9A"/>
    <w:rsid w:val="00505193"/>
    <w:rsid w:val="00506105"/>
    <w:rsid w:val="00506CAB"/>
    <w:rsid w:val="0050740F"/>
    <w:rsid w:val="005078B8"/>
    <w:rsid w:val="0051275F"/>
    <w:rsid w:val="00512CF4"/>
    <w:rsid w:val="0051348E"/>
    <w:rsid w:val="00513921"/>
    <w:rsid w:val="0051438B"/>
    <w:rsid w:val="005143BA"/>
    <w:rsid w:val="00514EA1"/>
    <w:rsid w:val="0051564F"/>
    <w:rsid w:val="0051681C"/>
    <w:rsid w:val="00516AC2"/>
    <w:rsid w:val="005170EF"/>
    <w:rsid w:val="0052037F"/>
    <w:rsid w:val="0052170B"/>
    <w:rsid w:val="00521C51"/>
    <w:rsid w:val="00522747"/>
    <w:rsid w:val="005230AE"/>
    <w:rsid w:val="005230EF"/>
    <w:rsid w:val="0052315F"/>
    <w:rsid w:val="005237DE"/>
    <w:rsid w:val="00523A80"/>
    <w:rsid w:val="00523F5F"/>
    <w:rsid w:val="00523F67"/>
    <w:rsid w:val="005248A0"/>
    <w:rsid w:val="00524955"/>
    <w:rsid w:val="0052508D"/>
    <w:rsid w:val="00527EA1"/>
    <w:rsid w:val="00530129"/>
    <w:rsid w:val="005306F7"/>
    <w:rsid w:val="00531596"/>
    <w:rsid w:val="005315DC"/>
    <w:rsid w:val="005317CB"/>
    <w:rsid w:val="00531B1E"/>
    <w:rsid w:val="00531E1A"/>
    <w:rsid w:val="0053280F"/>
    <w:rsid w:val="00533B77"/>
    <w:rsid w:val="00533E5A"/>
    <w:rsid w:val="00533EA3"/>
    <w:rsid w:val="005357B8"/>
    <w:rsid w:val="00535BAC"/>
    <w:rsid w:val="00535E38"/>
    <w:rsid w:val="00537CB4"/>
    <w:rsid w:val="005404EB"/>
    <w:rsid w:val="005405F8"/>
    <w:rsid w:val="00541CA4"/>
    <w:rsid w:val="00541D16"/>
    <w:rsid w:val="00542C96"/>
    <w:rsid w:val="00542ED1"/>
    <w:rsid w:val="00543FAF"/>
    <w:rsid w:val="0054449C"/>
    <w:rsid w:val="005444E7"/>
    <w:rsid w:val="00544712"/>
    <w:rsid w:val="0054633A"/>
    <w:rsid w:val="0054639E"/>
    <w:rsid w:val="005479E7"/>
    <w:rsid w:val="00550AD9"/>
    <w:rsid w:val="00550E94"/>
    <w:rsid w:val="00551A73"/>
    <w:rsid w:val="0055220F"/>
    <w:rsid w:val="00552E5D"/>
    <w:rsid w:val="00552F26"/>
    <w:rsid w:val="005532C5"/>
    <w:rsid w:val="00553874"/>
    <w:rsid w:val="0055486D"/>
    <w:rsid w:val="005559E9"/>
    <w:rsid w:val="00556291"/>
    <w:rsid w:val="00556562"/>
    <w:rsid w:val="0055768C"/>
    <w:rsid w:val="00557E50"/>
    <w:rsid w:val="00557FFE"/>
    <w:rsid w:val="005601DB"/>
    <w:rsid w:val="00560244"/>
    <w:rsid w:val="005602AD"/>
    <w:rsid w:val="00560504"/>
    <w:rsid w:val="005609E5"/>
    <w:rsid w:val="005618A6"/>
    <w:rsid w:val="00561B61"/>
    <w:rsid w:val="00561C67"/>
    <w:rsid w:val="005630E5"/>
    <w:rsid w:val="00563FF0"/>
    <w:rsid w:val="00565566"/>
    <w:rsid w:val="00565A7B"/>
    <w:rsid w:val="00565E18"/>
    <w:rsid w:val="0056603B"/>
    <w:rsid w:val="005677BD"/>
    <w:rsid w:val="00567920"/>
    <w:rsid w:val="00567C13"/>
    <w:rsid w:val="005701FE"/>
    <w:rsid w:val="00570FE8"/>
    <w:rsid w:val="0057119E"/>
    <w:rsid w:val="0057240E"/>
    <w:rsid w:val="00572DBC"/>
    <w:rsid w:val="00575BA6"/>
    <w:rsid w:val="00575C83"/>
    <w:rsid w:val="00576D02"/>
    <w:rsid w:val="0057780D"/>
    <w:rsid w:val="005803C5"/>
    <w:rsid w:val="005806CC"/>
    <w:rsid w:val="00580960"/>
    <w:rsid w:val="00580D70"/>
    <w:rsid w:val="0058146E"/>
    <w:rsid w:val="00581ABE"/>
    <w:rsid w:val="005834D6"/>
    <w:rsid w:val="00584A75"/>
    <w:rsid w:val="00584BAE"/>
    <w:rsid w:val="00585160"/>
    <w:rsid w:val="00586439"/>
    <w:rsid w:val="0058646A"/>
    <w:rsid w:val="00586A25"/>
    <w:rsid w:val="0058766C"/>
    <w:rsid w:val="00587C0B"/>
    <w:rsid w:val="00590393"/>
    <w:rsid w:val="00590F1B"/>
    <w:rsid w:val="00591EE1"/>
    <w:rsid w:val="005931A3"/>
    <w:rsid w:val="0059369B"/>
    <w:rsid w:val="00593AEF"/>
    <w:rsid w:val="00594104"/>
    <w:rsid w:val="005950E0"/>
    <w:rsid w:val="0059541D"/>
    <w:rsid w:val="00595501"/>
    <w:rsid w:val="00595C4C"/>
    <w:rsid w:val="00596855"/>
    <w:rsid w:val="00596F0E"/>
    <w:rsid w:val="00597ECE"/>
    <w:rsid w:val="00597F93"/>
    <w:rsid w:val="005A0011"/>
    <w:rsid w:val="005A0361"/>
    <w:rsid w:val="005A05E3"/>
    <w:rsid w:val="005A06B7"/>
    <w:rsid w:val="005A0B4A"/>
    <w:rsid w:val="005A1233"/>
    <w:rsid w:val="005A1FAB"/>
    <w:rsid w:val="005A2921"/>
    <w:rsid w:val="005A2AD2"/>
    <w:rsid w:val="005A32DC"/>
    <w:rsid w:val="005A48CF"/>
    <w:rsid w:val="005A5839"/>
    <w:rsid w:val="005A5856"/>
    <w:rsid w:val="005A64BD"/>
    <w:rsid w:val="005A655C"/>
    <w:rsid w:val="005A6773"/>
    <w:rsid w:val="005A6871"/>
    <w:rsid w:val="005A7243"/>
    <w:rsid w:val="005A763A"/>
    <w:rsid w:val="005B09B8"/>
    <w:rsid w:val="005B0C23"/>
    <w:rsid w:val="005B19B8"/>
    <w:rsid w:val="005B1F54"/>
    <w:rsid w:val="005B2276"/>
    <w:rsid w:val="005B2BC5"/>
    <w:rsid w:val="005B3334"/>
    <w:rsid w:val="005B3C32"/>
    <w:rsid w:val="005B46C7"/>
    <w:rsid w:val="005B4951"/>
    <w:rsid w:val="005B49DE"/>
    <w:rsid w:val="005B4DCA"/>
    <w:rsid w:val="005B5990"/>
    <w:rsid w:val="005B5F12"/>
    <w:rsid w:val="005B69F7"/>
    <w:rsid w:val="005B711A"/>
    <w:rsid w:val="005B735C"/>
    <w:rsid w:val="005B73AB"/>
    <w:rsid w:val="005B755C"/>
    <w:rsid w:val="005B7994"/>
    <w:rsid w:val="005C0553"/>
    <w:rsid w:val="005C16FA"/>
    <w:rsid w:val="005C21C0"/>
    <w:rsid w:val="005C2F45"/>
    <w:rsid w:val="005C330E"/>
    <w:rsid w:val="005C34C3"/>
    <w:rsid w:val="005C3EAF"/>
    <w:rsid w:val="005C411B"/>
    <w:rsid w:val="005C4EF5"/>
    <w:rsid w:val="005C5531"/>
    <w:rsid w:val="005C6421"/>
    <w:rsid w:val="005C6E75"/>
    <w:rsid w:val="005C72D4"/>
    <w:rsid w:val="005C79DE"/>
    <w:rsid w:val="005C7E38"/>
    <w:rsid w:val="005D0DB4"/>
    <w:rsid w:val="005D0DD2"/>
    <w:rsid w:val="005D0DFA"/>
    <w:rsid w:val="005D2249"/>
    <w:rsid w:val="005D362C"/>
    <w:rsid w:val="005D36B8"/>
    <w:rsid w:val="005D37F8"/>
    <w:rsid w:val="005D3D09"/>
    <w:rsid w:val="005D4C8E"/>
    <w:rsid w:val="005D532B"/>
    <w:rsid w:val="005D55B7"/>
    <w:rsid w:val="005D5F67"/>
    <w:rsid w:val="005D6A44"/>
    <w:rsid w:val="005D6BE2"/>
    <w:rsid w:val="005D7088"/>
    <w:rsid w:val="005E0F05"/>
    <w:rsid w:val="005E1BAF"/>
    <w:rsid w:val="005E2144"/>
    <w:rsid w:val="005E31FF"/>
    <w:rsid w:val="005E3905"/>
    <w:rsid w:val="005E3D72"/>
    <w:rsid w:val="005E4532"/>
    <w:rsid w:val="005E63DD"/>
    <w:rsid w:val="005E68FB"/>
    <w:rsid w:val="005E6B6A"/>
    <w:rsid w:val="005F010F"/>
    <w:rsid w:val="005F03DA"/>
    <w:rsid w:val="005F07DA"/>
    <w:rsid w:val="005F0C8D"/>
    <w:rsid w:val="005F2151"/>
    <w:rsid w:val="005F2656"/>
    <w:rsid w:val="005F2C7B"/>
    <w:rsid w:val="005F2F91"/>
    <w:rsid w:val="005F2FA0"/>
    <w:rsid w:val="005F3283"/>
    <w:rsid w:val="005F33CC"/>
    <w:rsid w:val="005F39B8"/>
    <w:rsid w:val="005F458A"/>
    <w:rsid w:val="005F4615"/>
    <w:rsid w:val="005F4C65"/>
    <w:rsid w:val="005F4D1F"/>
    <w:rsid w:val="005F508F"/>
    <w:rsid w:val="005F58DD"/>
    <w:rsid w:val="005F5EC6"/>
    <w:rsid w:val="005F67BD"/>
    <w:rsid w:val="005F6FC5"/>
    <w:rsid w:val="005F7047"/>
    <w:rsid w:val="00600357"/>
    <w:rsid w:val="00600FAC"/>
    <w:rsid w:val="0060136A"/>
    <w:rsid w:val="006015BF"/>
    <w:rsid w:val="00601A72"/>
    <w:rsid w:val="0060242A"/>
    <w:rsid w:val="00602CCA"/>
    <w:rsid w:val="00603C06"/>
    <w:rsid w:val="00604BA0"/>
    <w:rsid w:val="006053CC"/>
    <w:rsid w:val="00605B29"/>
    <w:rsid w:val="00606B52"/>
    <w:rsid w:val="00606E2E"/>
    <w:rsid w:val="00606EBB"/>
    <w:rsid w:val="006072F2"/>
    <w:rsid w:val="0060770D"/>
    <w:rsid w:val="006077D6"/>
    <w:rsid w:val="00607FCA"/>
    <w:rsid w:val="00611F26"/>
    <w:rsid w:val="0061268B"/>
    <w:rsid w:val="00612767"/>
    <w:rsid w:val="006142BE"/>
    <w:rsid w:val="0061466C"/>
    <w:rsid w:val="00614F97"/>
    <w:rsid w:val="006158E4"/>
    <w:rsid w:val="00616C3D"/>
    <w:rsid w:val="006170A7"/>
    <w:rsid w:val="00620095"/>
    <w:rsid w:val="00621869"/>
    <w:rsid w:val="00621B6D"/>
    <w:rsid w:val="00622ADF"/>
    <w:rsid w:val="00622E84"/>
    <w:rsid w:val="0062326B"/>
    <w:rsid w:val="00623542"/>
    <w:rsid w:val="00624A9A"/>
    <w:rsid w:val="00624AF1"/>
    <w:rsid w:val="006256E0"/>
    <w:rsid w:val="0062739A"/>
    <w:rsid w:val="00627E5C"/>
    <w:rsid w:val="00630026"/>
    <w:rsid w:val="00630B40"/>
    <w:rsid w:val="00633D7F"/>
    <w:rsid w:val="006350CC"/>
    <w:rsid w:val="006359CA"/>
    <w:rsid w:val="00635AC6"/>
    <w:rsid w:val="006360D6"/>
    <w:rsid w:val="006365BD"/>
    <w:rsid w:val="00636777"/>
    <w:rsid w:val="00640838"/>
    <w:rsid w:val="00640C36"/>
    <w:rsid w:val="0064129A"/>
    <w:rsid w:val="00641703"/>
    <w:rsid w:val="00641E01"/>
    <w:rsid w:val="00641FA2"/>
    <w:rsid w:val="0064218E"/>
    <w:rsid w:val="006423A3"/>
    <w:rsid w:val="00642660"/>
    <w:rsid w:val="00642EDF"/>
    <w:rsid w:val="00643ABB"/>
    <w:rsid w:val="00643D72"/>
    <w:rsid w:val="00644264"/>
    <w:rsid w:val="006445EE"/>
    <w:rsid w:val="00644747"/>
    <w:rsid w:val="00644D33"/>
    <w:rsid w:val="0064571C"/>
    <w:rsid w:val="00646836"/>
    <w:rsid w:val="00647641"/>
    <w:rsid w:val="006476FD"/>
    <w:rsid w:val="006478DB"/>
    <w:rsid w:val="00650B73"/>
    <w:rsid w:val="00650C15"/>
    <w:rsid w:val="0065113B"/>
    <w:rsid w:val="006528D3"/>
    <w:rsid w:val="00653381"/>
    <w:rsid w:val="006542C4"/>
    <w:rsid w:val="00654E11"/>
    <w:rsid w:val="00654F09"/>
    <w:rsid w:val="00655122"/>
    <w:rsid w:val="00656455"/>
    <w:rsid w:val="00656C81"/>
    <w:rsid w:val="006574FE"/>
    <w:rsid w:val="00660FE2"/>
    <w:rsid w:val="006614D7"/>
    <w:rsid w:val="00662EF0"/>
    <w:rsid w:val="00663034"/>
    <w:rsid w:val="00663B5B"/>
    <w:rsid w:val="00663C00"/>
    <w:rsid w:val="00663F04"/>
    <w:rsid w:val="006643AB"/>
    <w:rsid w:val="00664727"/>
    <w:rsid w:val="00664A56"/>
    <w:rsid w:val="00664D1B"/>
    <w:rsid w:val="006651D1"/>
    <w:rsid w:val="006660EB"/>
    <w:rsid w:val="00666C6E"/>
    <w:rsid w:val="0066771C"/>
    <w:rsid w:val="006715B2"/>
    <w:rsid w:val="00671788"/>
    <w:rsid w:val="00672597"/>
    <w:rsid w:val="00672D51"/>
    <w:rsid w:val="00672D93"/>
    <w:rsid w:val="00673820"/>
    <w:rsid w:val="00673C1D"/>
    <w:rsid w:val="0067411D"/>
    <w:rsid w:val="00674492"/>
    <w:rsid w:val="006746A8"/>
    <w:rsid w:val="00674AE1"/>
    <w:rsid w:val="00674BB5"/>
    <w:rsid w:val="00675767"/>
    <w:rsid w:val="00675935"/>
    <w:rsid w:val="00676047"/>
    <w:rsid w:val="0067661D"/>
    <w:rsid w:val="006767B3"/>
    <w:rsid w:val="006773EA"/>
    <w:rsid w:val="00677ACF"/>
    <w:rsid w:val="00677C9D"/>
    <w:rsid w:val="00680623"/>
    <w:rsid w:val="0068083C"/>
    <w:rsid w:val="00680EF9"/>
    <w:rsid w:val="00681781"/>
    <w:rsid w:val="006818F1"/>
    <w:rsid w:val="00681E6E"/>
    <w:rsid w:val="006821FF"/>
    <w:rsid w:val="00682841"/>
    <w:rsid w:val="006838D4"/>
    <w:rsid w:val="00685BB4"/>
    <w:rsid w:val="006867F6"/>
    <w:rsid w:val="00686831"/>
    <w:rsid w:val="00686E29"/>
    <w:rsid w:val="00686F5E"/>
    <w:rsid w:val="00687718"/>
    <w:rsid w:val="00692271"/>
    <w:rsid w:val="006926EE"/>
    <w:rsid w:val="00692788"/>
    <w:rsid w:val="00693024"/>
    <w:rsid w:val="00693972"/>
    <w:rsid w:val="00693A12"/>
    <w:rsid w:val="00694BB2"/>
    <w:rsid w:val="00695625"/>
    <w:rsid w:val="00695B57"/>
    <w:rsid w:val="00695DFD"/>
    <w:rsid w:val="00696B9B"/>
    <w:rsid w:val="00696F00"/>
    <w:rsid w:val="00697746"/>
    <w:rsid w:val="006977FB"/>
    <w:rsid w:val="006A0D39"/>
    <w:rsid w:val="006A13A1"/>
    <w:rsid w:val="006A1CAB"/>
    <w:rsid w:val="006A227F"/>
    <w:rsid w:val="006A2963"/>
    <w:rsid w:val="006A3034"/>
    <w:rsid w:val="006A317E"/>
    <w:rsid w:val="006A4211"/>
    <w:rsid w:val="006A45D9"/>
    <w:rsid w:val="006A47C2"/>
    <w:rsid w:val="006A4A8E"/>
    <w:rsid w:val="006A6AA1"/>
    <w:rsid w:val="006A6B03"/>
    <w:rsid w:val="006A6BA9"/>
    <w:rsid w:val="006A761A"/>
    <w:rsid w:val="006A7AE6"/>
    <w:rsid w:val="006B0562"/>
    <w:rsid w:val="006B070D"/>
    <w:rsid w:val="006B0881"/>
    <w:rsid w:val="006B1169"/>
    <w:rsid w:val="006B13E9"/>
    <w:rsid w:val="006B1425"/>
    <w:rsid w:val="006B29E4"/>
    <w:rsid w:val="006B301D"/>
    <w:rsid w:val="006B3E43"/>
    <w:rsid w:val="006B4E73"/>
    <w:rsid w:val="006B7553"/>
    <w:rsid w:val="006B7A6C"/>
    <w:rsid w:val="006B7AC9"/>
    <w:rsid w:val="006B7AE0"/>
    <w:rsid w:val="006C1694"/>
    <w:rsid w:val="006C186D"/>
    <w:rsid w:val="006C1AD0"/>
    <w:rsid w:val="006C2091"/>
    <w:rsid w:val="006C3470"/>
    <w:rsid w:val="006C3BD1"/>
    <w:rsid w:val="006C4D37"/>
    <w:rsid w:val="006C54CB"/>
    <w:rsid w:val="006C5DF0"/>
    <w:rsid w:val="006C66CB"/>
    <w:rsid w:val="006C6739"/>
    <w:rsid w:val="006C6BEF"/>
    <w:rsid w:val="006C6C30"/>
    <w:rsid w:val="006C6CC0"/>
    <w:rsid w:val="006C7F7E"/>
    <w:rsid w:val="006D0369"/>
    <w:rsid w:val="006D09AE"/>
    <w:rsid w:val="006D1E87"/>
    <w:rsid w:val="006D1FA9"/>
    <w:rsid w:val="006D25DA"/>
    <w:rsid w:val="006D2A0F"/>
    <w:rsid w:val="006D2C39"/>
    <w:rsid w:val="006D2D54"/>
    <w:rsid w:val="006D321F"/>
    <w:rsid w:val="006D4039"/>
    <w:rsid w:val="006D41DF"/>
    <w:rsid w:val="006D424D"/>
    <w:rsid w:val="006D4583"/>
    <w:rsid w:val="006D4B71"/>
    <w:rsid w:val="006D4ED7"/>
    <w:rsid w:val="006D6A12"/>
    <w:rsid w:val="006E0ABC"/>
    <w:rsid w:val="006E1A40"/>
    <w:rsid w:val="006E2270"/>
    <w:rsid w:val="006E26AF"/>
    <w:rsid w:val="006E3510"/>
    <w:rsid w:val="006E3CDD"/>
    <w:rsid w:val="006E3E24"/>
    <w:rsid w:val="006E46E4"/>
    <w:rsid w:val="006E475D"/>
    <w:rsid w:val="006E47BF"/>
    <w:rsid w:val="006E5FC3"/>
    <w:rsid w:val="006E63D6"/>
    <w:rsid w:val="006E7409"/>
    <w:rsid w:val="006E7455"/>
    <w:rsid w:val="006E749E"/>
    <w:rsid w:val="006E7791"/>
    <w:rsid w:val="006F09DC"/>
    <w:rsid w:val="006F279A"/>
    <w:rsid w:val="006F2830"/>
    <w:rsid w:val="006F43E6"/>
    <w:rsid w:val="006F4F52"/>
    <w:rsid w:val="006F50FA"/>
    <w:rsid w:val="006F6A0C"/>
    <w:rsid w:val="006F6E8C"/>
    <w:rsid w:val="006F71FF"/>
    <w:rsid w:val="006F73F7"/>
    <w:rsid w:val="006F79A8"/>
    <w:rsid w:val="006F7AF1"/>
    <w:rsid w:val="006F7D9E"/>
    <w:rsid w:val="00702121"/>
    <w:rsid w:val="00702CCA"/>
    <w:rsid w:val="00702D22"/>
    <w:rsid w:val="00703203"/>
    <w:rsid w:val="007045D3"/>
    <w:rsid w:val="0070461A"/>
    <w:rsid w:val="00704BC1"/>
    <w:rsid w:val="00705CE9"/>
    <w:rsid w:val="007062B4"/>
    <w:rsid w:val="007065EC"/>
    <w:rsid w:val="0070672B"/>
    <w:rsid w:val="00706999"/>
    <w:rsid w:val="0070740D"/>
    <w:rsid w:val="00707871"/>
    <w:rsid w:val="007100C8"/>
    <w:rsid w:val="00711B62"/>
    <w:rsid w:val="0071203E"/>
    <w:rsid w:val="00712F1E"/>
    <w:rsid w:val="00715620"/>
    <w:rsid w:val="0071569F"/>
    <w:rsid w:val="00715738"/>
    <w:rsid w:val="00715879"/>
    <w:rsid w:val="007167DB"/>
    <w:rsid w:val="0071743E"/>
    <w:rsid w:val="007177CF"/>
    <w:rsid w:val="00717969"/>
    <w:rsid w:val="00717C3F"/>
    <w:rsid w:val="007203B1"/>
    <w:rsid w:val="007224F6"/>
    <w:rsid w:val="00723F21"/>
    <w:rsid w:val="007254AA"/>
    <w:rsid w:val="007254B0"/>
    <w:rsid w:val="00725662"/>
    <w:rsid w:val="007266FB"/>
    <w:rsid w:val="00727804"/>
    <w:rsid w:val="00727A30"/>
    <w:rsid w:val="00730B6F"/>
    <w:rsid w:val="00730D52"/>
    <w:rsid w:val="00730F57"/>
    <w:rsid w:val="00731013"/>
    <w:rsid w:val="00731851"/>
    <w:rsid w:val="00731A7A"/>
    <w:rsid w:val="007320B0"/>
    <w:rsid w:val="00732163"/>
    <w:rsid w:val="00732A97"/>
    <w:rsid w:val="00733BDF"/>
    <w:rsid w:val="00733F72"/>
    <w:rsid w:val="007354C0"/>
    <w:rsid w:val="00735CA0"/>
    <w:rsid w:val="00736129"/>
    <w:rsid w:val="00736C28"/>
    <w:rsid w:val="0073729E"/>
    <w:rsid w:val="007373EF"/>
    <w:rsid w:val="007377B3"/>
    <w:rsid w:val="0073793A"/>
    <w:rsid w:val="007402BD"/>
    <w:rsid w:val="007425F9"/>
    <w:rsid w:val="007436DF"/>
    <w:rsid w:val="007438A3"/>
    <w:rsid w:val="007440E1"/>
    <w:rsid w:val="007441D5"/>
    <w:rsid w:val="0074465B"/>
    <w:rsid w:val="00746023"/>
    <w:rsid w:val="0074634C"/>
    <w:rsid w:val="007469B6"/>
    <w:rsid w:val="00747A33"/>
    <w:rsid w:val="007500B3"/>
    <w:rsid w:val="00751032"/>
    <w:rsid w:val="00751DD6"/>
    <w:rsid w:val="0075208D"/>
    <w:rsid w:val="007522D7"/>
    <w:rsid w:val="00752C1A"/>
    <w:rsid w:val="0075322D"/>
    <w:rsid w:val="00753D16"/>
    <w:rsid w:val="00754E00"/>
    <w:rsid w:val="00755940"/>
    <w:rsid w:val="007560EC"/>
    <w:rsid w:val="007563D5"/>
    <w:rsid w:val="00756D1C"/>
    <w:rsid w:val="0075757B"/>
    <w:rsid w:val="00757C33"/>
    <w:rsid w:val="007629FD"/>
    <w:rsid w:val="00762F94"/>
    <w:rsid w:val="00763A13"/>
    <w:rsid w:val="00763EF1"/>
    <w:rsid w:val="00764185"/>
    <w:rsid w:val="00764254"/>
    <w:rsid w:val="00764B44"/>
    <w:rsid w:val="00765779"/>
    <w:rsid w:val="00765C13"/>
    <w:rsid w:val="00766019"/>
    <w:rsid w:val="007669D1"/>
    <w:rsid w:val="00766CC2"/>
    <w:rsid w:val="007672A0"/>
    <w:rsid w:val="00767F22"/>
    <w:rsid w:val="007735E8"/>
    <w:rsid w:val="007737C0"/>
    <w:rsid w:val="0077418A"/>
    <w:rsid w:val="0077445F"/>
    <w:rsid w:val="00774798"/>
    <w:rsid w:val="007760A3"/>
    <w:rsid w:val="007768CC"/>
    <w:rsid w:val="00776F76"/>
    <w:rsid w:val="00777524"/>
    <w:rsid w:val="00777D35"/>
    <w:rsid w:val="0078169E"/>
    <w:rsid w:val="00782566"/>
    <w:rsid w:val="00782BD2"/>
    <w:rsid w:val="00783303"/>
    <w:rsid w:val="00786200"/>
    <w:rsid w:val="00786CC5"/>
    <w:rsid w:val="007870A6"/>
    <w:rsid w:val="00787A7D"/>
    <w:rsid w:val="00791CD5"/>
    <w:rsid w:val="00792522"/>
    <w:rsid w:val="00794ADC"/>
    <w:rsid w:val="007954C9"/>
    <w:rsid w:val="00795A8A"/>
    <w:rsid w:val="00795FC2"/>
    <w:rsid w:val="00796034"/>
    <w:rsid w:val="00796CAE"/>
    <w:rsid w:val="00797C27"/>
    <w:rsid w:val="007A0234"/>
    <w:rsid w:val="007A0761"/>
    <w:rsid w:val="007A0BC4"/>
    <w:rsid w:val="007A288D"/>
    <w:rsid w:val="007A2E9E"/>
    <w:rsid w:val="007A48C3"/>
    <w:rsid w:val="007A4FF3"/>
    <w:rsid w:val="007A55DB"/>
    <w:rsid w:val="007A5C33"/>
    <w:rsid w:val="007A5D8B"/>
    <w:rsid w:val="007A5F71"/>
    <w:rsid w:val="007A696D"/>
    <w:rsid w:val="007B020D"/>
    <w:rsid w:val="007B077B"/>
    <w:rsid w:val="007B3717"/>
    <w:rsid w:val="007B491D"/>
    <w:rsid w:val="007B51AD"/>
    <w:rsid w:val="007B5792"/>
    <w:rsid w:val="007B69B6"/>
    <w:rsid w:val="007C07DF"/>
    <w:rsid w:val="007C08F1"/>
    <w:rsid w:val="007C0D21"/>
    <w:rsid w:val="007C10BC"/>
    <w:rsid w:val="007C1433"/>
    <w:rsid w:val="007C1438"/>
    <w:rsid w:val="007C2069"/>
    <w:rsid w:val="007C2133"/>
    <w:rsid w:val="007C2383"/>
    <w:rsid w:val="007C2EF1"/>
    <w:rsid w:val="007C322B"/>
    <w:rsid w:val="007C37B2"/>
    <w:rsid w:val="007C3D66"/>
    <w:rsid w:val="007C3F4D"/>
    <w:rsid w:val="007C4A85"/>
    <w:rsid w:val="007C50CF"/>
    <w:rsid w:val="007C5288"/>
    <w:rsid w:val="007C60A2"/>
    <w:rsid w:val="007C68C8"/>
    <w:rsid w:val="007C6B1D"/>
    <w:rsid w:val="007C7AA7"/>
    <w:rsid w:val="007D06AD"/>
    <w:rsid w:val="007D0CD4"/>
    <w:rsid w:val="007D1C97"/>
    <w:rsid w:val="007D2F26"/>
    <w:rsid w:val="007D4553"/>
    <w:rsid w:val="007D505D"/>
    <w:rsid w:val="007D6E4E"/>
    <w:rsid w:val="007D74C8"/>
    <w:rsid w:val="007E0595"/>
    <w:rsid w:val="007E0DCE"/>
    <w:rsid w:val="007E0FD6"/>
    <w:rsid w:val="007E211C"/>
    <w:rsid w:val="007E239F"/>
    <w:rsid w:val="007E2C29"/>
    <w:rsid w:val="007E2F18"/>
    <w:rsid w:val="007E30DA"/>
    <w:rsid w:val="007E37AB"/>
    <w:rsid w:val="007E4CA9"/>
    <w:rsid w:val="007E4D43"/>
    <w:rsid w:val="007E50A9"/>
    <w:rsid w:val="007E5629"/>
    <w:rsid w:val="007E57C3"/>
    <w:rsid w:val="007E5FAF"/>
    <w:rsid w:val="007E62FF"/>
    <w:rsid w:val="007E678F"/>
    <w:rsid w:val="007E78C8"/>
    <w:rsid w:val="007F051D"/>
    <w:rsid w:val="007F0661"/>
    <w:rsid w:val="007F09D0"/>
    <w:rsid w:val="007F1AAE"/>
    <w:rsid w:val="007F2E4D"/>
    <w:rsid w:val="007F2F84"/>
    <w:rsid w:val="007F35DA"/>
    <w:rsid w:val="007F37D7"/>
    <w:rsid w:val="007F4539"/>
    <w:rsid w:val="007F4753"/>
    <w:rsid w:val="007F4902"/>
    <w:rsid w:val="007F4A69"/>
    <w:rsid w:val="007F4DEA"/>
    <w:rsid w:val="007F69A9"/>
    <w:rsid w:val="007F6B49"/>
    <w:rsid w:val="007F731B"/>
    <w:rsid w:val="007F796D"/>
    <w:rsid w:val="007F7BC5"/>
    <w:rsid w:val="008000B8"/>
    <w:rsid w:val="00800156"/>
    <w:rsid w:val="0080074E"/>
    <w:rsid w:val="00800888"/>
    <w:rsid w:val="00800C28"/>
    <w:rsid w:val="00800CCE"/>
    <w:rsid w:val="008013E6"/>
    <w:rsid w:val="0080141D"/>
    <w:rsid w:val="00801749"/>
    <w:rsid w:val="00801B1F"/>
    <w:rsid w:val="008032D3"/>
    <w:rsid w:val="00804AC0"/>
    <w:rsid w:val="008057DB"/>
    <w:rsid w:val="0080581C"/>
    <w:rsid w:val="00810B5B"/>
    <w:rsid w:val="008112F4"/>
    <w:rsid w:val="00811369"/>
    <w:rsid w:val="00812818"/>
    <w:rsid w:val="00813B74"/>
    <w:rsid w:val="00813CB3"/>
    <w:rsid w:val="00813ECB"/>
    <w:rsid w:val="0081461F"/>
    <w:rsid w:val="008157F9"/>
    <w:rsid w:val="00815EFA"/>
    <w:rsid w:val="0081791C"/>
    <w:rsid w:val="00820FFF"/>
    <w:rsid w:val="008218C8"/>
    <w:rsid w:val="008223CC"/>
    <w:rsid w:val="00822FCF"/>
    <w:rsid w:val="008236BD"/>
    <w:rsid w:val="00824E1D"/>
    <w:rsid w:val="008264F5"/>
    <w:rsid w:val="00830615"/>
    <w:rsid w:val="00831296"/>
    <w:rsid w:val="008317E7"/>
    <w:rsid w:val="008324B7"/>
    <w:rsid w:val="00832893"/>
    <w:rsid w:val="008328F5"/>
    <w:rsid w:val="00833002"/>
    <w:rsid w:val="008338F7"/>
    <w:rsid w:val="00833A3D"/>
    <w:rsid w:val="00836A38"/>
    <w:rsid w:val="00836D1C"/>
    <w:rsid w:val="00837488"/>
    <w:rsid w:val="00841495"/>
    <w:rsid w:val="00841EB5"/>
    <w:rsid w:val="0084224B"/>
    <w:rsid w:val="008427D5"/>
    <w:rsid w:val="00842BD0"/>
    <w:rsid w:val="00842DFB"/>
    <w:rsid w:val="00843038"/>
    <w:rsid w:val="00844823"/>
    <w:rsid w:val="008448EA"/>
    <w:rsid w:val="00845A76"/>
    <w:rsid w:val="00846E8D"/>
    <w:rsid w:val="00847ADA"/>
    <w:rsid w:val="00847F70"/>
    <w:rsid w:val="0085023F"/>
    <w:rsid w:val="00851EB8"/>
    <w:rsid w:val="008525DA"/>
    <w:rsid w:val="0085276E"/>
    <w:rsid w:val="00852BB1"/>
    <w:rsid w:val="00853050"/>
    <w:rsid w:val="00853094"/>
    <w:rsid w:val="0085382D"/>
    <w:rsid w:val="008557B7"/>
    <w:rsid w:val="00855E4C"/>
    <w:rsid w:val="00856944"/>
    <w:rsid w:val="008579F9"/>
    <w:rsid w:val="008604CF"/>
    <w:rsid w:val="00860E84"/>
    <w:rsid w:val="00861261"/>
    <w:rsid w:val="00861534"/>
    <w:rsid w:val="00861914"/>
    <w:rsid w:val="0086197F"/>
    <w:rsid w:val="00861B9C"/>
    <w:rsid w:val="00863381"/>
    <w:rsid w:val="00863C5D"/>
    <w:rsid w:val="00863DC1"/>
    <w:rsid w:val="00863E11"/>
    <w:rsid w:val="00863F0D"/>
    <w:rsid w:val="00864730"/>
    <w:rsid w:val="00865778"/>
    <w:rsid w:val="008660BC"/>
    <w:rsid w:val="00866232"/>
    <w:rsid w:val="00867C8B"/>
    <w:rsid w:val="00870537"/>
    <w:rsid w:val="008707D1"/>
    <w:rsid w:val="00870F2D"/>
    <w:rsid w:val="00870FAF"/>
    <w:rsid w:val="00871806"/>
    <w:rsid w:val="00871E3A"/>
    <w:rsid w:val="00872403"/>
    <w:rsid w:val="008726C9"/>
    <w:rsid w:val="00872D5B"/>
    <w:rsid w:val="00873085"/>
    <w:rsid w:val="00873102"/>
    <w:rsid w:val="00873997"/>
    <w:rsid w:val="00873CD6"/>
    <w:rsid w:val="008740BF"/>
    <w:rsid w:val="0087416F"/>
    <w:rsid w:val="008747F8"/>
    <w:rsid w:val="00877176"/>
    <w:rsid w:val="008773E0"/>
    <w:rsid w:val="008773EC"/>
    <w:rsid w:val="00877463"/>
    <w:rsid w:val="00877B43"/>
    <w:rsid w:val="00877E40"/>
    <w:rsid w:val="008800B5"/>
    <w:rsid w:val="0088076B"/>
    <w:rsid w:val="00880D62"/>
    <w:rsid w:val="0088168C"/>
    <w:rsid w:val="008816B8"/>
    <w:rsid w:val="0088201B"/>
    <w:rsid w:val="00882034"/>
    <w:rsid w:val="00882444"/>
    <w:rsid w:val="008838D1"/>
    <w:rsid w:val="00884AEA"/>
    <w:rsid w:val="00884B1D"/>
    <w:rsid w:val="008857C2"/>
    <w:rsid w:val="00885C1E"/>
    <w:rsid w:val="00886C99"/>
    <w:rsid w:val="008878A3"/>
    <w:rsid w:val="008878E5"/>
    <w:rsid w:val="00887A18"/>
    <w:rsid w:val="00890A91"/>
    <w:rsid w:val="00890DC0"/>
    <w:rsid w:val="00891339"/>
    <w:rsid w:val="008914E6"/>
    <w:rsid w:val="00891EB9"/>
    <w:rsid w:val="008944C0"/>
    <w:rsid w:val="008951D2"/>
    <w:rsid w:val="00895615"/>
    <w:rsid w:val="008958F6"/>
    <w:rsid w:val="00895ABE"/>
    <w:rsid w:val="00896039"/>
    <w:rsid w:val="0089613B"/>
    <w:rsid w:val="0089756B"/>
    <w:rsid w:val="008A037B"/>
    <w:rsid w:val="008A0DFA"/>
    <w:rsid w:val="008A1119"/>
    <w:rsid w:val="008A20B4"/>
    <w:rsid w:val="008A28DF"/>
    <w:rsid w:val="008A2D71"/>
    <w:rsid w:val="008A3214"/>
    <w:rsid w:val="008A33FD"/>
    <w:rsid w:val="008A3706"/>
    <w:rsid w:val="008A3B47"/>
    <w:rsid w:val="008A3F34"/>
    <w:rsid w:val="008A50F5"/>
    <w:rsid w:val="008A51AB"/>
    <w:rsid w:val="008A569E"/>
    <w:rsid w:val="008A58D8"/>
    <w:rsid w:val="008A6625"/>
    <w:rsid w:val="008A67C5"/>
    <w:rsid w:val="008A6BD4"/>
    <w:rsid w:val="008A6C1D"/>
    <w:rsid w:val="008B0547"/>
    <w:rsid w:val="008B0BED"/>
    <w:rsid w:val="008B1724"/>
    <w:rsid w:val="008B1866"/>
    <w:rsid w:val="008B1FFC"/>
    <w:rsid w:val="008B210E"/>
    <w:rsid w:val="008B22EE"/>
    <w:rsid w:val="008B3212"/>
    <w:rsid w:val="008B40E6"/>
    <w:rsid w:val="008B634D"/>
    <w:rsid w:val="008B64A2"/>
    <w:rsid w:val="008B6B93"/>
    <w:rsid w:val="008B6F34"/>
    <w:rsid w:val="008B7231"/>
    <w:rsid w:val="008B79C2"/>
    <w:rsid w:val="008C015D"/>
    <w:rsid w:val="008C08C6"/>
    <w:rsid w:val="008C1859"/>
    <w:rsid w:val="008C1A3E"/>
    <w:rsid w:val="008C1FB7"/>
    <w:rsid w:val="008C2DFA"/>
    <w:rsid w:val="008C3EF5"/>
    <w:rsid w:val="008C43B9"/>
    <w:rsid w:val="008C4F86"/>
    <w:rsid w:val="008C545C"/>
    <w:rsid w:val="008C5C46"/>
    <w:rsid w:val="008C6894"/>
    <w:rsid w:val="008C7189"/>
    <w:rsid w:val="008D007A"/>
    <w:rsid w:val="008D0241"/>
    <w:rsid w:val="008D02A2"/>
    <w:rsid w:val="008D09DE"/>
    <w:rsid w:val="008D250B"/>
    <w:rsid w:val="008D43C9"/>
    <w:rsid w:val="008D5A24"/>
    <w:rsid w:val="008D6B1F"/>
    <w:rsid w:val="008D6B23"/>
    <w:rsid w:val="008D73A2"/>
    <w:rsid w:val="008E0260"/>
    <w:rsid w:val="008E0730"/>
    <w:rsid w:val="008E09CE"/>
    <w:rsid w:val="008E1532"/>
    <w:rsid w:val="008E1726"/>
    <w:rsid w:val="008E22E0"/>
    <w:rsid w:val="008E39D9"/>
    <w:rsid w:val="008E3B15"/>
    <w:rsid w:val="008E464F"/>
    <w:rsid w:val="008E46B7"/>
    <w:rsid w:val="008E65B6"/>
    <w:rsid w:val="008F166A"/>
    <w:rsid w:val="008F2047"/>
    <w:rsid w:val="008F24FB"/>
    <w:rsid w:val="008F2725"/>
    <w:rsid w:val="008F3264"/>
    <w:rsid w:val="008F33A8"/>
    <w:rsid w:val="008F3423"/>
    <w:rsid w:val="008F3653"/>
    <w:rsid w:val="008F38F1"/>
    <w:rsid w:val="008F3B91"/>
    <w:rsid w:val="008F3F71"/>
    <w:rsid w:val="008F41A4"/>
    <w:rsid w:val="008F4FD7"/>
    <w:rsid w:val="008F5105"/>
    <w:rsid w:val="008F52C1"/>
    <w:rsid w:val="008F5860"/>
    <w:rsid w:val="008F5974"/>
    <w:rsid w:val="008F6A14"/>
    <w:rsid w:val="008F6FE0"/>
    <w:rsid w:val="008F7FE7"/>
    <w:rsid w:val="0090053B"/>
    <w:rsid w:val="009006BF"/>
    <w:rsid w:val="009010EE"/>
    <w:rsid w:val="00901CD1"/>
    <w:rsid w:val="00903193"/>
    <w:rsid w:val="0090344F"/>
    <w:rsid w:val="00904AB0"/>
    <w:rsid w:val="00905398"/>
    <w:rsid w:val="00905BA7"/>
    <w:rsid w:val="009064C5"/>
    <w:rsid w:val="00910277"/>
    <w:rsid w:val="00910814"/>
    <w:rsid w:val="00910A8A"/>
    <w:rsid w:val="00910AAC"/>
    <w:rsid w:val="00910B6A"/>
    <w:rsid w:val="009139ED"/>
    <w:rsid w:val="009145DC"/>
    <w:rsid w:val="009147E8"/>
    <w:rsid w:val="00915FFF"/>
    <w:rsid w:val="009164AF"/>
    <w:rsid w:val="00916532"/>
    <w:rsid w:val="00916641"/>
    <w:rsid w:val="00916C71"/>
    <w:rsid w:val="0091766F"/>
    <w:rsid w:val="0091791D"/>
    <w:rsid w:val="00917CDA"/>
    <w:rsid w:val="009202F2"/>
    <w:rsid w:val="00921108"/>
    <w:rsid w:val="009221B8"/>
    <w:rsid w:val="00922994"/>
    <w:rsid w:val="009235EB"/>
    <w:rsid w:val="00925843"/>
    <w:rsid w:val="00925986"/>
    <w:rsid w:val="00925A49"/>
    <w:rsid w:val="00925ED5"/>
    <w:rsid w:val="009271FA"/>
    <w:rsid w:val="009273E3"/>
    <w:rsid w:val="00930431"/>
    <w:rsid w:val="00930B25"/>
    <w:rsid w:val="00930F71"/>
    <w:rsid w:val="00931C4A"/>
    <w:rsid w:val="00932A99"/>
    <w:rsid w:val="00932AB4"/>
    <w:rsid w:val="00933219"/>
    <w:rsid w:val="009335B3"/>
    <w:rsid w:val="00933B03"/>
    <w:rsid w:val="00934184"/>
    <w:rsid w:val="009362B0"/>
    <w:rsid w:val="00936734"/>
    <w:rsid w:val="0093706C"/>
    <w:rsid w:val="009375B6"/>
    <w:rsid w:val="00940605"/>
    <w:rsid w:val="00940715"/>
    <w:rsid w:val="00942A62"/>
    <w:rsid w:val="009431D3"/>
    <w:rsid w:val="009439AB"/>
    <w:rsid w:val="00943C66"/>
    <w:rsid w:val="00944AFA"/>
    <w:rsid w:val="00944D1F"/>
    <w:rsid w:val="00944FF3"/>
    <w:rsid w:val="00945EA2"/>
    <w:rsid w:val="00946414"/>
    <w:rsid w:val="00947F74"/>
    <w:rsid w:val="00950031"/>
    <w:rsid w:val="00951EA9"/>
    <w:rsid w:val="009522C4"/>
    <w:rsid w:val="00952BEA"/>
    <w:rsid w:val="00953072"/>
    <w:rsid w:val="00954965"/>
    <w:rsid w:val="00955984"/>
    <w:rsid w:val="0095613E"/>
    <w:rsid w:val="00956553"/>
    <w:rsid w:val="00957611"/>
    <w:rsid w:val="009579EF"/>
    <w:rsid w:val="00957D88"/>
    <w:rsid w:val="009600C8"/>
    <w:rsid w:val="00960DED"/>
    <w:rsid w:val="00961FD4"/>
    <w:rsid w:val="0096382F"/>
    <w:rsid w:val="00963CB1"/>
    <w:rsid w:val="00963DE5"/>
    <w:rsid w:val="009644BE"/>
    <w:rsid w:val="009660FB"/>
    <w:rsid w:val="00966AB8"/>
    <w:rsid w:val="00966DB7"/>
    <w:rsid w:val="00966FF1"/>
    <w:rsid w:val="00970B28"/>
    <w:rsid w:val="00970CC5"/>
    <w:rsid w:val="00971767"/>
    <w:rsid w:val="0097190C"/>
    <w:rsid w:val="00971F43"/>
    <w:rsid w:val="009726CE"/>
    <w:rsid w:val="00972807"/>
    <w:rsid w:val="00972EF3"/>
    <w:rsid w:val="00973519"/>
    <w:rsid w:val="00974569"/>
    <w:rsid w:val="0097467F"/>
    <w:rsid w:val="00974820"/>
    <w:rsid w:val="00975E19"/>
    <w:rsid w:val="00976037"/>
    <w:rsid w:val="00977019"/>
    <w:rsid w:val="00977B58"/>
    <w:rsid w:val="00977B63"/>
    <w:rsid w:val="0098085B"/>
    <w:rsid w:val="00980998"/>
    <w:rsid w:val="009816A3"/>
    <w:rsid w:val="00981764"/>
    <w:rsid w:val="00982849"/>
    <w:rsid w:val="009837BA"/>
    <w:rsid w:val="0098408F"/>
    <w:rsid w:val="0098419E"/>
    <w:rsid w:val="00984F93"/>
    <w:rsid w:val="0098505F"/>
    <w:rsid w:val="009855B8"/>
    <w:rsid w:val="009858F0"/>
    <w:rsid w:val="009861DB"/>
    <w:rsid w:val="009874C6"/>
    <w:rsid w:val="00990064"/>
    <w:rsid w:val="0099031F"/>
    <w:rsid w:val="00990E5E"/>
    <w:rsid w:val="009922AF"/>
    <w:rsid w:val="009929CD"/>
    <w:rsid w:val="00992F11"/>
    <w:rsid w:val="00994F76"/>
    <w:rsid w:val="009954DF"/>
    <w:rsid w:val="009960A3"/>
    <w:rsid w:val="0099636E"/>
    <w:rsid w:val="00996837"/>
    <w:rsid w:val="00996DF7"/>
    <w:rsid w:val="009A0780"/>
    <w:rsid w:val="009A0A0F"/>
    <w:rsid w:val="009A0C1A"/>
    <w:rsid w:val="009A0F08"/>
    <w:rsid w:val="009A1061"/>
    <w:rsid w:val="009A1AD0"/>
    <w:rsid w:val="009A20E1"/>
    <w:rsid w:val="009A2E29"/>
    <w:rsid w:val="009A31F8"/>
    <w:rsid w:val="009A35A6"/>
    <w:rsid w:val="009A3616"/>
    <w:rsid w:val="009A4245"/>
    <w:rsid w:val="009A48A3"/>
    <w:rsid w:val="009A5923"/>
    <w:rsid w:val="009A594C"/>
    <w:rsid w:val="009A5A16"/>
    <w:rsid w:val="009A67C6"/>
    <w:rsid w:val="009A693F"/>
    <w:rsid w:val="009A6A5B"/>
    <w:rsid w:val="009A7047"/>
    <w:rsid w:val="009A768A"/>
    <w:rsid w:val="009A7C8C"/>
    <w:rsid w:val="009A7F50"/>
    <w:rsid w:val="009B0279"/>
    <w:rsid w:val="009B0F24"/>
    <w:rsid w:val="009B1CF0"/>
    <w:rsid w:val="009B1E01"/>
    <w:rsid w:val="009B22CB"/>
    <w:rsid w:val="009B2712"/>
    <w:rsid w:val="009B3CB9"/>
    <w:rsid w:val="009B407C"/>
    <w:rsid w:val="009B41FB"/>
    <w:rsid w:val="009B45B2"/>
    <w:rsid w:val="009B4767"/>
    <w:rsid w:val="009B59A8"/>
    <w:rsid w:val="009B61A8"/>
    <w:rsid w:val="009B62BD"/>
    <w:rsid w:val="009B62D5"/>
    <w:rsid w:val="009B66FC"/>
    <w:rsid w:val="009B68BB"/>
    <w:rsid w:val="009B6DF9"/>
    <w:rsid w:val="009C0D0B"/>
    <w:rsid w:val="009C0FC1"/>
    <w:rsid w:val="009C1EB9"/>
    <w:rsid w:val="009C2868"/>
    <w:rsid w:val="009C4134"/>
    <w:rsid w:val="009C485C"/>
    <w:rsid w:val="009C48B7"/>
    <w:rsid w:val="009C490F"/>
    <w:rsid w:val="009C56B2"/>
    <w:rsid w:val="009C6824"/>
    <w:rsid w:val="009C6FDA"/>
    <w:rsid w:val="009C72F7"/>
    <w:rsid w:val="009D04E2"/>
    <w:rsid w:val="009D06EB"/>
    <w:rsid w:val="009D09CD"/>
    <w:rsid w:val="009D0C73"/>
    <w:rsid w:val="009D31EF"/>
    <w:rsid w:val="009D39AB"/>
    <w:rsid w:val="009D4343"/>
    <w:rsid w:val="009D462A"/>
    <w:rsid w:val="009D4C0D"/>
    <w:rsid w:val="009D4C13"/>
    <w:rsid w:val="009D50F8"/>
    <w:rsid w:val="009D571B"/>
    <w:rsid w:val="009D5868"/>
    <w:rsid w:val="009D6F9A"/>
    <w:rsid w:val="009E0334"/>
    <w:rsid w:val="009E0583"/>
    <w:rsid w:val="009E1714"/>
    <w:rsid w:val="009E2F71"/>
    <w:rsid w:val="009E46ED"/>
    <w:rsid w:val="009E5440"/>
    <w:rsid w:val="009E5A69"/>
    <w:rsid w:val="009E7019"/>
    <w:rsid w:val="009F0BB2"/>
    <w:rsid w:val="009F183F"/>
    <w:rsid w:val="009F26E2"/>
    <w:rsid w:val="009F2D0A"/>
    <w:rsid w:val="009F3202"/>
    <w:rsid w:val="009F33FF"/>
    <w:rsid w:val="009F359B"/>
    <w:rsid w:val="009F389E"/>
    <w:rsid w:val="009F3B7A"/>
    <w:rsid w:val="009F3ED3"/>
    <w:rsid w:val="009F40EC"/>
    <w:rsid w:val="009F50A2"/>
    <w:rsid w:val="009F55A6"/>
    <w:rsid w:val="009F66DF"/>
    <w:rsid w:val="009F7103"/>
    <w:rsid w:val="009F73CC"/>
    <w:rsid w:val="009F7846"/>
    <w:rsid w:val="009F7887"/>
    <w:rsid w:val="00A005DB"/>
    <w:rsid w:val="00A007C9"/>
    <w:rsid w:val="00A01855"/>
    <w:rsid w:val="00A030FE"/>
    <w:rsid w:val="00A03825"/>
    <w:rsid w:val="00A03AFA"/>
    <w:rsid w:val="00A04C87"/>
    <w:rsid w:val="00A0518B"/>
    <w:rsid w:val="00A05776"/>
    <w:rsid w:val="00A05F23"/>
    <w:rsid w:val="00A0609D"/>
    <w:rsid w:val="00A061DE"/>
    <w:rsid w:val="00A06C56"/>
    <w:rsid w:val="00A06C9F"/>
    <w:rsid w:val="00A06E8F"/>
    <w:rsid w:val="00A06FC0"/>
    <w:rsid w:val="00A10359"/>
    <w:rsid w:val="00A12138"/>
    <w:rsid w:val="00A1262F"/>
    <w:rsid w:val="00A128F7"/>
    <w:rsid w:val="00A12EF3"/>
    <w:rsid w:val="00A131B7"/>
    <w:rsid w:val="00A1335B"/>
    <w:rsid w:val="00A14349"/>
    <w:rsid w:val="00A146A1"/>
    <w:rsid w:val="00A147D5"/>
    <w:rsid w:val="00A14AD4"/>
    <w:rsid w:val="00A152ED"/>
    <w:rsid w:val="00A157A2"/>
    <w:rsid w:val="00A1636F"/>
    <w:rsid w:val="00A1711B"/>
    <w:rsid w:val="00A1758F"/>
    <w:rsid w:val="00A17E89"/>
    <w:rsid w:val="00A201C6"/>
    <w:rsid w:val="00A2020C"/>
    <w:rsid w:val="00A20461"/>
    <w:rsid w:val="00A20E5E"/>
    <w:rsid w:val="00A22F19"/>
    <w:rsid w:val="00A232B6"/>
    <w:rsid w:val="00A23759"/>
    <w:rsid w:val="00A2574F"/>
    <w:rsid w:val="00A26993"/>
    <w:rsid w:val="00A26B96"/>
    <w:rsid w:val="00A2773E"/>
    <w:rsid w:val="00A30212"/>
    <w:rsid w:val="00A3024C"/>
    <w:rsid w:val="00A309D7"/>
    <w:rsid w:val="00A30B40"/>
    <w:rsid w:val="00A31154"/>
    <w:rsid w:val="00A312F3"/>
    <w:rsid w:val="00A328C8"/>
    <w:rsid w:val="00A33A36"/>
    <w:rsid w:val="00A34212"/>
    <w:rsid w:val="00A344F8"/>
    <w:rsid w:val="00A34F9A"/>
    <w:rsid w:val="00A367FB"/>
    <w:rsid w:val="00A375F6"/>
    <w:rsid w:val="00A3793D"/>
    <w:rsid w:val="00A37973"/>
    <w:rsid w:val="00A37E59"/>
    <w:rsid w:val="00A4039D"/>
    <w:rsid w:val="00A408A5"/>
    <w:rsid w:val="00A409FF"/>
    <w:rsid w:val="00A40E15"/>
    <w:rsid w:val="00A41153"/>
    <w:rsid w:val="00A418E8"/>
    <w:rsid w:val="00A41E29"/>
    <w:rsid w:val="00A43DD2"/>
    <w:rsid w:val="00A4447F"/>
    <w:rsid w:val="00A45398"/>
    <w:rsid w:val="00A45AAE"/>
    <w:rsid w:val="00A46882"/>
    <w:rsid w:val="00A4765A"/>
    <w:rsid w:val="00A47766"/>
    <w:rsid w:val="00A47A61"/>
    <w:rsid w:val="00A47F3C"/>
    <w:rsid w:val="00A50101"/>
    <w:rsid w:val="00A503DC"/>
    <w:rsid w:val="00A507B2"/>
    <w:rsid w:val="00A50A92"/>
    <w:rsid w:val="00A50F6F"/>
    <w:rsid w:val="00A512F9"/>
    <w:rsid w:val="00A51B38"/>
    <w:rsid w:val="00A52B76"/>
    <w:rsid w:val="00A52D55"/>
    <w:rsid w:val="00A52E3E"/>
    <w:rsid w:val="00A536BC"/>
    <w:rsid w:val="00A53AC7"/>
    <w:rsid w:val="00A549CF"/>
    <w:rsid w:val="00A54D20"/>
    <w:rsid w:val="00A5658B"/>
    <w:rsid w:val="00A566B6"/>
    <w:rsid w:val="00A56EC8"/>
    <w:rsid w:val="00A577AC"/>
    <w:rsid w:val="00A60D7C"/>
    <w:rsid w:val="00A612B6"/>
    <w:rsid w:val="00A61365"/>
    <w:rsid w:val="00A62315"/>
    <w:rsid w:val="00A62369"/>
    <w:rsid w:val="00A62F33"/>
    <w:rsid w:val="00A634EE"/>
    <w:rsid w:val="00A63849"/>
    <w:rsid w:val="00A6419D"/>
    <w:rsid w:val="00A6556C"/>
    <w:rsid w:val="00A657E2"/>
    <w:rsid w:val="00A65B0C"/>
    <w:rsid w:val="00A65FB0"/>
    <w:rsid w:val="00A663F8"/>
    <w:rsid w:val="00A665B6"/>
    <w:rsid w:val="00A6669F"/>
    <w:rsid w:val="00A66B88"/>
    <w:rsid w:val="00A675FA"/>
    <w:rsid w:val="00A70BEB"/>
    <w:rsid w:val="00A70C17"/>
    <w:rsid w:val="00A71AD5"/>
    <w:rsid w:val="00A72645"/>
    <w:rsid w:val="00A7388C"/>
    <w:rsid w:val="00A73BEB"/>
    <w:rsid w:val="00A73E5A"/>
    <w:rsid w:val="00A74C6A"/>
    <w:rsid w:val="00A75058"/>
    <w:rsid w:val="00A755E1"/>
    <w:rsid w:val="00A758E3"/>
    <w:rsid w:val="00A764FB"/>
    <w:rsid w:val="00A77099"/>
    <w:rsid w:val="00A7755A"/>
    <w:rsid w:val="00A77A10"/>
    <w:rsid w:val="00A77F12"/>
    <w:rsid w:val="00A80C4E"/>
    <w:rsid w:val="00A81AD4"/>
    <w:rsid w:val="00A81EC4"/>
    <w:rsid w:val="00A846B6"/>
    <w:rsid w:val="00A84B62"/>
    <w:rsid w:val="00A84ECD"/>
    <w:rsid w:val="00A861CE"/>
    <w:rsid w:val="00A8637E"/>
    <w:rsid w:val="00A87FA1"/>
    <w:rsid w:val="00A919BB"/>
    <w:rsid w:val="00A91D03"/>
    <w:rsid w:val="00A929D1"/>
    <w:rsid w:val="00A942AA"/>
    <w:rsid w:val="00A94BD9"/>
    <w:rsid w:val="00A95AC0"/>
    <w:rsid w:val="00A95F25"/>
    <w:rsid w:val="00A95FDC"/>
    <w:rsid w:val="00A9734F"/>
    <w:rsid w:val="00A97B1B"/>
    <w:rsid w:val="00A97BE9"/>
    <w:rsid w:val="00AA0688"/>
    <w:rsid w:val="00AA0858"/>
    <w:rsid w:val="00AA0FF8"/>
    <w:rsid w:val="00AA1D8F"/>
    <w:rsid w:val="00AA2793"/>
    <w:rsid w:val="00AA2A07"/>
    <w:rsid w:val="00AA2B64"/>
    <w:rsid w:val="00AA358F"/>
    <w:rsid w:val="00AA4450"/>
    <w:rsid w:val="00AA6A15"/>
    <w:rsid w:val="00AA758A"/>
    <w:rsid w:val="00AB2895"/>
    <w:rsid w:val="00AB3D40"/>
    <w:rsid w:val="00AB4320"/>
    <w:rsid w:val="00AB495F"/>
    <w:rsid w:val="00AB4DFD"/>
    <w:rsid w:val="00AB555A"/>
    <w:rsid w:val="00AC1386"/>
    <w:rsid w:val="00AC15CB"/>
    <w:rsid w:val="00AC1AE4"/>
    <w:rsid w:val="00AC1EA9"/>
    <w:rsid w:val="00AC2137"/>
    <w:rsid w:val="00AC3AB3"/>
    <w:rsid w:val="00AC3B8C"/>
    <w:rsid w:val="00AC3D94"/>
    <w:rsid w:val="00AC41A7"/>
    <w:rsid w:val="00AC4482"/>
    <w:rsid w:val="00AC476B"/>
    <w:rsid w:val="00AC4968"/>
    <w:rsid w:val="00AC53CD"/>
    <w:rsid w:val="00AC599E"/>
    <w:rsid w:val="00AC5BA4"/>
    <w:rsid w:val="00AC62D6"/>
    <w:rsid w:val="00AC6DA3"/>
    <w:rsid w:val="00AC75BE"/>
    <w:rsid w:val="00AD0E19"/>
    <w:rsid w:val="00AD1ABD"/>
    <w:rsid w:val="00AD1FE4"/>
    <w:rsid w:val="00AD2B8B"/>
    <w:rsid w:val="00AD305F"/>
    <w:rsid w:val="00AD31EA"/>
    <w:rsid w:val="00AD363F"/>
    <w:rsid w:val="00AD4DC8"/>
    <w:rsid w:val="00AD54CA"/>
    <w:rsid w:val="00AD557A"/>
    <w:rsid w:val="00AD61EE"/>
    <w:rsid w:val="00AD69AF"/>
    <w:rsid w:val="00AD6C63"/>
    <w:rsid w:val="00AD7957"/>
    <w:rsid w:val="00AD7BAA"/>
    <w:rsid w:val="00AE0ABA"/>
    <w:rsid w:val="00AE2104"/>
    <w:rsid w:val="00AE216C"/>
    <w:rsid w:val="00AE21B1"/>
    <w:rsid w:val="00AE2A9C"/>
    <w:rsid w:val="00AE2B7B"/>
    <w:rsid w:val="00AE2C7F"/>
    <w:rsid w:val="00AE3B47"/>
    <w:rsid w:val="00AE3C6C"/>
    <w:rsid w:val="00AE56A9"/>
    <w:rsid w:val="00AE5A1F"/>
    <w:rsid w:val="00AE64C1"/>
    <w:rsid w:val="00AE6F0F"/>
    <w:rsid w:val="00AE7D35"/>
    <w:rsid w:val="00AF1BAD"/>
    <w:rsid w:val="00AF4F3A"/>
    <w:rsid w:val="00AF564E"/>
    <w:rsid w:val="00AF6258"/>
    <w:rsid w:val="00AF68BF"/>
    <w:rsid w:val="00B00F41"/>
    <w:rsid w:val="00B01E21"/>
    <w:rsid w:val="00B01E41"/>
    <w:rsid w:val="00B02A64"/>
    <w:rsid w:val="00B02C4C"/>
    <w:rsid w:val="00B02EFF"/>
    <w:rsid w:val="00B03ADD"/>
    <w:rsid w:val="00B04376"/>
    <w:rsid w:val="00B052E8"/>
    <w:rsid w:val="00B053FC"/>
    <w:rsid w:val="00B05786"/>
    <w:rsid w:val="00B0612D"/>
    <w:rsid w:val="00B061E6"/>
    <w:rsid w:val="00B07180"/>
    <w:rsid w:val="00B076DA"/>
    <w:rsid w:val="00B1062D"/>
    <w:rsid w:val="00B11593"/>
    <w:rsid w:val="00B1201E"/>
    <w:rsid w:val="00B120B4"/>
    <w:rsid w:val="00B132D3"/>
    <w:rsid w:val="00B148CE"/>
    <w:rsid w:val="00B2096A"/>
    <w:rsid w:val="00B211DC"/>
    <w:rsid w:val="00B21751"/>
    <w:rsid w:val="00B2274F"/>
    <w:rsid w:val="00B2292E"/>
    <w:rsid w:val="00B23E41"/>
    <w:rsid w:val="00B24822"/>
    <w:rsid w:val="00B24FCD"/>
    <w:rsid w:val="00B2502F"/>
    <w:rsid w:val="00B251A8"/>
    <w:rsid w:val="00B2528D"/>
    <w:rsid w:val="00B253CC"/>
    <w:rsid w:val="00B25991"/>
    <w:rsid w:val="00B26CFA"/>
    <w:rsid w:val="00B270F5"/>
    <w:rsid w:val="00B27A7F"/>
    <w:rsid w:val="00B27BD2"/>
    <w:rsid w:val="00B30D07"/>
    <w:rsid w:val="00B30F20"/>
    <w:rsid w:val="00B314DE"/>
    <w:rsid w:val="00B32360"/>
    <w:rsid w:val="00B32A61"/>
    <w:rsid w:val="00B32F33"/>
    <w:rsid w:val="00B336C3"/>
    <w:rsid w:val="00B33740"/>
    <w:rsid w:val="00B33BC7"/>
    <w:rsid w:val="00B34B3A"/>
    <w:rsid w:val="00B34DE7"/>
    <w:rsid w:val="00B34F2C"/>
    <w:rsid w:val="00B35A8B"/>
    <w:rsid w:val="00B35C1A"/>
    <w:rsid w:val="00B363BB"/>
    <w:rsid w:val="00B3653A"/>
    <w:rsid w:val="00B3736F"/>
    <w:rsid w:val="00B37DBC"/>
    <w:rsid w:val="00B37E61"/>
    <w:rsid w:val="00B404AB"/>
    <w:rsid w:val="00B4067B"/>
    <w:rsid w:val="00B40CA3"/>
    <w:rsid w:val="00B411E8"/>
    <w:rsid w:val="00B42460"/>
    <w:rsid w:val="00B42F6F"/>
    <w:rsid w:val="00B43048"/>
    <w:rsid w:val="00B43F1E"/>
    <w:rsid w:val="00B44C3B"/>
    <w:rsid w:val="00B46664"/>
    <w:rsid w:val="00B47814"/>
    <w:rsid w:val="00B50359"/>
    <w:rsid w:val="00B51BBE"/>
    <w:rsid w:val="00B51C9A"/>
    <w:rsid w:val="00B52158"/>
    <w:rsid w:val="00B524A2"/>
    <w:rsid w:val="00B52742"/>
    <w:rsid w:val="00B5274B"/>
    <w:rsid w:val="00B53054"/>
    <w:rsid w:val="00B535DD"/>
    <w:rsid w:val="00B540F7"/>
    <w:rsid w:val="00B5455F"/>
    <w:rsid w:val="00B56F67"/>
    <w:rsid w:val="00B577AF"/>
    <w:rsid w:val="00B60FA5"/>
    <w:rsid w:val="00B6169B"/>
    <w:rsid w:val="00B61ACE"/>
    <w:rsid w:val="00B62642"/>
    <w:rsid w:val="00B62BFD"/>
    <w:rsid w:val="00B63647"/>
    <w:rsid w:val="00B6372A"/>
    <w:rsid w:val="00B64287"/>
    <w:rsid w:val="00B648E3"/>
    <w:rsid w:val="00B64DF4"/>
    <w:rsid w:val="00B65055"/>
    <w:rsid w:val="00B66DC4"/>
    <w:rsid w:val="00B67A4E"/>
    <w:rsid w:val="00B67D49"/>
    <w:rsid w:val="00B700AE"/>
    <w:rsid w:val="00B70520"/>
    <w:rsid w:val="00B70928"/>
    <w:rsid w:val="00B71443"/>
    <w:rsid w:val="00B72F97"/>
    <w:rsid w:val="00B73FAC"/>
    <w:rsid w:val="00B743B4"/>
    <w:rsid w:val="00B74719"/>
    <w:rsid w:val="00B7565D"/>
    <w:rsid w:val="00B761A7"/>
    <w:rsid w:val="00B76814"/>
    <w:rsid w:val="00B8079E"/>
    <w:rsid w:val="00B81036"/>
    <w:rsid w:val="00B81B2C"/>
    <w:rsid w:val="00B81D27"/>
    <w:rsid w:val="00B8259C"/>
    <w:rsid w:val="00B825E6"/>
    <w:rsid w:val="00B839CA"/>
    <w:rsid w:val="00B84EFA"/>
    <w:rsid w:val="00B852F0"/>
    <w:rsid w:val="00B863B4"/>
    <w:rsid w:val="00B86880"/>
    <w:rsid w:val="00B9037F"/>
    <w:rsid w:val="00B90CEB"/>
    <w:rsid w:val="00B915EE"/>
    <w:rsid w:val="00B92911"/>
    <w:rsid w:val="00B92CD5"/>
    <w:rsid w:val="00B931A0"/>
    <w:rsid w:val="00B934AD"/>
    <w:rsid w:val="00B93B7F"/>
    <w:rsid w:val="00B93FCA"/>
    <w:rsid w:val="00B94256"/>
    <w:rsid w:val="00B942B2"/>
    <w:rsid w:val="00B94783"/>
    <w:rsid w:val="00B9514F"/>
    <w:rsid w:val="00B9543E"/>
    <w:rsid w:val="00B95456"/>
    <w:rsid w:val="00B96BE2"/>
    <w:rsid w:val="00B96E23"/>
    <w:rsid w:val="00B971DD"/>
    <w:rsid w:val="00BA03E9"/>
    <w:rsid w:val="00BA065C"/>
    <w:rsid w:val="00BA0FCB"/>
    <w:rsid w:val="00BA1467"/>
    <w:rsid w:val="00BA150D"/>
    <w:rsid w:val="00BA257A"/>
    <w:rsid w:val="00BA2CB3"/>
    <w:rsid w:val="00BA3E0F"/>
    <w:rsid w:val="00BA3F35"/>
    <w:rsid w:val="00BA4A68"/>
    <w:rsid w:val="00BA4CFA"/>
    <w:rsid w:val="00BA504F"/>
    <w:rsid w:val="00BA67E9"/>
    <w:rsid w:val="00BA7581"/>
    <w:rsid w:val="00BA787B"/>
    <w:rsid w:val="00BA7EA1"/>
    <w:rsid w:val="00BB0531"/>
    <w:rsid w:val="00BB124B"/>
    <w:rsid w:val="00BB16F0"/>
    <w:rsid w:val="00BB1829"/>
    <w:rsid w:val="00BB1955"/>
    <w:rsid w:val="00BB1F5D"/>
    <w:rsid w:val="00BB2594"/>
    <w:rsid w:val="00BB3578"/>
    <w:rsid w:val="00BB3AF0"/>
    <w:rsid w:val="00BB41E3"/>
    <w:rsid w:val="00BB434C"/>
    <w:rsid w:val="00BB446B"/>
    <w:rsid w:val="00BB51F1"/>
    <w:rsid w:val="00BB5336"/>
    <w:rsid w:val="00BB6480"/>
    <w:rsid w:val="00BB70DA"/>
    <w:rsid w:val="00BB76B2"/>
    <w:rsid w:val="00BB7F5B"/>
    <w:rsid w:val="00BC0781"/>
    <w:rsid w:val="00BC11B5"/>
    <w:rsid w:val="00BC13DE"/>
    <w:rsid w:val="00BC1BDA"/>
    <w:rsid w:val="00BC3106"/>
    <w:rsid w:val="00BC325A"/>
    <w:rsid w:val="00BC3E27"/>
    <w:rsid w:val="00BC41E9"/>
    <w:rsid w:val="00BC6859"/>
    <w:rsid w:val="00BC74F6"/>
    <w:rsid w:val="00BD0137"/>
    <w:rsid w:val="00BD327A"/>
    <w:rsid w:val="00BD37B8"/>
    <w:rsid w:val="00BD39FA"/>
    <w:rsid w:val="00BD3A22"/>
    <w:rsid w:val="00BD42CE"/>
    <w:rsid w:val="00BD4658"/>
    <w:rsid w:val="00BD4FE4"/>
    <w:rsid w:val="00BD60A4"/>
    <w:rsid w:val="00BD6A20"/>
    <w:rsid w:val="00BD6E77"/>
    <w:rsid w:val="00BD7019"/>
    <w:rsid w:val="00BE0C30"/>
    <w:rsid w:val="00BE12B1"/>
    <w:rsid w:val="00BE1913"/>
    <w:rsid w:val="00BE2EF2"/>
    <w:rsid w:val="00BE36E1"/>
    <w:rsid w:val="00BE4D7B"/>
    <w:rsid w:val="00BE5058"/>
    <w:rsid w:val="00BE53D4"/>
    <w:rsid w:val="00BE5C39"/>
    <w:rsid w:val="00BE5FBE"/>
    <w:rsid w:val="00BE6696"/>
    <w:rsid w:val="00BE7060"/>
    <w:rsid w:val="00BE79D3"/>
    <w:rsid w:val="00BE7E4E"/>
    <w:rsid w:val="00BE7F4A"/>
    <w:rsid w:val="00BF059F"/>
    <w:rsid w:val="00BF1A04"/>
    <w:rsid w:val="00BF209D"/>
    <w:rsid w:val="00BF217E"/>
    <w:rsid w:val="00BF27B5"/>
    <w:rsid w:val="00BF2890"/>
    <w:rsid w:val="00BF2C05"/>
    <w:rsid w:val="00BF3237"/>
    <w:rsid w:val="00BF3801"/>
    <w:rsid w:val="00BF3C2D"/>
    <w:rsid w:val="00BF458A"/>
    <w:rsid w:val="00BF544F"/>
    <w:rsid w:val="00BF5630"/>
    <w:rsid w:val="00BF6C78"/>
    <w:rsid w:val="00BF74BC"/>
    <w:rsid w:val="00BF7DE0"/>
    <w:rsid w:val="00C00162"/>
    <w:rsid w:val="00C00375"/>
    <w:rsid w:val="00C00994"/>
    <w:rsid w:val="00C00C0E"/>
    <w:rsid w:val="00C0251E"/>
    <w:rsid w:val="00C036FD"/>
    <w:rsid w:val="00C064D2"/>
    <w:rsid w:val="00C103DF"/>
    <w:rsid w:val="00C10991"/>
    <w:rsid w:val="00C11764"/>
    <w:rsid w:val="00C11E2D"/>
    <w:rsid w:val="00C11F31"/>
    <w:rsid w:val="00C134FB"/>
    <w:rsid w:val="00C136D3"/>
    <w:rsid w:val="00C13FDC"/>
    <w:rsid w:val="00C1425F"/>
    <w:rsid w:val="00C152BD"/>
    <w:rsid w:val="00C15660"/>
    <w:rsid w:val="00C17010"/>
    <w:rsid w:val="00C1721C"/>
    <w:rsid w:val="00C17955"/>
    <w:rsid w:val="00C2044E"/>
    <w:rsid w:val="00C2133E"/>
    <w:rsid w:val="00C213A0"/>
    <w:rsid w:val="00C21461"/>
    <w:rsid w:val="00C21572"/>
    <w:rsid w:val="00C224A8"/>
    <w:rsid w:val="00C2337D"/>
    <w:rsid w:val="00C243C6"/>
    <w:rsid w:val="00C25293"/>
    <w:rsid w:val="00C26745"/>
    <w:rsid w:val="00C26B94"/>
    <w:rsid w:val="00C2725E"/>
    <w:rsid w:val="00C276B0"/>
    <w:rsid w:val="00C27E05"/>
    <w:rsid w:val="00C31A6C"/>
    <w:rsid w:val="00C31F4D"/>
    <w:rsid w:val="00C3237E"/>
    <w:rsid w:val="00C3285A"/>
    <w:rsid w:val="00C3314E"/>
    <w:rsid w:val="00C33300"/>
    <w:rsid w:val="00C33A43"/>
    <w:rsid w:val="00C34847"/>
    <w:rsid w:val="00C3538F"/>
    <w:rsid w:val="00C363F2"/>
    <w:rsid w:val="00C36712"/>
    <w:rsid w:val="00C36F8E"/>
    <w:rsid w:val="00C42CDE"/>
    <w:rsid w:val="00C444A6"/>
    <w:rsid w:val="00C44B5B"/>
    <w:rsid w:val="00C44D45"/>
    <w:rsid w:val="00C45251"/>
    <w:rsid w:val="00C45664"/>
    <w:rsid w:val="00C457B3"/>
    <w:rsid w:val="00C460C3"/>
    <w:rsid w:val="00C50A1D"/>
    <w:rsid w:val="00C50B95"/>
    <w:rsid w:val="00C50E15"/>
    <w:rsid w:val="00C51F94"/>
    <w:rsid w:val="00C52B20"/>
    <w:rsid w:val="00C53C35"/>
    <w:rsid w:val="00C54733"/>
    <w:rsid w:val="00C55699"/>
    <w:rsid w:val="00C55F65"/>
    <w:rsid w:val="00C56BF0"/>
    <w:rsid w:val="00C56D70"/>
    <w:rsid w:val="00C571F3"/>
    <w:rsid w:val="00C573E6"/>
    <w:rsid w:val="00C57F24"/>
    <w:rsid w:val="00C601B5"/>
    <w:rsid w:val="00C601F1"/>
    <w:rsid w:val="00C607CE"/>
    <w:rsid w:val="00C61155"/>
    <w:rsid w:val="00C620AD"/>
    <w:rsid w:val="00C6279A"/>
    <w:rsid w:val="00C62850"/>
    <w:rsid w:val="00C62E05"/>
    <w:rsid w:val="00C6304F"/>
    <w:rsid w:val="00C63BB6"/>
    <w:rsid w:val="00C63DC1"/>
    <w:rsid w:val="00C63F1D"/>
    <w:rsid w:val="00C641F1"/>
    <w:rsid w:val="00C654E4"/>
    <w:rsid w:val="00C66233"/>
    <w:rsid w:val="00C67514"/>
    <w:rsid w:val="00C67974"/>
    <w:rsid w:val="00C67BD1"/>
    <w:rsid w:val="00C703FB"/>
    <w:rsid w:val="00C712C1"/>
    <w:rsid w:val="00C71517"/>
    <w:rsid w:val="00C727F1"/>
    <w:rsid w:val="00C7284D"/>
    <w:rsid w:val="00C72BF9"/>
    <w:rsid w:val="00C73ED1"/>
    <w:rsid w:val="00C752FE"/>
    <w:rsid w:val="00C75369"/>
    <w:rsid w:val="00C7621A"/>
    <w:rsid w:val="00C76C6A"/>
    <w:rsid w:val="00C774C1"/>
    <w:rsid w:val="00C820D5"/>
    <w:rsid w:val="00C824AD"/>
    <w:rsid w:val="00C84169"/>
    <w:rsid w:val="00C85775"/>
    <w:rsid w:val="00C86337"/>
    <w:rsid w:val="00C92640"/>
    <w:rsid w:val="00C927A2"/>
    <w:rsid w:val="00C92C3F"/>
    <w:rsid w:val="00C94B87"/>
    <w:rsid w:val="00C95855"/>
    <w:rsid w:val="00C96E7F"/>
    <w:rsid w:val="00C97A3E"/>
    <w:rsid w:val="00CA0FCC"/>
    <w:rsid w:val="00CA202A"/>
    <w:rsid w:val="00CA2423"/>
    <w:rsid w:val="00CA278E"/>
    <w:rsid w:val="00CA4106"/>
    <w:rsid w:val="00CA442C"/>
    <w:rsid w:val="00CA45B8"/>
    <w:rsid w:val="00CA5002"/>
    <w:rsid w:val="00CA50BE"/>
    <w:rsid w:val="00CA5249"/>
    <w:rsid w:val="00CA56B5"/>
    <w:rsid w:val="00CA5A1F"/>
    <w:rsid w:val="00CA5D4F"/>
    <w:rsid w:val="00CA71E8"/>
    <w:rsid w:val="00CA721D"/>
    <w:rsid w:val="00CA7784"/>
    <w:rsid w:val="00CB1261"/>
    <w:rsid w:val="00CB1C1F"/>
    <w:rsid w:val="00CB24A8"/>
    <w:rsid w:val="00CB2EFE"/>
    <w:rsid w:val="00CB2FD2"/>
    <w:rsid w:val="00CB3391"/>
    <w:rsid w:val="00CB661F"/>
    <w:rsid w:val="00CC0323"/>
    <w:rsid w:val="00CC0BDB"/>
    <w:rsid w:val="00CC3984"/>
    <w:rsid w:val="00CC3B9E"/>
    <w:rsid w:val="00CC4E08"/>
    <w:rsid w:val="00CC50B2"/>
    <w:rsid w:val="00CC53BF"/>
    <w:rsid w:val="00CC620F"/>
    <w:rsid w:val="00CC6299"/>
    <w:rsid w:val="00CC685A"/>
    <w:rsid w:val="00CC6AE6"/>
    <w:rsid w:val="00CC6DCA"/>
    <w:rsid w:val="00CC799A"/>
    <w:rsid w:val="00CC7AF1"/>
    <w:rsid w:val="00CC7BAE"/>
    <w:rsid w:val="00CD01D6"/>
    <w:rsid w:val="00CD029D"/>
    <w:rsid w:val="00CD03FF"/>
    <w:rsid w:val="00CD0A90"/>
    <w:rsid w:val="00CD1595"/>
    <w:rsid w:val="00CD1E5D"/>
    <w:rsid w:val="00CD233D"/>
    <w:rsid w:val="00CD2751"/>
    <w:rsid w:val="00CD287E"/>
    <w:rsid w:val="00CD2884"/>
    <w:rsid w:val="00CD2C54"/>
    <w:rsid w:val="00CD3E56"/>
    <w:rsid w:val="00CD4388"/>
    <w:rsid w:val="00CD5BDF"/>
    <w:rsid w:val="00CD5E66"/>
    <w:rsid w:val="00CD63E6"/>
    <w:rsid w:val="00CD655F"/>
    <w:rsid w:val="00CD657E"/>
    <w:rsid w:val="00CD7C7D"/>
    <w:rsid w:val="00CE02E4"/>
    <w:rsid w:val="00CE0B51"/>
    <w:rsid w:val="00CE1FF3"/>
    <w:rsid w:val="00CE21C9"/>
    <w:rsid w:val="00CE271A"/>
    <w:rsid w:val="00CE34D8"/>
    <w:rsid w:val="00CE3BFC"/>
    <w:rsid w:val="00CE46CB"/>
    <w:rsid w:val="00CE5EB0"/>
    <w:rsid w:val="00CE5F71"/>
    <w:rsid w:val="00CE6786"/>
    <w:rsid w:val="00CE6E22"/>
    <w:rsid w:val="00CE796A"/>
    <w:rsid w:val="00CF2CAE"/>
    <w:rsid w:val="00CF4717"/>
    <w:rsid w:val="00CF5276"/>
    <w:rsid w:val="00CF55EB"/>
    <w:rsid w:val="00CF5B77"/>
    <w:rsid w:val="00CF6496"/>
    <w:rsid w:val="00CF68B3"/>
    <w:rsid w:val="00CF6EFF"/>
    <w:rsid w:val="00D016AE"/>
    <w:rsid w:val="00D01A85"/>
    <w:rsid w:val="00D04EA2"/>
    <w:rsid w:val="00D0504C"/>
    <w:rsid w:val="00D0513C"/>
    <w:rsid w:val="00D056CD"/>
    <w:rsid w:val="00D06AC7"/>
    <w:rsid w:val="00D06D22"/>
    <w:rsid w:val="00D07F1E"/>
    <w:rsid w:val="00D10498"/>
    <w:rsid w:val="00D11923"/>
    <w:rsid w:val="00D12054"/>
    <w:rsid w:val="00D12655"/>
    <w:rsid w:val="00D14813"/>
    <w:rsid w:val="00D1684C"/>
    <w:rsid w:val="00D200F8"/>
    <w:rsid w:val="00D20460"/>
    <w:rsid w:val="00D208CC"/>
    <w:rsid w:val="00D2145B"/>
    <w:rsid w:val="00D217FE"/>
    <w:rsid w:val="00D219FE"/>
    <w:rsid w:val="00D21FF4"/>
    <w:rsid w:val="00D22CAC"/>
    <w:rsid w:val="00D2347F"/>
    <w:rsid w:val="00D25246"/>
    <w:rsid w:val="00D253BD"/>
    <w:rsid w:val="00D26D8F"/>
    <w:rsid w:val="00D27CB2"/>
    <w:rsid w:val="00D306D6"/>
    <w:rsid w:val="00D3159E"/>
    <w:rsid w:val="00D31A3F"/>
    <w:rsid w:val="00D32525"/>
    <w:rsid w:val="00D32E94"/>
    <w:rsid w:val="00D331F4"/>
    <w:rsid w:val="00D33A1D"/>
    <w:rsid w:val="00D363FE"/>
    <w:rsid w:val="00D36749"/>
    <w:rsid w:val="00D36A6D"/>
    <w:rsid w:val="00D377F7"/>
    <w:rsid w:val="00D37F90"/>
    <w:rsid w:val="00D40674"/>
    <w:rsid w:val="00D40755"/>
    <w:rsid w:val="00D408AC"/>
    <w:rsid w:val="00D41192"/>
    <w:rsid w:val="00D417B7"/>
    <w:rsid w:val="00D418F1"/>
    <w:rsid w:val="00D41FD2"/>
    <w:rsid w:val="00D4277E"/>
    <w:rsid w:val="00D4319C"/>
    <w:rsid w:val="00D447F7"/>
    <w:rsid w:val="00D44A0A"/>
    <w:rsid w:val="00D451D9"/>
    <w:rsid w:val="00D45541"/>
    <w:rsid w:val="00D46FB7"/>
    <w:rsid w:val="00D4736E"/>
    <w:rsid w:val="00D475A0"/>
    <w:rsid w:val="00D47CB4"/>
    <w:rsid w:val="00D50038"/>
    <w:rsid w:val="00D50F6A"/>
    <w:rsid w:val="00D51100"/>
    <w:rsid w:val="00D5236B"/>
    <w:rsid w:val="00D52EE5"/>
    <w:rsid w:val="00D54D2A"/>
    <w:rsid w:val="00D55574"/>
    <w:rsid w:val="00D55F4F"/>
    <w:rsid w:val="00D565DA"/>
    <w:rsid w:val="00D56800"/>
    <w:rsid w:val="00D571D5"/>
    <w:rsid w:val="00D5736C"/>
    <w:rsid w:val="00D573A6"/>
    <w:rsid w:val="00D615F4"/>
    <w:rsid w:val="00D6195F"/>
    <w:rsid w:val="00D61D66"/>
    <w:rsid w:val="00D61FAE"/>
    <w:rsid w:val="00D62E68"/>
    <w:rsid w:val="00D640D3"/>
    <w:rsid w:val="00D6455E"/>
    <w:rsid w:val="00D64617"/>
    <w:rsid w:val="00D653EA"/>
    <w:rsid w:val="00D654B6"/>
    <w:rsid w:val="00D6635C"/>
    <w:rsid w:val="00D66887"/>
    <w:rsid w:val="00D677FB"/>
    <w:rsid w:val="00D67BBF"/>
    <w:rsid w:val="00D70131"/>
    <w:rsid w:val="00D70D40"/>
    <w:rsid w:val="00D7119B"/>
    <w:rsid w:val="00D711A4"/>
    <w:rsid w:val="00D71A43"/>
    <w:rsid w:val="00D72C0C"/>
    <w:rsid w:val="00D732DF"/>
    <w:rsid w:val="00D7422E"/>
    <w:rsid w:val="00D74362"/>
    <w:rsid w:val="00D745B7"/>
    <w:rsid w:val="00D74B24"/>
    <w:rsid w:val="00D74DA2"/>
    <w:rsid w:val="00D759AE"/>
    <w:rsid w:val="00D76A8B"/>
    <w:rsid w:val="00D76CE5"/>
    <w:rsid w:val="00D77666"/>
    <w:rsid w:val="00D77C7A"/>
    <w:rsid w:val="00D80792"/>
    <w:rsid w:val="00D80CC5"/>
    <w:rsid w:val="00D821AE"/>
    <w:rsid w:val="00D826E7"/>
    <w:rsid w:val="00D83A3C"/>
    <w:rsid w:val="00D84797"/>
    <w:rsid w:val="00D85201"/>
    <w:rsid w:val="00D85EE3"/>
    <w:rsid w:val="00D86136"/>
    <w:rsid w:val="00D913C6"/>
    <w:rsid w:val="00D91B18"/>
    <w:rsid w:val="00D91B99"/>
    <w:rsid w:val="00D92383"/>
    <w:rsid w:val="00D92B16"/>
    <w:rsid w:val="00D93B27"/>
    <w:rsid w:val="00D93B72"/>
    <w:rsid w:val="00D93F8D"/>
    <w:rsid w:val="00D9404E"/>
    <w:rsid w:val="00D941E5"/>
    <w:rsid w:val="00D95EFD"/>
    <w:rsid w:val="00D978E7"/>
    <w:rsid w:val="00DA1970"/>
    <w:rsid w:val="00DA20C5"/>
    <w:rsid w:val="00DA25D6"/>
    <w:rsid w:val="00DA289E"/>
    <w:rsid w:val="00DA2999"/>
    <w:rsid w:val="00DA2A5C"/>
    <w:rsid w:val="00DA3B83"/>
    <w:rsid w:val="00DA4957"/>
    <w:rsid w:val="00DA4B36"/>
    <w:rsid w:val="00DA4F27"/>
    <w:rsid w:val="00DA5824"/>
    <w:rsid w:val="00DA6B34"/>
    <w:rsid w:val="00DA7134"/>
    <w:rsid w:val="00DA7E39"/>
    <w:rsid w:val="00DB1700"/>
    <w:rsid w:val="00DB1FFC"/>
    <w:rsid w:val="00DB2794"/>
    <w:rsid w:val="00DB3559"/>
    <w:rsid w:val="00DB3AB5"/>
    <w:rsid w:val="00DB50A0"/>
    <w:rsid w:val="00DB55FD"/>
    <w:rsid w:val="00DB5EEF"/>
    <w:rsid w:val="00DB61CB"/>
    <w:rsid w:val="00DB7673"/>
    <w:rsid w:val="00DB7AB4"/>
    <w:rsid w:val="00DC092D"/>
    <w:rsid w:val="00DC1051"/>
    <w:rsid w:val="00DC1160"/>
    <w:rsid w:val="00DC15B4"/>
    <w:rsid w:val="00DC2025"/>
    <w:rsid w:val="00DC2ADF"/>
    <w:rsid w:val="00DC2EA6"/>
    <w:rsid w:val="00DC368B"/>
    <w:rsid w:val="00DC369C"/>
    <w:rsid w:val="00DC36EC"/>
    <w:rsid w:val="00DC4F05"/>
    <w:rsid w:val="00DC5957"/>
    <w:rsid w:val="00DC62AB"/>
    <w:rsid w:val="00DC6369"/>
    <w:rsid w:val="00DC6698"/>
    <w:rsid w:val="00DC701D"/>
    <w:rsid w:val="00DD040F"/>
    <w:rsid w:val="00DD0954"/>
    <w:rsid w:val="00DD10CA"/>
    <w:rsid w:val="00DD22CC"/>
    <w:rsid w:val="00DD2492"/>
    <w:rsid w:val="00DD26BA"/>
    <w:rsid w:val="00DD291E"/>
    <w:rsid w:val="00DD31A1"/>
    <w:rsid w:val="00DD3D33"/>
    <w:rsid w:val="00DD49DE"/>
    <w:rsid w:val="00DD5834"/>
    <w:rsid w:val="00DD59DC"/>
    <w:rsid w:val="00DD5D32"/>
    <w:rsid w:val="00DD5F66"/>
    <w:rsid w:val="00DD6ACA"/>
    <w:rsid w:val="00DE0B81"/>
    <w:rsid w:val="00DE0C74"/>
    <w:rsid w:val="00DE128B"/>
    <w:rsid w:val="00DE1F48"/>
    <w:rsid w:val="00DE2BC6"/>
    <w:rsid w:val="00DE303C"/>
    <w:rsid w:val="00DE36D0"/>
    <w:rsid w:val="00DE37F3"/>
    <w:rsid w:val="00DE3A4A"/>
    <w:rsid w:val="00DE3BE9"/>
    <w:rsid w:val="00DE3DA8"/>
    <w:rsid w:val="00DE3F6D"/>
    <w:rsid w:val="00DE48EF"/>
    <w:rsid w:val="00DE58FB"/>
    <w:rsid w:val="00DE669F"/>
    <w:rsid w:val="00DE67BA"/>
    <w:rsid w:val="00DE78D3"/>
    <w:rsid w:val="00DE7ACD"/>
    <w:rsid w:val="00DE7FF2"/>
    <w:rsid w:val="00DF0819"/>
    <w:rsid w:val="00DF0FC6"/>
    <w:rsid w:val="00DF1743"/>
    <w:rsid w:val="00DF1938"/>
    <w:rsid w:val="00DF2705"/>
    <w:rsid w:val="00DF2D8C"/>
    <w:rsid w:val="00DF2DFE"/>
    <w:rsid w:val="00DF2FAF"/>
    <w:rsid w:val="00DF3577"/>
    <w:rsid w:val="00DF3A45"/>
    <w:rsid w:val="00DF413E"/>
    <w:rsid w:val="00DF5426"/>
    <w:rsid w:val="00DF6027"/>
    <w:rsid w:val="00DF643C"/>
    <w:rsid w:val="00DF75DD"/>
    <w:rsid w:val="00E002D9"/>
    <w:rsid w:val="00E008AF"/>
    <w:rsid w:val="00E00F1C"/>
    <w:rsid w:val="00E019DE"/>
    <w:rsid w:val="00E02517"/>
    <w:rsid w:val="00E03BE9"/>
    <w:rsid w:val="00E055C1"/>
    <w:rsid w:val="00E07714"/>
    <w:rsid w:val="00E07F34"/>
    <w:rsid w:val="00E106E9"/>
    <w:rsid w:val="00E11620"/>
    <w:rsid w:val="00E12D2A"/>
    <w:rsid w:val="00E137DA"/>
    <w:rsid w:val="00E13920"/>
    <w:rsid w:val="00E14012"/>
    <w:rsid w:val="00E14535"/>
    <w:rsid w:val="00E1481A"/>
    <w:rsid w:val="00E15119"/>
    <w:rsid w:val="00E15573"/>
    <w:rsid w:val="00E16716"/>
    <w:rsid w:val="00E16777"/>
    <w:rsid w:val="00E171ED"/>
    <w:rsid w:val="00E17245"/>
    <w:rsid w:val="00E20946"/>
    <w:rsid w:val="00E21354"/>
    <w:rsid w:val="00E2173E"/>
    <w:rsid w:val="00E224A3"/>
    <w:rsid w:val="00E22F78"/>
    <w:rsid w:val="00E23445"/>
    <w:rsid w:val="00E23EF7"/>
    <w:rsid w:val="00E241F4"/>
    <w:rsid w:val="00E2445F"/>
    <w:rsid w:val="00E25FA4"/>
    <w:rsid w:val="00E26070"/>
    <w:rsid w:val="00E26162"/>
    <w:rsid w:val="00E2635C"/>
    <w:rsid w:val="00E26464"/>
    <w:rsid w:val="00E264E7"/>
    <w:rsid w:val="00E265E1"/>
    <w:rsid w:val="00E27551"/>
    <w:rsid w:val="00E3099C"/>
    <w:rsid w:val="00E311C5"/>
    <w:rsid w:val="00E3198D"/>
    <w:rsid w:val="00E31A0D"/>
    <w:rsid w:val="00E3258A"/>
    <w:rsid w:val="00E329D2"/>
    <w:rsid w:val="00E32BBB"/>
    <w:rsid w:val="00E3488B"/>
    <w:rsid w:val="00E34D63"/>
    <w:rsid w:val="00E35533"/>
    <w:rsid w:val="00E35BF2"/>
    <w:rsid w:val="00E375F3"/>
    <w:rsid w:val="00E377CD"/>
    <w:rsid w:val="00E402C0"/>
    <w:rsid w:val="00E4078C"/>
    <w:rsid w:val="00E43019"/>
    <w:rsid w:val="00E434DD"/>
    <w:rsid w:val="00E43943"/>
    <w:rsid w:val="00E43984"/>
    <w:rsid w:val="00E43AA8"/>
    <w:rsid w:val="00E43E9F"/>
    <w:rsid w:val="00E43F3A"/>
    <w:rsid w:val="00E440D6"/>
    <w:rsid w:val="00E4552A"/>
    <w:rsid w:val="00E4553F"/>
    <w:rsid w:val="00E4573E"/>
    <w:rsid w:val="00E45B90"/>
    <w:rsid w:val="00E460BF"/>
    <w:rsid w:val="00E47B32"/>
    <w:rsid w:val="00E501DB"/>
    <w:rsid w:val="00E509E6"/>
    <w:rsid w:val="00E50B32"/>
    <w:rsid w:val="00E51572"/>
    <w:rsid w:val="00E52B0D"/>
    <w:rsid w:val="00E52BC8"/>
    <w:rsid w:val="00E538DC"/>
    <w:rsid w:val="00E539DF"/>
    <w:rsid w:val="00E53F48"/>
    <w:rsid w:val="00E54142"/>
    <w:rsid w:val="00E55EB7"/>
    <w:rsid w:val="00E56E12"/>
    <w:rsid w:val="00E60060"/>
    <w:rsid w:val="00E60909"/>
    <w:rsid w:val="00E61BA6"/>
    <w:rsid w:val="00E6248E"/>
    <w:rsid w:val="00E64147"/>
    <w:rsid w:val="00E65FC4"/>
    <w:rsid w:val="00E66625"/>
    <w:rsid w:val="00E67331"/>
    <w:rsid w:val="00E679DC"/>
    <w:rsid w:val="00E70B24"/>
    <w:rsid w:val="00E716C4"/>
    <w:rsid w:val="00E72152"/>
    <w:rsid w:val="00E7409D"/>
    <w:rsid w:val="00E74435"/>
    <w:rsid w:val="00E74743"/>
    <w:rsid w:val="00E754CF"/>
    <w:rsid w:val="00E80FC7"/>
    <w:rsid w:val="00E81753"/>
    <w:rsid w:val="00E82935"/>
    <w:rsid w:val="00E82BF6"/>
    <w:rsid w:val="00E82D03"/>
    <w:rsid w:val="00E83703"/>
    <w:rsid w:val="00E83E29"/>
    <w:rsid w:val="00E85B0F"/>
    <w:rsid w:val="00E86B22"/>
    <w:rsid w:val="00E903BB"/>
    <w:rsid w:val="00E91360"/>
    <w:rsid w:val="00E92D56"/>
    <w:rsid w:val="00E933B7"/>
    <w:rsid w:val="00E94E85"/>
    <w:rsid w:val="00E94EC5"/>
    <w:rsid w:val="00E951C6"/>
    <w:rsid w:val="00E9608C"/>
    <w:rsid w:val="00E960F5"/>
    <w:rsid w:val="00E96945"/>
    <w:rsid w:val="00E9778F"/>
    <w:rsid w:val="00E97DEB"/>
    <w:rsid w:val="00EA0582"/>
    <w:rsid w:val="00EA1D2B"/>
    <w:rsid w:val="00EA4341"/>
    <w:rsid w:val="00EA484E"/>
    <w:rsid w:val="00EA557A"/>
    <w:rsid w:val="00EA5E6C"/>
    <w:rsid w:val="00EA6549"/>
    <w:rsid w:val="00EA677A"/>
    <w:rsid w:val="00EA7F20"/>
    <w:rsid w:val="00EB00C0"/>
    <w:rsid w:val="00EB0601"/>
    <w:rsid w:val="00EB0C52"/>
    <w:rsid w:val="00EB0E99"/>
    <w:rsid w:val="00EB1966"/>
    <w:rsid w:val="00EB19AD"/>
    <w:rsid w:val="00EB1E8B"/>
    <w:rsid w:val="00EB3855"/>
    <w:rsid w:val="00EB3DC5"/>
    <w:rsid w:val="00EB493E"/>
    <w:rsid w:val="00EB498F"/>
    <w:rsid w:val="00EB4B67"/>
    <w:rsid w:val="00EB61B2"/>
    <w:rsid w:val="00EB6653"/>
    <w:rsid w:val="00EB6728"/>
    <w:rsid w:val="00EB6A3D"/>
    <w:rsid w:val="00EB710A"/>
    <w:rsid w:val="00EB72EA"/>
    <w:rsid w:val="00EC02BA"/>
    <w:rsid w:val="00EC06C4"/>
    <w:rsid w:val="00EC0929"/>
    <w:rsid w:val="00EC10EC"/>
    <w:rsid w:val="00EC2739"/>
    <w:rsid w:val="00EC30D8"/>
    <w:rsid w:val="00EC3509"/>
    <w:rsid w:val="00EC37E0"/>
    <w:rsid w:val="00EC510E"/>
    <w:rsid w:val="00EC52D5"/>
    <w:rsid w:val="00EC53B7"/>
    <w:rsid w:val="00EC59B9"/>
    <w:rsid w:val="00EC5B52"/>
    <w:rsid w:val="00EC6030"/>
    <w:rsid w:val="00EC75CC"/>
    <w:rsid w:val="00EC76D1"/>
    <w:rsid w:val="00ED143E"/>
    <w:rsid w:val="00ED1523"/>
    <w:rsid w:val="00ED26FA"/>
    <w:rsid w:val="00ED3927"/>
    <w:rsid w:val="00ED392D"/>
    <w:rsid w:val="00ED4F6D"/>
    <w:rsid w:val="00ED52B8"/>
    <w:rsid w:val="00ED6179"/>
    <w:rsid w:val="00ED61CE"/>
    <w:rsid w:val="00ED63FF"/>
    <w:rsid w:val="00ED6AF8"/>
    <w:rsid w:val="00ED6DC8"/>
    <w:rsid w:val="00ED6EF6"/>
    <w:rsid w:val="00ED7829"/>
    <w:rsid w:val="00EE1BD0"/>
    <w:rsid w:val="00EE1C84"/>
    <w:rsid w:val="00EE1FD2"/>
    <w:rsid w:val="00EE22BD"/>
    <w:rsid w:val="00EE2BC1"/>
    <w:rsid w:val="00EE33D1"/>
    <w:rsid w:val="00EE3F3F"/>
    <w:rsid w:val="00EE44ED"/>
    <w:rsid w:val="00EE5A5C"/>
    <w:rsid w:val="00EE5ECC"/>
    <w:rsid w:val="00EE7479"/>
    <w:rsid w:val="00EF0338"/>
    <w:rsid w:val="00EF0736"/>
    <w:rsid w:val="00EF0BBF"/>
    <w:rsid w:val="00EF12D1"/>
    <w:rsid w:val="00EF12D3"/>
    <w:rsid w:val="00EF13AB"/>
    <w:rsid w:val="00EF1C0C"/>
    <w:rsid w:val="00EF1D9B"/>
    <w:rsid w:val="00EF3CF3"/>
    <w:rsid w:val="00EF5176"/>
    <w:rsid w:val="00EF55FC"/>
    <w:rsid w:val="00EF576C"/>
    <w:rsid w:val="00EF589C"/>
    <w:rsid w:val="00EF65D6"/>
    <w:rsid w:val="00EF7F24"/>
    <w:rsid w:val="00EF7F40"/>
    <w:rsid w:val="00F00F8A"/>
    <w:rsid w:val="00F02480"/>
    <w:rsid w:val="00F02997"/>
    <w:rsid w:val="00F02BF0"/>
    <w:rsid w:val="00F039B5"/>
    <w:rsid w:val="00F0481B"/>
    <w:rsid w:val="00F05678"/>
    <w:rsid w:val="00F05F0B"/>
    <w:rsid w:val="00F06358"/>
    <w:rsid w:val="00F10194"/>
    <w:rsid w:val="00F10CCC"/>
    <w:rsid w:val="00F11165"/>
    <w:rsid w:val="00F1200D"/>
    <w:rsid w:val="00F12B63"/>
    <w:rsid w:val="00F12F92"/>
    <w:rsid w:val="00F13FA1"/>
    <w:rsid w:val="00F15BF6"/>
    <w:rsid w:val="00F161DC"/>
    <w:rsid w:val="00F16ABD"/>
    <w:rsid w:val="00F17743"/>
    <w:rsid w:val="00F17B85"/>
    <w:rsid w:val="00F20B31"/>
    <w:rsid w:val="00F20BCD"/>
    <w:rsid w:val="00F20FD3"/>
    <w:rsid w:val="00F2357D"/>
    <w:rsid w:val="00F23C3E"/>
    <w:rsid w:val="00F24D3A"/>
    <w:rsid w:val="00F24F4D"/>
    <w:rsid w:val="00F24FAD"/>
    <w:rsid w:val="00F250CA"/>
    <w:rsid w:val="00F261DE"/>
    <w:rsid w:val="00F26F0F"/>
    <w:rsid w:val="00F26F2F"/>
    <w:rsid w:val="00F26F33"/>
    <w:rsid w:val="00F27173"/>
    <w:rsid w:val="00F27B6C"/>
    <w:rsid w:val="00F3116E"/>
    <w:rsid w:val="00F323C2"/>
    <w:rsid w:val="00F32E4B"/>
    <w:rsid w:val="00F331A8"/>
    <w:rsid w:val="00F339CC"/>
    <w:rsid w:val="00F34173"/>
    <w:rsid w:val="00F341FA"/>
    <w:rsid w:val="00F34926"/>
    <w:rsid w:val="00F349AF"/>
    <w:rsid w:val="00F34AA7"/>
    <w:rsid w:val="00F34C30"/>
    <w:rsid w:val="00F34DE4"/>
    <w:rsid w:val="00F34E4F"/>
    <w:rsid w:val="00F361D4"/>
    <w:rsid w:val="00F364BB"/>
    <w:rsid w:val="00F369FC"/>
    <w:rsid w:val="00F36A3D"/>
    <w:rsid w:val="00F36BA5"/>
    <w:rsid w:val="00F37DB3"/>
    <w:rsid w:val="00F41696"/>
    <w:rsid w:val="00F41783"/>
    <w:rsid w:val="00F42A57"/>
    <w:rsid w:val="00F430B9"/>
    <w:rsid w:val="00F43836"/>
    <w:rsid w:val="00F443CB"/>
    <w:rsid w:val="00F44A2E"/>
    <w:rsid w:val="00F45093"/>
    <w:rsid w:val="00F459D6"/>
    <w:rsid w:val="00F46AF9"/>
    <w:rsid w:val="00F46EEE"/>
    <w:rsid w:val="00F4719E"/>
    <w:rsid w:val="00F50210"/>
    <w:rsid w:val="00F5176F"/>
    <w:rsid w:val="00F5191D"/>
    <w:rsid w:val="00F52BDC"/>
    <w:rsid w:val="00F53255"/>
    <w:rsid w:val="00F53353"/>
    <w:rsid w:val="00F54277"/>
    <w:rsid w:val="00F548D5"/>
    <w:rsid w:val="00F54A13"/>
    <w:rsid w:val="00F55434"/>
    <w:rsid w:val="00F554E7"/>
    <w:rsid w:val="00F55B95"/>
    <w:rsid w:val="00F56EC6"/>
    <w:rsid w:val="00F577DC"/>
    <w:rsid w:val="00F57B74"/>
    <w:rsid w:val="00F60377"/>
    <w:rsid w:val="00F605C5"/>
    <w:rsid w:val="00F60D5F"/>
    <w:rsid w:val="00F610D7"/>
    <w:rsid w:val="00F618DD"/>
    <w:rsid w:val="00F62D5D"/>
    <w:rsid w:val="00F64EC4"/>
    <w:rsid w:val="00F653AD"/>
    <w:rsid w:val="00F65564"/>
    <w:rsid w:val="00F66066"/>
    <w:rsid w:val="00F6771C"/>
    <w:rsid w:val="00F67791"/>
    <w:rsid w:val="00F7069C"/>
    <w:rsid w:val="00F70D75"/>
    <w:rsid w:val="00F7135A"/>
    <w:rsid w:val="00F7135E"/>
    <w:rsid w:val="00F719ED"/>
    <w:rsid w:val="00F721BE"/>
    <w:rsid w:val="00F72C01"/>
    <w:rsid w:val="00F73D97"/>
    <w:rsid w:val="00F740DC"/>
    <w:rsid w:val="00F744B0"/>
    <w:rsid w:val="00F74519"/>
    <w:rsid w:val="00F75533"/>
    <w:rsid w:val="00F75696"/>
    <w:rsid w:val="00F7585B"/>
    <w:rsid w:val="00F75E08"/>
    <w:rsid w:val="00F76277"/>
    <w:rsid w:val="00F76638"/>
    <w:rsid w:val="00F76ECC"/>
    <w:rsid w:val="00F7734E"/>
    <w:rsid w:val="00F7746D"/>
    <w:rsid w:val="00F774E4"/>
    <w:rsid w:val="00F77551"/>
    <w:rsid w:val="00F80BF3"/>
    <w:rsid w:val="00F824EA"/>
    <w:rsid w:val="00F83177"/>
    <w:rsid w:val="00F83C30"/>
    <w:rsid w:val="00F84B0D"/>
    <w:rsid w:val="00F85751"/>
    <w:rsid w:val="00F86047"/>
    <w:rsid w:val="00F875BD"/>
    <w:rsid w:val="00F87AEF"/>
    <w:rsid w:val="00F87CFC"/>
    <w:rsid w:val="00F916BD"/>
    <w:rsid w:val="00F918AF"/>
    <w:rsid w:val="00F92ECB"/>
    <w:rsid w:val="00F930A3"/>
    <w:rsid w:val="00F9366D"/>
    <w:rsid w:val="00F94935"/>
    <w:rsid w:val="00F94C0F"/>
    <w:rsid w:val="00F9503A"/>
    <w:rsid w:val="00F9553D"/>
    <w:rsid w:val="00F9666A"/>
    <w:rsid w:val="00F9681E"/>
    <w:rsid w:val="00F97922"/>
    <w:rsid w:val="00FA06F6"/>
    <w:rsid w:val="00FA0BE2"/>
    <w:rsid w:val="00FA0FAE"/>
    <w:rsid w:val="00FA1A19"/>
    <w:rsid w:val="00FA21A2"/>
    <w:rsid w:val="00FA22C4"/>
    <w:rsid w:val="00FA2601"/>
    <w:rsid w:val="00FA4A32"/>
    <w:rsid w:val="00FA7BE8"/>
    <w:rsid w:val="00FB0DB6"/>
    <w:rsid w:val="00FB1835"/>
    <w:rsid w:val="00FB23E6"/>
    <w:rsid w:val="00FB2D55"/>
    <w:rsid w:val="00FB3A29"/>
    <w:rsid w:val="00FB3AD1"/>
    <w:rsid w:val="00FB3CB6"/>
    <w:rsid w:val="00FB61BF"/>
    <w:rsid w:val="00FB6793"/>
    <w:rsid w:val="00FB7051"/>
    <w:rsid w:val="00FB760B"/>
    <w:rsid w:val="00FB7716"/>
    <w:rsid w:val="00FB7776"/>
    <w:rsid w:val="00FB7826"/>
    <w:rsid w:val="00FB7A59"/>
    <w:rsid w:val="00FC14A1"/>
    <w:rsid w:val="00FC155A"/>
    <w:rsid w:val="00FC15A5"/>
    <w:rsid w:val="00FC16E3"/>
    <w:rsid w:val="00FC1C49"/>
    <w:rsid w:val="00FC208D"/>
    <w:rsid w:val="00FC237B"/>
    <w:rsid w:val="00FC27AB"/>
    <w:rsid w:val="00FC313C"/>
    <w:rsid w:val="00FC3731"/>
    <w:rsid w:val="00FC38D8"/>
    <w:rsid w:val="00FC3CD8"/>
    <w:rsid w:val="00FC4354"/>
    <w:rsid w:val="00FC4712"/>
    <w:rsid w:val="00FC4733"/>
    <w:rsid w:val="00FC4A4C"/>
    <w:rsid w:val="00FC4E8F"/>
    <w:rsid w:val="00FC6BD8"/>
    <w:rsid w:val="00FC739D"/>
    <w:rsid w:val="00FC79CE"/>
    <w:rsid w:val="00FC7C79"/>
    <w:rsid w:val="00FC7F7F"/>
    <w:rsid w:val="00FD0229"/>
    <w:rsid w:val="00FD1746"/>
    <w:rsid w:val="00FD34A3"/>
    <w:rsid w:val="00FD3704"/>
    <w:rsid w:val="00FD578F"/>
    <w:rsid w:val="00FD5975"/>
    <w:rsid w:val="00FD5AC7"/>
    <w:rsid w:val="00FD5B0A"/>
    <w:rsid w:val="00FD667E"/>
    <w:rsid w:val="00FD6ABC"/>
    <w:rsid w:val="00FD6F0B"/>
    <w:rsid w:val="00FD73B2"/>
    <w:rsid w:val="00FD7F7B"/>
    <w:rsid w:val="00FE02D0"/>
    <w:rsid w:val="00FE0C0F"/>
    <w:rsid w:val="00FE0DB5"/>
    <w:rsid w:val="00FE0E5B"/>
    <w:rsid w:val="00FE155E"/>
    <w:rsid w:val="00FE2604"/>
    <w:rsid w:val="00FE26FF"/>
    <w:rsid w:val="00FE2CA8"/>
    <w:rsid w:val="00FE2CE5"/>
    <w:rsid w:val="00FE2DDF"/>
    <w:rsid w:val="00FE3585"/>
    <w:rsid w:val="00FE39A3"/>
    <w:rsid w:val="00FE42E1"/>
    <w:rsid w:val="00FE44E2"/>
    <w:rsid w:val="00FE46CE"/>
    <w:rsid w:val="00FE4F98"/>
    <w:rsid w:val="00FE5484"/>
    <w:rsid w:val="00FE56C1"/>
    <w:rsid w:val="00FE57F3"/>
    <w:rsid w:val="00FE5B36"/>
    <w:rsid w:val="00FE649E"/>
    <w:rsid w:val="00FE6B32"/>
    <w:rsid w:val="00FE6E0E"/>
    <w:rsid w:val="00FF043C"/>
    <w:rsid w:val="00FF1298"/>
    <w:rsid w:val="00FF179C"/>
    <w:rsid w:val="00FF19E3"/>
    <w:rsid w:val="00FF1CFC"/>
    <w:rsid w:val="00FF1F90"/>
    <w:rsid w:val="00FF2260"/>
    <w:rsid w:val="00FF3600"/>
    <w:rsid w:val="00FF4117"/>
    <w:rsid w:val="00FF61ED"/>
    <w:rsid w:val="00FF6345"/>
    <w:rsid w:val="00FF7462"/>
    <w:rsid w:val="00FF7F66"/>
    <w:rsid w:val="04B4567E"/>
    <w:rsid w:val="0C4370B1"/>
    <w:rsid w:val="177218C7"/>
    <w:rsid w:val="1AF34A6F"/>
    <w:rsid w:val="1CF757D3"/>
    <w:rsid w:val="2761254D"/>
    <w:rsid w:val="29C036B8"/>
    <w:rsid w:val="2F4B7A2D"/>
    <w:rsid w:val="3C7C2879"/>
    <w:rsid w:val="3D0A0101"/>
    <w:rsid w:val="3E4063FD"/>
    <w:rsid w:val="3F3154A4"/>
    <w:rsid w:val="402032E1"/>
    <w:rsid w:val="46727CC2"/>
    <w:rsid w:val="48F36A89"/>
    <w:rsid w:val="49D75CD7"/>
    <w:rsid w:val="57131093"/>
    <w:rsid w:val="5AD83EDD"/>
    <w:rsid w:val="5DDD64CB"/>
    <w:rsid w:val="686B6D21"/>
    <w:rsid w:val="6B23509B"/>
    <w:rsid w:val="6CB84679"/>
    <w:rsid w:val="7723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78"/>
    <w:qFormat/>
    <w:uiPriority w:val="0"/>
    <w:pPr>
      <w:keepNext/>
      <w:keepLines/>
      <w:spacing w:before="120" w:after="120" w:line="240" w:lineRule="auto"/>
      <w:ind w:firstLine="562"/>
      <w:jc w:val="center"/>
      <w:textAlignment w:val="auto"/>
      <w:outlineLvl w:val="0"/>
    </w:pPr>
    <w:rPr>
      <w:rFonts w:eastAsia="黑体"/>
      <w:b/>
      <w:kern w:val="44"/>
      <w:sz w:val="32"/>
      <w:szCs w:val="32"/>
      <w:lang w:val="zh-CN" w:eastAsia="zh-CN"/>
    </w:rPr>
  </w:style>
  <w:style w:type="paragraph" w:styleId="3">
    <w:name w:val="heading 2"/>
    <w:basedOn w:val="1"/>
    <w:next w:val="1"/>
    <w:link w:val="88"/>
    <w:qFormat/>
    <w:uiPriority w:val="9"/>
    <w:pPr>
      <w:keepNext/>
      <w:keepLines/>
      <w:spacing w:before="120" w:after="120" w:line="240" w:lineRule="auto"/>
      <w:ind w:firstLine="482"/>
      <w:jc w:val="center"/>
      <w:textAlignment w:val="auto"/>
      <w:outlineLvl w:val="1"/>
    </w:pPr>
    <w:rPr>
      <w:b/>
      <w:sz w:val="28"/>
      <w:szCs w:val="28"/>
      <w:lang w:val="zh-CN" w:eastAsia="zh-CN"/>
    </w:rPr>
  </w:style>
  <w:style w:type="paragraph" w:styleId="4">
    <w:name w:val="heading 3"/>
    <w:basedOn w:val="1"/>
    <w:next w:val="1"/>
    <w:link w:val="91"/>
    <w:qFormat/>
    <w:uiPriority w:val="9"/>
    <w:pPr>
      <w:keepNext/>
      <w:keepLines/>
      <w:tabs>
        <w:tab w:val="left" w:pos="2662"/>
        <w:tab w:val="center" w:pos="4156"/>
      </w:tabs>
      <w:spacing w:before="260" w:after="260" w:line="416" w:lineRule="atLeast"/>
      <w:jc w:val="center"/>
      <w:outlineLvl w:val="2"/>
    </w:pPr>
    <w:rPr>
      <w:b/>
      <w:sz w:val="24"/>
      <w:lang w:val="zh-CN" w:eastAsia="zh-CN"/>
    </w:rPr>
  </w:style>
  <w:style w:type="paragraph" w:styleId="5">
    <w:name w:val="heading 4"/>
    <w:basedOn w:val="1"/>
    <w:next w:val="1"/>
    <w:link w:val="93"/>
    <w:qFormat/>
    <w:uiPriority w:val="0"/>
    <w:pPr>
      <w:spacing w:before="120" w:after="120" w:line="240" w:lineRule="auto"/>
      <w:jc w:val="left"/>
      <w:textAlignment w:val="auto"/>
      <w:outlineLvl w:val="3"/>
    </w:pPr>
    <w:rPr>
      <w:b/>
      <w:sz w:val="24"/>
      <w:szCs w:val="24"/>
      <w:lang w:val="zh-CN" w:eastAsia="zh-CN"/>
    </w:rPr>
  </w:style>
  <w:style w:type="paragraph" w:styleId="6">
    <w:name w:val="heading 5"/>
    <w:basedOn w:val="1"/>
    <w:next w:val="1"/>
    <w:link w:val="94"/>
    <w:qFormat/>
    <w:uiPriority w:val="0"/>
    <w:pPr>
      <w:keepNext/>
      <w:keepLines/>
      <w:spacing w:before="280" w:after="290" w:line="376" w:lineRule="atLeast"/>
      <w:outlineLvl w:val="4"/>
    </w:pPr>
    <w:rPr>
      <w:b/>
      <w:bCs/>
      <w:sz w:val="28"/>
      <w:szCs w:val="28"/>
      <w:lang w:val="zh-CN" w:eastAsia="zh-CN"/>
    </w:rPr>
  </w:style>
  <w:style w:type="paragraph" w:styleId="7">
    <w:name w:val="heading 6"/>
    <w:basedOn w:val="1"/>
    <w:next w:val="1"/>
    <w:link w:val="107"/>
    <w:qFormat/>
    <w:uiPriority w:val="0"/>
    <w:pPr>
      <w:keepNext/>
      <w:keepLines/>
      <w:spacing w:before="240" w:after="64" w:line="320" w:lineRule="atLeast"/>
      <w:outlineLvl w:val="5"/>
    </w:pPr>
    <w:rPr>
      <w:rFonts w:ascii="Arial" w:hAnsi="Arial" w:eastAsia="黑体"/>
      <w:b/>
      <w:bCs/>
      <w:sz w:val="24"/>
      <w:szCs w:val="24"/>
      <w:lang w:val="zh-CN" w:eastAsia="zh-CN"/>
    </w:rPr>
  </w:style>
  <w:style w:type="paragraph" w:styleId="8">
    <w:name w:val="heading 7"/>
    <w:basedOn w:val="1"/>
    <w:next w:val="1"/>
    <w:link w:val="108"/>
    <w:qFormat/>
    <w:uiPriority w:val="0"/>
    <w:pPr>
      <w:keepNext/>
      <w:keepLines/>
      <w:spacing w:before="240" w:after="64" w:line="320" w:lineRule="atLeast"/>
      <w:outlineLvl w:val="6"/>
    </w:pPr>
    <w:rPr>
      <w:b/>
      <w:bCs/>
      <w:sz w:val="24"/>
      <w:szCs w:val="24"/>
      <w:lang w:val="zh-CN" w:eastAsia="zh-CN"/>
    </w:rPr>
  </w:style>
  <w:style w:type="paragraph" w:styleId="9">
    <w:name w:val="heading 8"/>
    <w:basedOn w:val="1"/>
    <w:next w:val="1"/>
    <w:link w:val="109"/>
    <w:qFormat/>
    <w:uiPriority w:val="0"/>
    <w:pPr>
      <w:keepNext/>
      <w:keepLines/>
      <w:spacing w:before="240" w:after="64" w:line="320" w:lineRule="atLeast"/>
      <w:outlineLvl w:val="7"/>
    </w:pPr>
    <w:rPr>
      <w:rFonts w:ascii="Arial" w:hAnsi="Arial" w:eastAsia="黑体"/>
      <w:sz w:val="24"/>
      <w:szCs w:val="24"/>
      <w:lang w:val="zh-CN" w:eastAsia="zh-CN"/>
    </w:rPr>
  </w:style>
  <w:style w:type="paragraph" w:styleId="10">
    <w:name w:val="heading 9"/>
    <w:basedOn w:val="1"/>
    <w:next w:val="1"/>
    <w:link w:val="110"/>
    <w:qFormat/>
    <w:uiPriority w:val="0"/>
    <w:pPr>
      <w:keepNext/>
      <w:keepLines/>
      <w:spacing w:before="240" w:after="64" w:line="320" w:lineRule="atLeast"/>
      <w:outlineLvl w:val="8"/>
    </w:pPr>
    <w:rPr>
      <w:rFonts w:ascii="Arial" w:hAnsi="Arial" w:eastAsia="黑体"/>
      <w:szCs w:val="21"/>
      <w:lang w:val="zh-CN" w:eastAsia="zh-CN"/>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widowControl/>
      <w:adjustRightInd/>
      <w:spacing w:line="240" w:lineRule="auto"/>
      <w:ind w:left="1080" w:hanging="360"/>
      <w:jc w:val="left"/>
      <w:textAlignment w:val="auto"/>
    </w:pPr>
    <w:rPr>
      <w:sz w:val="24"/>
      <w:szCs w:val="24"/>
      <w:lang w:eastAsia="en-US"/>
    </w:rPr>
  </w:style>
  <w:style w:type="paragraph" w:styleId="12">
    <w:name w:val="toc 7"/>
    <w:basedOn w:val="1"/>
    <w:next w:val="1"/>
    <w:qFormat/>
    <w:uiPriority w:val="39"/>
    <w:pPr>
      <w:ind w:left="1260"/>
      <w:jc w:val="left"/>
    </w:pPr>
    <w:rPr>
      <w:rFonts w:ascii="Calibri" w:hAnsi="Calibri"/>
      <w:sz w:val="18"/>
      <w:szCs w:val="18"/>
    </w:rPr>
  </w:style>
  <w:style w:type="paragraph" w:styleId="13">
    <w:name w:val="List Number 2"/>
    <w:basedOn w:val="1"/>
    <w:qFormat/>
    <w:uiPriority w:val="0"/>
    <w:pPr>
      <w:widowControl/>
      <w:numPr>
        <w:ilvl w:val="0"/>
        <w:numId w:val="1"/>
      </w:numPr>
      <w:tabs>
        <w:tab w:val="left" w:pos="720"/>
        <w:tab w:val="clear" w:pos="360"/>
      </w:tabs>
      <w:adjustRightInd/>
      <w:spacing w:line="240" w:lineRule="auto"/>
      <w:ind w:left="720"/>
      <w:jc w:val="left"/>
      <w:textAlignment w:val="auto"/>
    </w:pPr>
    <w:rPr>
      <w:sz w:val="20"/>
      <w:lang w:eastAsia="en-US"/>
    </w:rPr>
  </w:style>
  <w:style w:type="paragraph" w:styleId="14">
    <w:name w:val="Note Heading"/>
    <w:basedOn w:val="1"/>
    <w:next w:val="1"/>
    <w:link w:val="181"/>
    <w:qFormat/>
    <w:uiPriority w:val="0"/>
    <w:pPr>
      <w:widowControl/>
      <w:suppressAutoHyphens/>
      <w:overflowPunct w:val="0"/>
      <w:autoSpaceDE w:val="0"/>
      <w:autoSpaceDN w:val="0"/>
      <w:spacing w:line="240" w:lineRule="auto"/>
    </w:pPr>
    <w:rPr>
      <w:sz w:val="24"/>
      <w:lang w:val="zh-CN" w:eastAsia="en-US"/>
    </w:rPr>
  </w:style>
  <w:style w:type="paragraph" w:styleId="15">
    <w:name w:val="List Bullet 4"/>
    <w:basedOn w:val="1"/>
    <w:qFormat/>
    <w:uiPriority w:val="0"/>
    <w:pPr>
      <w:widowControl/>
      <w:numPr>
        <w:ilvl w:val="0"/>
        <w:numId w:val="2"/>
      </w:numPr>
      <w:tabs>
        <w:tab w:val="left" w:pos="1440"/>
        <w:tab w:val="clear" w:pos="1080"/>
      </w:tabs>
      <w:adjustRightInd/>
      <w:spacing w:line="240" w:lineRule="auto"/>
      <w:ind w:left="1440"/>
      <w:jc w:val="left"/>
      <w:textAlignment w:val="auto"/>
    </w:pPr>
    <w:rPr>
      <w:sz w:val="20"/>
      <w:lang w:eastAsia="en-US"/>
    </w:rPr>
  </w:style>
  <w:style w:type="paragraph" w:styleId="16">
    <w:name w:val="List Number"/>
    <w:basedOn w:val="1"/>
    <w:qFormat/>
    <w:uiPriority w:val="0"/>
    <w:pPr>
      <w:widowControl/>
      <w:numPr>
        <w:ilvl w:val="0"/>
        <w:numId w:val="3"/>
      </w:numPr>
      <w:tabs>
        <w:tab w:val="left" w:pos="360"/>
        <w:tab w:val="clear" w:pos="1800"/>
      </w:tabs>
      <w:adjustRightInd/>
      <w:spacing w:line="240" w:lineRule="auto"/>
      <w:ind w:left="360"/>
      <w:jc w:val="left"/>
      <w:textAlignment w:val="auto"/>
    </w:pPr>
    <w:rPr>
      <w:sz w:val="20"/>
      <w:lang w:eastAsia="en-US"/>
    </w:rPr>
  </w:style>
  <w:style w:type="paragraph" w:styleId="17">
    <w:name w:val="Normal Indent"/>
    <w:basedOn w:val="1"/>
    <w:qFormat/>
    <w:uiPriority w:val="0"/>
    <w:pPr>
      <w:widowControl/>
      <w:adjustRightInd/>
      <w:spacing w:line="240" w:lineRule="auto"/>
      <w:ind w:left="720"/>
      <w:jc w:val="left"/>
      <w:textAlignment w:val="auto"/>
    </w:pPr>
    <w:rPr>
      <w:sz w:val="24"/>
      <w:szCs w:val="24"/>
      <w:lang w:eastAsia="en-US"/>
    </w:rPr>
  </w:style>
  <w:style w:type="paragraph" w:styleId="18">
    <w:name w:val="caption"/>
    <w:basedOn w:val="1"/>
    <w:next w:val="1"/>
    <w:qFormat/>
    <w:uiPriority w:val="0"/>
    <w:pPr>
      <w:widowControl/>
      <w:tabs>
        <w:tab w:val="right" w:pos="7254"/>
      </w:tabs>
      <w:adjustRightInd/>
      <w:spacing w:before="60" w:after="60" w:line="240" w:lineRule="auto"/>
      <w:jc w:val="center"/>
      <w:textAlignment w:val="auto"/>
    </w:pPr>
    <w:rPr>
      <w:rFonts w:ascii="Arial" w:hAnsi="Arial" w:cs="Arial"/>
      <w:b/>
      <w:sz w:val="24"/>
      <w:szCs w:val="24"/>
      <w:lang w:eastAsia="en-US"/>
    </w:rPr>
  </w:style>
  <w:style w:type="paragraph" w:styleId="19">
    <w:name w:val="List Bullet"/>
    <w:basedOn w:val="1"/>
    <w:qFormat/>
    <w:uiPriority w:val="0"/>
    <w:pPr>
      <w:widowControl/>
      <w:tabs>
        <w:tab w:val="left" w:pos="360"/>
      </w:tabs>
      <w:adjustRightInd/>
      <w:spacing w:line="240" w:lineRule="auto"/>
      <w:ind w:left="360" w:hanging="360"/>
      <w:jc w:val="left"/>
      <w:textAlignment w:val="auto"/>
    </w:pPr>
    <w:rPr>
      <w:sz w:val="20"/>
      <w:lang w:eastAsia="en-US"/>
    </w:rPr>
  </w:style>
  <w:style w:type="paragraph" w:styleId="20">
    <w:name w:val="Document Map"/>
    <w:basedOn w:val="1"/>
    <w:link w:val="106"/>
    <w:semiHidden/>
    <w:qFormat/>
    <w:uiPriority w:val="0"/>
    <w:pPr>
      <w:shd w:val="clear" w:color="auto" w:fill="000080"/>
      <w:adjustRightInd/>
      <w:spacing w:line="240" w:lineRule="auto"/>
      <w:textAlignment w:val="auto"/>
    </w:pPr>
    <w:rPr>
      <w:kern w:val="2"/>
      <w:szCs w:val="24"/>
      <w:lang w:val="zh-CN" w:eastAsia="zh-CN"/>
    </w:rPr>
  </w:style>
  <w:style w:type="paragraph" w:styleId="21">
    <w:name w:val="annotation text"/>
    <w:basedOn w:val="1"/>
    <w:link w:val="84"/>
    <w:qFormat/>
    <w:uiPriority w:val="0"/>
    <w:pPr>
      <w:jc w:val="left"/>
    </w:pPr>
    <w:rPr>
      <w:lang w:val="zh-CN" w:eastAsia="zh-CN"/>
    </w:rPr>
  </w:style>
  <w:style w:type="paragraph" w:styleId="22">
    <w:name w:val="Salutation"/>
    <w:basedOn w:val="1"/>
    <w:next w:val="1"/>
    <w:qFormat/>
    <w:uiPriority w:val="0"/>
    <w:rPr>
      <w:rFonts w:ascii="宋体" w:hAnsi="宋体"/>
      <w:szCs w:val="21"/>
      <w:lang w:val="es-ES"/>
    </w:rPr>
  </w:style>
  <w:style w:type="paragraph" w:styleId="23">
    <w:name w:val="Body Text 3"/>
    <w:basedOn w:val="1"/>
    <w:link w:val="127"/>
    <w:qFormat/>
    <w:uiPriority w:val="0"/>
    <w:pPr>
      <w:widowControl/>
      <w:adjustRightInd/>
      <w:spacing w:line="240" w:lineRule="auto"/>
      <w:textAlignment w:val="auto"/>
    </w:pPr>
    <w:rPr>
      <w:rFonts w:ascii="Arial" w:hAnsi="Arial"/>
      <w:i/>
      <w:sz w:val="20"/>
      <w:lang w:val="zh-CN" w:eastAsia="en-US"/>
    </w:rPr>
  </w:style>
  <w:style w:type="paragraph" w:styleId="24">
    <w:name w:val="Closing"/>
    <w:basedOn w:val="1"/>
    <w:qFormat/>
    <w:uiPriority w:val="0"/>
    <w:pPr>
      <w:ind w:left="100" w:leftChars="2100"/>
    </w:pPr>
    <w:rPr>
      <w:rFonts w:ascii="宋体" w:hAnsi="宋体"/>
      <w:szCs w:val="21"/>
      <w:lang w:val="es-ES"/>
    </w:rPr>
  </w:style>
  <w:style w:type="paragraph" w:styleId="25">
    <w:name w:val="List Bullet 3"/>
    <w:basedOn w:val="1"/>
    <w:qFormat/>
    <w:uiPriority w:val="0"/>
    <w:pPr>
      <w:widowControl/>
      <w:numPr>
        <w:ilvl w:val="0"/>
        <w:numId w:val="4"/>
      </w:numPr>
      <w:tabs>
        <w:tab w:val="left" w:pos="1080"/>
        <w:tab w:val="clear" w:pos="720"/>
      </w:tabs>
      <w:adjustRightInd/>
      <w:spacing w:line="240" w:lineRule="auto"/>
      <w:ind w:left="1080"/>
      <w:jc w:val="left"/>
      <w:textAlignment w:val="auto"/>
    </w:pPr>
    <w:rPr>
      <w:sz w:val="20"/>
      <w:lang w:eastAsia="en-US"/>
    </w:rPr>
  </w:style>
  <w:style w:type="paragraph" w:styleId="26">
    <w:name w:val="Body Text"/>
    <w:basedOn w:val="1"/>
    <w:link w:val="119"/>
    <w:qFormat/>
    <w:uiPriority w:val="0"/>
    <w:pPr>
      <w:widowControl/>
      <w:spacing w:line="240" w:lineRule="atLeast"/>
    </w:pPr>
    <w:rPr>
      <w:i/>
      <w:iCs/>
      <w:sz w:val="16"/>
      <w:lang w:val="zh-CN" w:eastAsia="zh-CN"/>
    </w:rPr>
  </w:style>
  <w:style w:type="paragraph" w:styleId="27">
    <w:name w:val="Body Text Indent"/>
    <w:basedOn w:val="1"/>
    <w:link w:val="92"/>
    <w:qFormat/>
    <w:uiPriority w:val="0"/>
    <w:pPr>
      <w:adjustRightInd/>
      <w:spacing w:line="240" w:lineRule="auto"/>
      <w:ind w:firstLine="360"/>
      <w:jc w:val="left"/>
      <w:textAlignment w:val="auto"/>
    </w:pPr>
    <w:rPr>
      <w:rFonts w:eastAsia="方正楷体"/>
      <w:sz w:val="20"/>
      <w:szCs w:val="24"/>
      <w:lang w:val="zh-CN" w:eastAsia="zh-CN"/>
    </w:rPr>
  </w:style>
  <w:style w:type="paragraph" w:styleId="28">
    <w:name w:val="List Number 3"/>
    <w:basedOn w:val="1"/>
    <w:qFormat/>
    <w:uiPriority w:val="0"/>
    <w:pPr>
      <w:widowControl/>
      <w:numPr>
        <w:ilvl w:val="0"/>
        <w:numId w:val="5"/>
      </w:numPr>
      <w:tabs>
        <w:tab w:val="left" w:pos="1080"/>
        <w:tab w:val="clear" w:pos="720"/>
      </w:tabs>
      <w:adjustRightInd/>
      <w:spacing w:line="240" w:lineRule="auto"/>
      <w:ind w:left="1080"/>
      <w:jc w:val="left"/>
      <w:textAlignment w:val="auto"/>
    </w:pPr>
    <w:rPr>
      <w:sz w:val="20"/>
      <w:lang w:eastAsia="en-US"/>
    </w:rPr>
  </w:style>
  <w:style w:type="paragraph" w:styleId="29">
    <w:name w:val="List 2"/>
    <w:basedOn w:val="1"/>
    <w:qFormat/>
    <w:uiPriority w:val="0"/>
    <w:pPr>
      <w:widowControl/>
      <w:adjustRightInd/>
      <w:spacing w:line="240" w:lineRule="auto"/>
      <w:ind w:left="720" w:hanging="360"/>
      <w:jc w:val="left"/>
      <w:textAlignment w:val="auto"/>
    </w:pPr>
    <w:rPr>
      <w:sz w:val="24"/>
      <w:szCs w:val="24"/>
      <w:lang w:eastAsia="en-US"/>
    </w:rPr>
  </w:style>
  <w:style w:type="paragraph" w:styleId="30">
    <w:name w:val="Block Text"/>
    <w:basedOn w:val="1"/>
    <w:qFormat/>
    <w:uiPriority w:val="0"/>
    <w:pPr>
      <w:widowControl/>
      <w:adjustRightInd/>
      <w:spacing w:line="240" w:lineRule="auto"/>
      <w:ind w:left="180" w:right="108"/>
      <w:textAlignment w:val="auto"/>
    </w:pPr>
    <w:rPr>
      <w:rFonts w:ascii="Comic Sans MS" w:hAnsi="Comic Sans MS" w:cs="Arial"/>
      <w:b/>
      <w:bCs/>
      <w:i/>
      <w:iCs/>
      <w:sz w:val="16"/>
      <w:szCs w:val="24"/>
      <w:lang w:eastAsia="en-US"/>
    </w:rPr>
  </w:style>
  <w:style w:type="paragraph" w:styleId="31">
    <w:name w:val="List Bullet 2"/>
    <w:basedOn w:val="1"/>
    <w:qFormat/>
    <w:uiPriority w:val="0"/>
    <w:pPr>
      <w:widowControl/>
      <w:numPr>
        <w:ilvl w:val="0"/>
        <w:numId w:val="6"/>
      </w:numPr>
      <w:tabs>
        <w:tab w:val="left" w:pos="720"/>
        <w:tab w:val="clear" w:pos="360"/>
      </w:tabs>
      <w:adjustRightInd/>
      <w:spacing w:line="240" w:lineRule="auto"/>
      <w:ind w:left="720"/>
      <w:jc w:val="left"/>
      <w:textAlignment w:val="auto"/>
    </w:pPr>
    <w:rPr>
      <w:sz w:val="20"/>
      <w:lang w:eastAsia="en-US"/>
    </w:rPr>
  </w:style>
  <w:style w:type="paragraph" w:styleId="32">
    <w:name w:val="toc 5"/>
    <w:basedOn w:val="1"/>
    <w:next w:val="1"/>
    <w:qFormat/>
    <w:uiPriority w:val="39"/>
    <w:pPr>
      <w:ind w:left="840"/>
      <w:jc w:val="left"/>
    </w:pPr>
    <w:rPr>
      <w:rFonts w:ascii="Calibri" w:hAnsi="Calibri"/>
      <w:sz w:val="18"/>
      <w:szCs w:val="18"/>
    </w:rPr>
  </w:style>
  <w:style w:type="paragraph" w:styleId="33">
    <w:name w:val="toc 3"/>
    <w:basedOn w:val="1"/>
    <w:next w:val="1"/>
    <w:qFormat/>
    <w:uiPriority w:val="39"/>
    <w:pPr>
      <w:spacing w:before="120" w:after="120"/>
      <w:ind w:left="420"/>
      <w:jc w:val="left"/>
    </w:pPr>
    <w:rPr>
      <w:b/>
      <w:iCs/>
      <w:sz w:val="22"/>
    </w:rPr>
  </w:style>
  <w:style w:type="paragraph" w:styleId="34">
    <w:name w:val="Plain Text"/>
    <w:basedOn w:val="1"/>
    <w:link w:val="216"/>
    <w:qFormat/>
    <w:uiPriority w:val="0"/>
    <w:pPr>
      <w:adjustRightInd/>
      <w:spacing w:line="240" w:lineRule="auto"/>
      <w:textAlignment w:val="auto"/>
    </w:pPr>
    <w:rPr>
      <w:rFonts w:ascii="宋体" w:hAnsi="Courier New"/>
      <w:kern w:val="2"/>
      <w:lang w:val="zh-CN" w:eastAsia="zh-CN"/>
    </w:rPr>
  </w:style>
  <w:style w:type="paragraph" w:styleId="35">
    <w:name w:val="List Bullet 5"/>
    <w:basedOn w:val="1"/>
    <w:qFormat/>
    <w:uiPriority w:val="0"/>
    <w:pPr>
      <w:widowControl/>
      <w:numPr>
        <w:ilvl w:val="0"/>
        <w:numId w:val="7"/>
      </w:numPr>
      <w:tabs>
        <w:tab w:val="left" w:pos="1800"/>
        <w:tab w:val="clear" w:pos="1440"/>
      </w:tabs>
      <w:adjustRightInd/>
      <w:spacing w:line="240" w:lineRule="auto"/>
      <w:ind w:left="1800"/>
      <w:jc w:val="left"/>
      <w:textAlignment w:val="auto"/>
    </w:pPr>
    <w:rPr>
      <w:sz w:val="20"/>
      <w:lang w:eastAsia="en-US"/>
    </w:rPr>
  </w:style>
  <w:style w:type="paragraph" w:styleId="36">
    <w:name w:val="List Number 4"/>
    <w:basedOn w:val="1"/>
    <w:qFormat/>
    <w:uiPriority w:val="0"/>
    <w:pPr>
      <w:widowControl/>
      <w:numPr>
        <w:ilvl w:val="0"/>
        <w:numId w:val="8"/>
      </w:numPr>
      <w:tabs>
        <w:tab w:val="left" w:pos="1440"/>
        <w:tab w:val="clear" w:pos="1080"/>
      </w:tabs>
      <w:adjustRightInd/>
      <w:spacing w:line="240" w:lineRule="auto"/>
      <w:ind w:left="1440"/>
      <w:jc w:val="left"/>
      <w:textAlignment w:val="auto"/>
    </w:pPr>
    <w:rPr>
      <w:sz w:val="20"/>
      <w:lang w:eastAsia="en-US"/>
    </w:rPr>
  </w:style>
  <w:style w:type="paragraph" w:styleId="37">
    <w:name w:val="toc 8"/>
    <w:basedOn w:val="1"/>
    <w:next w:val="1"/>
    <w:qFormat/>
    <w:uiPriority w:val="39"/>
    <w:pPr>
      <w:ind w:left="1470"/>
      <w:jc w:val="left"/>
    </w:pPr>
    <w:rPr>
      <w:rFonts w:ascii="Calibri" w:hAnsi="Calibri"/>
      <w:sz w:val="18"/>
      <w:szCs w:val="18"/>
    </w:rPr>
  </w:style>
  <w:style w:type="paragraph" w:styleId="38">
    <w:name w:val="Date"/>
    <w:basedOn w:val="1"/>
    <w:next w:val="1"/>
    <w:qFormat/>
    <w:uiPriority w:val="0"/>
    <w:pPr>
      <w:ind w:left="100" w:leftChars="2500"/>
    </w:pPr>
  </w:style>
  <w:style w:type="paragraph" w:styleId="39">
    <w:name w:val="Body Text Indent 2"/>
    <w:basedOn w:val="1"/>
    <w:link w:val="103"/>
    <w:qFormat/>
    <w:uiPriority w:val="0"/>
    <w:pPr>
      <w:widowControl/>
      <w:spacing w:beforeLines="50" w:afterLines="50" w:line="240" w:lineRule="atLeast"/>
      <w:ind w:firstLine="420" w:firstLineChars="200"/>
    </w:pPr>
    <w:rPr>
      <w:rFonts w:ascii="宋体" w:hAnsi="宋体"/>
      <w:szCs w:val="21"/>
      <w:lang w:val="zh-CN" w:eastAsia="zh-CN"/>
    </w:rPr>
  </w:style>
  <w:style w:type="paragraph" w:styleId="40">
    <w:name w:val="endnote text"/>
    <w:basedOn w:val="1"/>
    <w:link w:val="217"/>
    <w:semiHidden/>
    <w:qFormat/>
    <w:uiPriority w:val="0"/>
    <w:pPr>
      <w:snapToGrid w:val="0"/>
      <w:jc w:val="left"/>
    </w:pPr>
    <w:rPr>
      <w:lang w:val="zh-CN" w:eastAsia="zh-CN"/>
    </w:rPr>
  </w:style>
  <w:style w:type="paragraph" w:styleId="41">
    <w:name w:val="Balloon Text"/>
    <w:basedOn w:val="1"/>
    <w:link w:val="101"/>
    <w:semiHidden/>
    <w:qFormat/>
    <w:uiPriority w:val="0"/>
    <w:rPr>
      <w:sz w:val="18"/>
      <w:szCs w:val="18"/>
      <w:lang w:val="zh-CN" w:eastAsia="zh-CN"/>
    </w:rPr>
  </w:style>
  <w:style w:type="paragraph" w:styleId="42">
    <w:name w:val="footer"/>
    <w:basedOn w:val="1"/>
    <w:link w:val="89"/>
    <w:qFormat/>
    <w:uiPriority w:val="0"/>
    <w:pPr>
      <w:tabs>
        <w:tab w:val="center" w:pos="4320"/>
        <w:tab w:val="right" w:pos="8640"/>
      </w:tabs>
      <w:spacing w:line="240" w:lineRule="atLeast"/>
      <w:jc w:val="left"/>
    </w:pPr>
    <w:rPr>
      <w:sz w:val="18"/>
      <w:lang w:val="zh-CN" w:eastAsia="zh-CN"/>
    </w:rPr>
  </w:style>
  <w:style w:type="paragraph" w:styleId="43">
    <w:name w:val="header"/>
    <w:basedOn w:val="1"/>
    <w:link w:val="79"/>
    <w:qFormat/>
    <w:uiPriority w:val="99"/>
    <w:pPr>
      <w:pBdr>
        <w:bottom w:val="single" w:color="auto" w:sz="6" w:space="1"/>
      </w:pBdr>
      <w:tabs>
        <w:tab w:val="center" w:pos="4320"/>
        <w:tab w:val="right" w:pos="8640"/>
      </w:tabs>
      <w:spacing w:line="240" w:lineRule="atLeast"/>
      <w:jc w:val="center"/>
    </w:pPr>
    <w:rPr>
      <w:sz w:val="18"/>
      <w:lang w:val="zh-CN" w:eastAsia="zh-CN"/>
    </w:rPr>
  </w:style>
  <w:style w:type="paragraph" w:styleId="44">
    <w:name w:val="toc 1"/>
    <w:basedOn w:val="1"/>
    <w:next w:val="1"/>
    <w:qFormat/>
    <w:uiPriority w:val="39"/>
    <w:pPr>
      <w:spacing w:before="240" w:after="240"/>
      <w:jc w:val="left"/>
    </w:pPr>
    <w:rPr>
      <w:b/>
      <w:bCs/>
      <w:caps/>
      <w:sz w:val="24"/>
    </w:rPr>
  </w:style>
  <w:style w:type="paragraph" w:styleId="45">
    <w:name w:val="toc 4"/>
    <w:basedOn w:val="1"/>
    <w:next w:val="1"/>
    <w:qFormat/>
    <w:uiPriority w:val="39"/>
    <w:pPr>
      <w:ind w:left="840"/>
      <w:jc w:val="left"/>
    </w:pPr>
    <w:rPr>
      <w:szCs w:val="18"/>
    </w:rPr>
  </w:style>
  <w:style w:type="paragraph" w:styleId="46">
    <w:name w:val="Subtitle"/>
    <w:basedOn w:val="1"/>
    <w:link w:val="96"/>
    <w:qFormat/>
    <w:uiPriority w:val="0"/>
    <w:pPr>
      <w:widowControl/>
      <w:adjustRightInd/>
      <w:spacing w:line="240" w:lineRule="auto"/>
      <w:jc w:val="center"/>
      <w:textAlignment w:val="auto"/>
    </w:pPr>
    <w:rPr>
      <w:rFonts w:ascii="Arial" w:hAnsi="Arial"/>
      <w:b/>
      <w:sz w:val="40"/>
      <w:lang w:val="zh-CN" w:eastAsia="en-US"/>
    </w:rPr>
  </w:style>
  <w:style w:type="paragraph" w:styleId="47">
    <w:name w:val="List Number 5"/>
    <w:basedOn w:val="1"/>
    <w:qFormat/>
    <w:uiPriority w:val="0"/>
    <w:pPr>
      <w:widowControl/>
      <w:numPr>
        <w:ilvl w:val="0"/>
        <w:numId w:val="9"/>
      </w:numPr>
      <w:tabs>
        <w:tab w:val="left" w:pos="1800"/>
        <w:tab w:val="clear" w:pos="1440"/>
      </w:tabs>
      <w:adjustRightInd/>
      <w:spacing w:line="240" w:lineRule="auto"/>
      <w:ind w:left="1800"/>
      <w:jc w:val="left"/>
      <w:textAlignment w:val="auto"/>
    </w:pPr>
    <w:rPr>
      <w:sz w:val="20"/>
      <w:lang w:eastAsia="en-US"/>
    </w:rPr>
  </w:style>
  <w:style w:type="paragraph" w:styleId="48">
    <w:name w:val="List"/>
    <w:basedOn w:val="1"/>
    <w:qFormat/>
    <w:uiPriority w:val="0"/>
    <w:pPr>
      <w:widowControl/>
      <w:adjustRightInd/>
      <w:spacing w:before="120" w:after="120" w:line="240" w:lineRule="auto"/>
      <w:ind w:left="1440"/>
      <w:textAlignment w:val="auto"/>
    </w:pPr>
    <w:rPr>
      <w:rFonts w:ascii="Arial" w:hAnsi="Arial"/>
      <w:sz w:val="20"/>
      <w:lang w:eastAsia="en-US"/>
    </w:rPr>
  </w:style>
  <w:style w:type="paragraph" w:styleId="49">
    <w:name w:val="footnote text"/>
    <w:basedOn w:val="1"/>
    <w:link w:val="80"/>
    <w:qFormat/>
    <w:uiPriority w:val="0"/>
    <w:pPr>
      <w:widowControl/>
      <w:adjustRightInd/>
      <w:spacing w:line="240" w:lineRule="auto"/>
      <w:jc w:val="left"/>
      <w:textAlignment w:val="auto"/>
    </w:pPr>
    <w:rPr>
      <w:sz w:val="20"/>
      <w:lang w:val="zh-CN" w:eastAsia="en-US"/>
    </w:rPr>
  </w:style>
  <w:style w:type="paragraph" w:styleId="50">
    <w:name w:val="toc 6"/>
    <w:basedOn w:val="1"/>
    <w:next w:val="1"/>
    <w:qFormat/>
    <w:uiPriority w:val="39"/>
    <w:pPr>
      <w:ind w:left="1050"/>
      <w:jc w:val="left"/>
    </w:pPr>
    <w:rPr>
      <w:rFonts w:ascii="Calibri" w:hAnsi="Calibri"/>
      <w:sz w:val="18"/>
      <w:szCs w:val="18"/>
    </w:rPr>
  </w:style>
  <w:style w:type="paragraph" w:styleId="51">
    <w:name w:val="Body Text Indent 3"/>
    <w:basedOn w:val="1"/>
    <w:link w:val="128"/>
    <w:qFormat/>
    <w:uiPriority w:val="0"/>
    <w:pPr>
      <w:widowControl/>
      <w:spacing w:beforeLines="50" w:afterLines="50" w:line="240" w:lineRule="atLeast"/>
      <w:ind w:firstLine="420" w:firstLineChars="200"/>
      <w:jc w:val="left"/>
    </w:pPr>
    <w:rPr>
      <w:rFonts w:ascii="宋体" w:hAnsi="宋体"/>
      <w:i/>
      <w:iCs/>
      <w:szCs w:val="21"/>
      <w:lang w:val="zh-CN" w:eastAsia="zh-CN"/>
    </w:rPr>
  </w:style>
  <w:style w:type="paragraph" w:styleId="52">
    <w:name w:val="toc 2"/>
    <w:basedOn w:val="1"/>
    <w:next w:val="1"/>
    <w:qFormat/>
    <w:uiPriority w:val="39"/>
    <w:pPr>
      <w:ind w:left="840"/>
      <w:jc w:val="left"/>
    </w:pPr>
    <w:rPr>
      <w:smallCaps/>
      <w:sz w:val="24"/>
    </w:rPr>
  </w:style>
  <w:style w:type="paragraph" w:styleId="53">
    <w:name w:val="toc 9"/>
    <w:basedOn w:val="1"/>
    <w:next w:val="1"/>
    <w:qFormat/>
    <w:uiPriority w:val="39"/>
    <w:pPr>
      <w:ind w:left="1680"/>
      <w:jc w:val="left"/>
    </w:pPr>
    <w:rPr>
      <w:rFonts w:ascii="Calibri" w:hAnsi="Calibri"/>
      <w:sz w:val="18"/>
      <w:szCs w:val="18"/>
    </w:rPr>
  </w:style>
  <w:style w:type="paragraph" w:styleId="54">
    <w:name w:val="Body Text 2"/>
    <w:basedOn w:val="1"/>
    <w:link w:val="111"/>
    <w:qFormat/>
    <w:uiPriority w:val="0"/>
    <w:pPr>
      <w:widowControl/>
      <w:spacing w:line="240" w:lineRule="atLeast"/>
      <w:jc w:val="left"/>
    </w:pPr>
    <w:rPr>
      <w:i/>
      <w:iCs/>
      <w:lang w:val="zh-CN" w:eastAsia="zh-CN"/>
    </w:rPr>
  </w:style>
  <w:style w:type="paragraph" w:styleId="55">
    <w:name w:val="List Continue 2"/>
    <w:basedOn w:val="1"/>
    <w:qFormat/>
    <w:uiPriority w:val="0"/>
    <w:pPr>
      <w:widowControl/>
      <w:adjustRightInd/>
      <w:spacing w:after="120" w:line="240" w:lineRule="auto"/>
      <w:ind w:left="720"/>
      <w:jc w:val="left"/>
      <w:textAlignment w:val="auto"/>
    </w:pPr>
    <w:rPr>
      <w:sz w:val="24"/>
      <w:szCs w:val="24"/>
      <w:lang w:eastAsia="en-US"/>
    </w:rPr>
  </w:style>
  <w:style w:type="paragraph" w:styleId="56">
    <w:name w:val="Message Header"/>
    <w:basedOn w:val="1"/>
    <w:link w:val="134"/>
    <w:qFormat/>
    <w:uiPriority w:val="0"/>
    <w:pPr>
      <w:widowControl/>
      <w:pBdr>
        <w:top w:val="single" w:color="auto" w:sz="6" w:space="1"/>
        <w:left w:val="single" w:color="auto" w:sz="6" w:space="1"/>
        <w:bottom w:val="single" w:color="auto" w:sz="6" w:space="1"/>
        <w:right w:val="single" w:color="auto" w:sz="6" w:space="1"/>
      </w:pBdr>
      <w:shd w:val="pct20" w:color="auto" w:fill="auto"/>
      <w:adjustRightInd/>
      <w:spacing w:line="240" w:lineRule="auto"/>
      <w:ind w:left="1080" w:hanging="1080"/>
      <w:jc w:val="left"/>
      <w:textAlignment w:val="auto"/>
    </w:pPr>
    <w:rPr>
      <w:rFonts w:ascii="Arial" w:hAnsi="Arial"/>
      <w:sz w:val="24"/>
      <w:szCs w:val="24"/>
      <w:lang w:val="zh-CN" w:eastAsia="en-US"/>
    </w:rPr>
  </w:style>
  <w:style w:type="paragraph" w:styleId="57">
    <w:name w:val="Normal (Web)"/>
    <w:basedOn w:val="1"/>
    <w:qFormat/>
    <w:uiPriority w:val="0"/>
    <w:pPr>
      <w:widowControl/>
      <w:adjustRightInd/>
      <w:spacing w:before="100" w:beforeAutospacing="1" w:after="100" w:afterAutospacing="1" w:line="240" w:lineRule="auto"/>
      <w:jc w:val="left"/>
      <w:textAlignment w:val="auto"/>
    </w:pPr>
    <w:rPr>
      <w:rFonts w:ascii="Arial Unicode MS" w:hAnsi="Arial Unicode MS" w:eastAsia="Arial Unicode MS"/>
      <w:sz w:val="20"/>
      <w:szCs w:val="24"/>
      <w:lang w:eastAsia="en-US"/>
    </w:rPr>
  </w:style>
  <w:style w:type="paragraph" w:styleId="58">
    <w:name w:val="List Continue 3"/>
    <w:basedOn w:val="1"/>
    <w:qFormat/>
    <w:uiPriority w:val="0"/>
    <w:pPr>
      <w:widowControl/>
      <w:adjustRightInd/>
      <w:spacing w:after="120" w:line="240" w:lineRule="auto"/>
      <w:ind w:left="1080"/>
      <w:jc w:val="left"/>
      <w:textAlignment w:val="auto"/>
    </w:pPr>
    <w:rPr>
      <w:sz w:val="24"/>
      <w:szCs w:val="24"/>
      <w:lang w:eastAsia="en-US"/>
    </w:rPr>
  </w:style>
  <w:style w:type="paragraph" w:styleId="59">
    <w:name w:val="Title"/>
    <w:basedOn w:val="2"/>
    <w:next w:val="2"/>
    <w:link w:val="130"/>
    <w:qFormat/>
    <w:uiPriority w:val="0"/>
  </w:style>
  <w:style w:type="paragraph" w:styleId="60">
    <w:name w:val="annotation subject"/>
    <w:basedOn w:val="21"/>
    <w:next w:val="21"/>
    <w:link w:val="85"/>
    <w:semiHidden/>
    <w:qFormat/>
    <w:uiPriority w:val="0"/>
    <w:rPr>
      <w:b/>
      <w:bCs/>
    </w:rPr>
  </w:style>
  <w:style w:type="paragraph" w:styleId="61">
    <w:name w:val="Body Text First Indent 2"/>
    <w:basedOn w:val="27"/>
    <w:qFormat/>
    <w:uiPriority w:val="0"/>
    <w:pPr>
      <w:ind w:firstLine="420" w:firstLineChars="200"/>
    </w:p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5">
    <w:name w:val="Strong"/>
    <w:qFormat/>
    <w:uiPriority w:val="22"/>
  </w:style>
  <w:style w:type="character" w:styleId="66">
    <w:name w:val="endnote reference"/>
    <w:semiHidden/>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20"/>
    <w:rPr>
      <w:sz w:val="24"/>
      <w:szCs w:val="24"/>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99"/>
    <w:rPr>
      <w:vertAlign w:val="superscript"/>
    </w:rPr>
  </w:style>
  <w:style w:type="paragraph" w:customStyle="1" w:styleId="73">
    <w:name w:val="Main Para with Chapter#"/>
    <w:basedOn w:val="1"/>
    <w:qFormat/>
    <w:uiPriority w:val="0"/>
    <w:pPr>
      <w:widowControl/>
      <w:tabs>
        <w:tab w:val="left" w:pos="1865"/>
      </w:tabs>
      <w:adjustRightInd/>
      <w:spacing w:after="240" w:line="240" w:lineRule="auto"/>
      <w:jc w:val="left"/>
      <w:textAlignment w:val="auto"/>
      <w:outlineLvl w:val="1"/>
    </w:pPr>
    <w:rPr>
      <w:rFonts w:eastAsia="Times New Roman"/>
      <w:sz w:val="24"/>
      <w:szCs w:val="24"/>
      <w:lang w:eastAsia="en-US"/>
    </w:rPr>
  </w:style>
  <w:style w:type="paragraph" w:customStyle="1" w:styleId="74">
    <w:name w:val="Sub-Para 1 under X.Y"/>
    <w:basedOn w:val="1"/>
    <w:qFormat/>
    <w:uiPriority w:val="0"/>
    <w:pPr>
      <w:widowControl/>
      <w:tabs>
        <w:tab w:val="left" w:pos="2160"/>
      </w:tabs>
      <w:adjustRightInd/>
      <w:spacing w:after="240" w:line="240" w:lineRule="auto"/>
      <w:ind w:left="2160" w:hanging="180"/>
      <w:jc w:val="left"/>
      <w:textAlignment w:val="auto"/>
      <w:outlineLvl w:val="2"/>
    </w:pPr>
    <w:rPr>
      <w:rFonts w:eastAsia="Times New Roman"/>
      <w:sz w:val="24"/>
      <w:szCs w:val="24"/>
      <w:lang w:eastAsia="en-US"/>
    </w:rPr>
  </w:style>
  <w:style w:type="paragraph" w:customStyle="1" w:styleId="75">
    <w:name w:val="Sub-Para 2 under X.Y"/>
    <w:basedOn w:val="1"/>
    <w:qFormat/>
    <w:uiPriority w:val="0"/>
    <w:pPr>
      <w:widowControl/>
      <w:adjustRightInd/>
      <w:spacing w:after="240" w:line="240" w:lineRule="auto"/>
      <w:jc w:val="left"/>
      <w:textAlignment w:val="auto"/>
      <w:outlineLvl w:val="3"/>
    </w:pPr>
    <w:rPr>
      <w:rFonts w:eastAsia="Times New Roman"/>
      <w:sz w:val="24"/>
      <w:szCs w:val="24"/>
      <w:lang w:eastAsia="en-US"/>
    </w:rPr>
  </w:style>
  <w:style w:type="paragraph" w:customStyle="1" w:styleId="76">
    <w:name w:val="Sub-Para 3 under X.Y"/>
    <w:basedOn w:val="1"/>
    <w:qFormat/>
    <w:uiPriority w:val="0"/>
    <w:pPr>
      <w:widowControl/>
      <w:tabs>
        <w:tab w:val="left" w:pos="3150"/>
      </w:tabs>
      <w:adjustRightInd/>
      <w:spacing w:after="240" w:line="240" w:lineRule="auto"/>
      <w:ind w:left="2880" w:hanging="720"/>
      <w:jc w:val="left"/>
      <w:textAlignment w:val="auto"/>
      <w:outlineLvl w:val="4"/>
    </w:pPr>
    <w:rPr>
      <w:rFonts w:eastAsia="Times New Roman"/>
      <w:sz w:val="24"/>
      <w:szCs w:val="24"/>
      <w:lang w:eastAsia="en-US"/>
    </w:rPr>
  </w:style>
  <w:style w:type="paragraph" w:customStyle="1" w:styleId="77">
    <w:name w:val="Sub-Para 4 under X.Y"/>
    <w:basedOn w:val="1"/>
    <w:qFormat/>
    <w:uiPriority w:val="0"/>
    <w:pPr>
      <w:widowControl/>
      <w:tabs>
        <w:tab w:val="left" w:pos="3570"/>
      </w:tabs>
      <w:adjustRightInd/>
      <w:spacing w:after="240" w:line="240" w:lineRule="auto"/>
      <w:ind w:left="3600" w:hanging="720"/>
      <w:jc w:val="left"/>
      <w:textAlignment w:val="auto"/>
      <w:outlineLvl w:val="5"/>
    </w:pPr>
    <w:rPr>
      <w:rFonts w:eastAsia="Times New Roman"/>
      <w:sz w:val="24"/>
      <w:szCs w:val="24"/>
      <w:lang w:eastAsia="en-US"/>
    </w:rPr>
  </w:style>
  <w:style w:type="character" w:customStyle="1" w:styleId="78">
    <w:name w:val="Heading 1 Char"/>
    <w:link w:val="2"/>
    <w:qFormat/>
    <w:uiPriority w:val="0"/>
    <w:rPr>
      <w:rFonts w:eastAsia="黑体"/>
      <w:b/>
      <w:kern w:val="44"/>
      <w:sz w:val="32"/>
      <w:szCs w:val="32"/>
      <w:lang w:val="zh-CN" w:eastAsia="zh-CN"/>
    </w:rPr>
  </w:style>
  <w:style w:type="character" w:customStyle="1" w:styleId="79">
    <w:name w:val="Header Char"/>
    <w:link w:val="43"/>
    <w:qFormat/>
    <w:uiPriority w:val="99"/>
    <w:rPr>
      <w:sz w:val="18"/>
    </w:rPr>
  </w:style>
  <w:style w:type="character" w:customStyle="1" w:styleId="80">
    <w:name w:val="Footnote Text Char"/>
    <w:link w:val="49"/>
    <w:qFormat/>
    <w:uiPriority w:val="0"/>
    <w:rPr>
      <w:lang w:eastAsia="en-US"/>
    </w:rPr>
  </w:style>
  <w:style w:type="paragraph" w:customStyle="1" w:styleId="81">
    <w:name w:val="Header 1 - Clauses"/>
    <w:basedOn w:val="1"/>
    <w:qFormat/>
    <w:uiPriority w:val="0"/>
    <w:pPr>
      <w:widowControl/>
      <w:tabs>
        <w:tab w:val="left" w:pos="840"/>
      </w:tabs>
      <w:adjustRightInd/>
      <w:spacing w:before="120" w:line="240" w:lineRule="auto"/>
      <w:ind w:left="840" w:hanging="420"/>
      <w:jc w:val="left"/>
      <w:textAlignment w:val="auto"/>
    </w:pPr>
    <w:rPr>
      <w:rFonts w:ascii="Arial" w:hAnsi="Arial"/>
      <w:b/>
      <w:sz w:val="20"/>
      <w:lang w:eastAsia="en-US"/>
    </w:rPr>
  </w:style>
  <w:style w:type="paragraph" w:customStyle="1" w:styleId="82">
    <w:name w:val="Header 2 - SubClauses"/>
    <w:basedOn w:val="1"/>
    <w:qFormat/>
    <w:uiPriority w:val="0"/>
    <w:pPr>
      <w:widowControl/>
      <w:tabs>
        <w:tab w:val="left" w:pos="840"/>
      </w:tabs>
      <w:adjustRightInd/>
      <w:spacing w:before="120" w:after="200" w:line="240" w:lineRule="auto"/>
      <w:ind w:left="840" w:hanging="420"/>
      <w:textAlignment w:val="auto"/>
    </w:pPr>
    <w:rPr>
      <w:rFonts w:ascii="Arial" w:hAnsi="Arial" w:cs="Arial"/>
      <w:sz w:val="20"/>
      <w:lang w:eastAsia="en-US"/>
    </w:rPr>
  </w:style>
  <w:style w:type="paragraph" w:customStyle="1" w:styleId="83">
    <w:name w:val="P3 Header1-Clauses"/>
    <w:basedOn w:val="1"/>
    <w:qFormat/>
    <w:uiPriority w:val="0"/>
    <w:pPr>
      <w:widowControl/>
      <w:tabs>
        <w:tab w:val="left" w:pos="1260"/>
      </w:tabs>
      <w:adjustRightInd/>
      <w:spacing w:before="120" w:after="120" w:line="240" w:lineRule="auto"/>
      <w:ind w:left="1260" w:hanging="420"/>
      <w:textAlignment w:val="auto"/>
    </w:pPr>
    <w:rPr>
      <w:rFonts w:ascii="Arial" w:hAnsi="Arial"/>
      <w:sz w:val="20"/>
      <w:lang w:eastAsia="en-US"/>
    </w:rPr>
  </w:style>
  <w:style w:type="character" w:customStyle="1" w:styleId="84">
    <w:name w:val="Comment Text Char"/>
    <w:link w:val="21"/>
    <w:qFormat/>
    <w:uiPriority w:val="0"/>
    <w:rPr>
      <w:sz w:val="21"/>
    </w:rPr>
  </w:style>
  <w:style w:type="character" w:customStyle="1" w:styleId="85">
    <w:name w:val="Comment Subject Char"/>
    <w:link w:val="60"/>
    <w:semiHidden/>
    <w:qFormat/>
    <w:uiPriority w:val="0"/>
    <w:rPr>
      <w:b/>
      <w:bCs/>
      <w:sz w:val="21"/>
    </w:rPr>
  </w:style>
  <w:style w:type="paragraph" w:customStyle="1" w:styleId="86">
    <w:name w:val="样式 标题 4 + (中文) MS UI Gothic"/>
    <w:basedOn w:val="5"/>
    <w:next w:val="1"/>
    <w:qFormat/>
    <w:uiPriority w:val="0"/>
  </w:style>
  <w:style w:type="paragraph" w:customStyle="1" w:styleId="87">
    <w:name w:val="TOC Heading"/>
    <w:basedOn w:val="2"/>
    <w:next w:val="1"/>
    <w:unhideWhenUsed/>
    <w:qFormat/>
    <w:uiPriority w:val="39"/>
    <w:pPr>
      <w:widowControl/>
      <w:adjustRightInd/>
      <w:spacing w:before="480" w:after="0" w:line="276" w:lineRule="auto"/>
      <w:jc w:val="left"/>
      <w:outlineLvl w:val="9"/>
    </w:pPr>
    <w:rPr>
      <w:rFonts w:ascii="Cambria" w:hAnsi="Cambria"/>
      <w:bCs/>
      <w:color w:val="365F91"/>
      <w:kern w:val="0"/>
      <w:sz w:val="28"/>
      <w:szCs w:val="28"/>
    </w:rPr>
  </w:style>
  <w:style w:type="character" w:customStyle="1" w:styleId="88">
    <w:name w:val="Heading 2 Char"/>
    <w:link w:val="3"/>
    <w:qFormat/>
    <w:uiPriority w:val="9"/>
    <w:rPr>
      <w:b/>
      <w:sz w:val="28"/>
      <w:szCs w:val="28"/>
      <w:lang w:val="zh-CN" w:eastAsia="zh-CN"/>
    </w:rPr>
  </w:style>
  <w:style w:type="character" w:customStyle="1" w:styleId="89">
    <w:name w:val="Footer Char"/>
    <w:link w:val="42"/>
    <w:uiPriority w:val="0"/>
    <w:rPr>
      <w:sz w:val="18"/>
    </w:rPr>
  </w:style>
  <w:style w:type="paragraph" w:customStyle="1" w:styleId="90">
    <w:name w:val="titulo"/>
    <w:basedOn w:val="6"/>
    <w:qFormat/>
    <w:uiPriority w:val="0"/>
    <w:pPr>
      <w:keepNext w:val="0"/>
      <w:keepLines w:val="0"/>
      <w:widowControl/>
      <w:adjustRightInd/>
      <w:spacing w:before="0" w:after="240" w:line="240" w:lineRule="auto"/>
      <w:jc w:val="center"/>
      <w:textAlignment w:val="auto"/>
    </w:pPr>
    <w:rPr>
      <w:rFonts w:ascii="Times New Roman Bold" w:hAnsi="Times New Roman Bold"/>
      <w:bCs w:val="0"/>
      <w:sz w:val="24"/>
      <w:szCs w:val="20"/>
      <w:lang w:eastAsia="en-US"/>
    </w:rPr>
  </w:style>
  <w:style w:type="character" w:customStyle="1" w:styleId="91">
    <w:name w:val="Heading 3 Char"/>
    <w:link w:val="4"/>
    <w:qFormat/>
    <w:uiPriority w:val="9"/>
    <w:rPr>
      <w:b/>
      <w:sz w:val="24"/>
      <w:lang w:val="zh-CN" w:eastAsia="zh-CN"/>
    </w:rPr>
  </w:style>
  <w:style w:type="character" w:customStyle="1" w:styleId="92">
    <w:name w:val="Body Text Indent Char"/>
    <w:link w:val="27"/>
    <w:qFormat/>
    <w:uiPriority w:val="0"/>
    <w:rPr>
      <w:rFonts w:eastAsia="方正楷体"/>
      <w:szCs w:val="24"/>
    </w:rPr>
  </w:style>
  <w:style w:type="character" w:customStyle="1" w:styleId="93">
    <w:name w:val="Heading 4 Char"/>
    <w:link w:val="5"/>
    <w:uiPriority w:val="0"/>
    <w:rPr>
      <w:b/>
      <w:sz w:val="24"/>
      <w:szCs w:val="24"/>
      <w:lang w:val="zh-CN" w:eastAsia="zh-CN"/>
    </w:rPr>
  </w:style>
  <w:style w:type="character" w:customStyle="1" w:styleId="94">
    <w:name w:val="Heading 5 Char"/>
    <w:link w:val="6"/>
    <w:qFormat/>
    <w:uiPriority w:val="0"/>
    <w:rPr>
      <w:b/>
      <w:bCs/>
      <w:sz w:val="28"/>
      <w:szCs w:val="28"/>
    </w:rPr>
  </w:style>
  <w:style w:type="paragraph" w:customStyle="1" w:styleId="95">
    <w:name w:val="TOC Number1"/>
    <w:basedOn w:val="5"/>
    <w:uiPriority w:val="0"/>
    <w:pPr>
      <w:widowControl/>
      <w:suppressAutoHyphens/>
      <w:adjustRightInd/>
      <w:spacing w:before="280" w:after="290" w:line="240" w:lineRule="atLeast"/>
      <w:outlineLvl w:val="9"/>
    </w:pPr>
    <w:rPr>
      <w:rFonts w:hAnsi="宋体"/>
      <w:color w:val="000000"/>
    </w:rPr>
  </w:style>
  <w:style w:type="character" w:customStyle="1" w:styleId="96">
    <w:name w:val="Subtitle Char"/>
    <w:link w:val="46"/>
    <w:qFormat/>
    <w:uiPriority w:val="0"/>
    <w:rPr>
      <w:rFonts w:ascii="Arial" w:hAnsi="Arial"/>
      <w:b/>
      <w:sz w:val="40"/>
      <w:lang w:eastAsia="en-US"/>
    </w:rPr>
  </w:style>
  <w:style w:type="paragraph" w:customStyle="1" w:styleId="97">
    <w:name w:val="Subtitle 2"/>
    <w:basedOn w:val="42"/>
    <w:qFormat/>
    <w:uiPriority w:val="0"/>
    <w:pPr>
      <w:widowControl/>
      <w:tabs>
        <w:tab w:val="clear" w:pos="4320"/>
        <w:tab w:val="clear" w:pos="8640"/>
      </w:tabs>
      <w:adjustRightInd/>
      <w:spacing w:beforeLines="50" w:afterLines="50"/>
      <w:ind w:right="289"/>
      <w:jc w:val="center"/>
      <w:textAlignment w:val="auto"/>
      <w:outlineLvl w:val="1"/>
    </w:pPr>
    <w:rPr>
      <w:b/>
      <w:color w:val="000000"/>
      <w:sz w:val="28"/>
      <w:szCs w:val="28"/>
      <w:lang w:val="es-ES"/>
    </w:rPr>
  </w:style>
  <w:style w:type="paragraph" w:customStyle="1" w:styleId="98">
    <w:name w:val="explanatory_notes"/>
    <w:basedOn w:val="1"/>
    <w:qFormat/>
    <w:uiPriority w:val="0"/>
    <w:pPr>
      <w:widowControl/>
      <w:suppressAutoHyphens/>
      <w:adjustRightInd/>
      <w:spacing w:after="240" w:line="360" w:lineRule="exact"/>
      <w:textAlignment w:val="auto"/>
    </w:pPr>
    <w:rPr>
      <w:rFonts w:ascii="Arial" w:hAnsi="Arial"/>
      <w:sz w:val="20"/>
      <w:lang w:eastAsia="en-US"/>
    </w:rPr>
  </w:style>
  <w:style w:type="paragraph" w:customStyle="1" w:styleId="99">
    <w:name w:val="Section V. Header"/>
    <w:basedOn w:val="1"/>
    <w:qFormat/>
    <w:uiPriority w:val="99"/>
    <w:pPr>
      <w:widowControl/>
      <w:adjustRightInd/>
      <w:spacing w:line="240" w:lineRule="auto"/>
      <w:jc w:val="center"/>
      <w:textAlignment w:val="auto"/>
    </w:pPr>
    <w:rPr>
      <w:rFonts w:ascii="Arial" w:hAnsi="Arial"/>
      <w:b/>
      <w:sz w:val="36"/>
      <w:lang w:eastAsia="en-US"/>
    </w:rPr>
  </w:style>
  <w:style w:type="character" w:customStyle="1" w:styleId="100">
    <w:name w:val="Table"/>
    <w:qFormat/>
    <w:uiPriority w:val="0"/>
    <w:rPr>
      <w:rFonts w:ascii="Arial" w:hAnsi="Arial"/>
      <w:sz w:val="20"/>
    </w:rPr>
  </w:style>
  <w:style w:type="character" w:customStyle="1" w:styleId="101">
    <w:name w:val="Balloon Text Char"/>
    <w:link w:val="41"/>
    <w:semiHidden/>
    <w:qFormat/>
    <w:uiPriority w:val="0"/>
    <w:rPr>
      <w:sz w:val="18"/>
      <w:szCs w:val="18"/>
    </w:rPr>
  </w:style>
  <w:style w:type="paragraph" w:styleId="102">
    <w:name w:val="List Paragraph"/>
    <w:basedOn w:val="1"/>
    <w:link w:val="234"/>
    <w:qFormat/>
    <w:uiPriority w:val="34"/>
    <w:pPr>
      <w:adjustRightInd/>
      <w:spacing w:line="240" w:lineRule="auto"/>
      <w:ind w:firstLine="420" w:firstLineChars="200"/>
      <w:textAlignment w:val="auto"/>
    </w:pPr>
    <w:rPr>
      <w:kern w:val="2"/>
      <w:szCs w:val="24"/>
    </w:rPr>
  </w:style>
  <w:style w:type="character" w:customStyle="1" w:styleId="103">
    <w:name w:val="Body Text Indent 2 Char"/>
    <w:link w:val="39"/>
    <w:qFormat/>
    <w:uiPriority w:val="0"/>
    <w:rPr>
      <w:rFonts w:ascii="宋体" w:hAnsi="宋体"/>
      <w:sz w:val="21"/>
      <w:szCs w:val="21"/>
    </w:rPr>
  </w:style>
  <w:style w:type="character" w:customStyle="1" w:styleId="104">
    <w:name w:val="trans"/>
    <w:basedOn w:val="64"/>
    <w:qFormat/>
    <w:uiPriority w:val="0"/>
  </w:style>
  <w:style w:type="paragraph" w:customStyle="1" w:styleId="105">
    <w:name w:val="Section V. Heading 2"/>
    <w:basedOn w:val="99"/>
    <w:qFormat/>
    <w:uiPriority w:val="0"/>
    <w:pPr>
      <w:spacing w:before="120" w:after="200"/>
    </w:pPr>
    <w:rPr>
      <w:rFonts w:ascii="Times New Roman" w:hAnsi="Times New Roman"/>
      <w:sz w:val="28"/>
    </w:rPr>
  </w:style>
  <w:style w:type="character" w:customStyle="1" w:styleId="106">
    <w:name w:val="Document Map Char"/>
    <w:link w:val="20"/>
    <w:semiHidden/>
    <w:qFormat/>
    <w:uiPriority w:val="0"/>
    <w:rPr>
      <w:kern w:val="2"/>
      <w:sz w:val="21"/>
      <w:szCs w:val="24"/>
      <w:shd w:val="clear" w:color="auto" w:fill="000080"/>
    </w:rPr>
  </w:style>
  <w:style w:type="character" w:customStyle="1" w:styleId="107">
    <w:name w:val="Heading 6 Char"/>
    <w:link w:val="7"/>
    <w:qFormat/>
    <w:uiPriority w:val="0"/>
    <w:rPr>
      <w:rFonts w:ascii="Arial" w:hAnsi="Arial" w:eastAsia="黑体"/>
      <w:b/>
      <w:bCs/>
      <w:sz w:val="24"/>
      <w:szCs w:val="24"/>
    </w:rPr>
  </w:style>
  <w:style w:type="character" w:customStyle="1" w:styleId="108">
    <w:name w:val="Heading 7 Char"/>
    <w:link w:val="8"/>
    <w:qFormat/>
    <w:uiPriority w:val="0"/>
    <w:rPr>
      <w:b/>
      <w:bCs/>
      <w:sz w:val="24"/>
      <w:szCs w:val="24"/>
    </w:rPr>
  </w:style>
  <w:style w:type="character" w:customStyle="1" w:styleId="109">
    <w:name w:val="Heading 8 Char"/>
    <w:link w:val="9"/>
    <w:qFormat/>
    <w:uiPriority w:val="0"/>
    <w:rPr>
      <w:rFonts w:ascii="Arial" w:hAnsi="Arial" w:eastAsia="黑体"/>
      <w:sz w:val="24"/>
      <w:szCs w:val="24"/>
    </w:rPr>
  </w:style>
  <w:style w:type="character" w:customStyle="1" w:styleId="110">
    <w:name w:val="Heading 9 Char"/>
    <w:link w:val="10"/>
    <w:qFormat/>
    <w:uiPriority w:val="0"/>
    <w:rPr>
      <w:rFonts w:ascii="Arial" w:hAnsi="Arial" w:eastAsia="黑体"/>
      <w:sz w:val="21"/>
      <w:szCs w:val="21"/>
    </w:rPr>
  </w:style>
  <w:style w:type="character" w:customStyle="1" w:styleId="111">
    <w:name w:val="Body Text 2 Char"/>
    <w:link w:val="54"/>
    <w:uiPriority w:val="0"/>
    <w:rPr>
      <w:i/>
      <w:iCs/>
      <w:sz w:val="21"/>
    </w:rPr>
  </w:style>
  <w:style w:type="paragraph" w:customStyle="1" w:styleId="112">
    <w:name w:val="2AutoList1"/>
    <w:basedOn w:val="1"/>
    <w:qFormat/>
    <w:uiPriority w:val="0"/>
    <w:pPr>
      <w:widowControl/>
      <w:numPr>
        <w:ilvl w:val="1"/>
        <w:numId w:val="10"/>
      </w:numPr>
      <w:adjustRightInd/>
      <w:spacing w:line="240" w:lineRule="auto"/>
      <w:textAlignment w:val="auto"/>
    </w:pPr>
    <w:rPr>
      <w:rFonts w:ascii="Arial" w:hAnsi="Arial"/>
      <w:sz w:val="20"/>
      <w:lang w:eastAsia="en-US"/>
    </w:rPr>
  </w:style>
  <w:style w:type="paragraph" w:customStyle="1" w:styleId="113">
    <w:name w:val="Outline3"/>
    <w:basedOn w:val="1"/>
    <w:qFormat/>
    <w:uiPriority w:val="0"/>
    <w:pPr>
      <w:widowControl/>
      <w:numPr>
        <w:ilvl w:val="2"/>
        <w:numId w:val="11"/>
      </w:numPr>
      <w:adjustRightInd/>
      <w:spacing w:before="240" w:line="240" w:lineRule="auto"/>
      <w:jc w:val="left"/>
      <w:textAlignment w:val="auto"/>
    </w:pPr>
    <w:rPr>
      <w:rFonts w:ascii="Arial" w:hAnsi="Arial"/>
      <w:kern w:val="28"/>
      <w:sz w:val="20"/>
      <w:lang w:eastAsia="en-US"/>
    </w:rPr>
  </w:style>
  <w:style w:type="paragraph" w:customStyle="1" w:styleId="114">
    <w:name w:val="Outline4"/>
    <w:basedOn w:val="1"/>
    <w:qFormat/>
    <w:uiPriority w:val="0"/>
    <w:pPr>
      <w:widowControl/>
      <w:numPr>
        <w:ilvl w:val="3"/>
        <w:numId w:val="11"/>
      </w:numPr>
      <w:tabs>
        <w:tab w:val="left" w:pos="1440"/>
        <w:tab w:val="clear" w:pos="2304"/>
      </w:tabs>
      <w:adjustRightInd/>
      <w:spacing w:before="120" w:line="240" w:lineRule="auto"/>
      <w:ind w:left="1440" w:hanging="720"/>
      <w:jc w:val="left"/>
      <w:textAlignment w:val="auto"/>
    </w:pPr>
    <w:rPr>
      <w:rFonts w:ascii="Arial" w:hAnsi="Arial"/>
      <w:kern w:val="28"/>
      <w:sz w:val="20"/>
      <w:lang w:eastAsia="en-US"/>
    </w:rPr>
  </w:style>
  <w:style w:type="paragraph" w:customStyle="1" w:styleId="115">
    <w:name w:val="Outline i)"/>
    <w:basedOn w:val="1"/>
    <w:qFormat/>
    <w:uiPriority w:val="0"/>
    <w:pPr>
      <w:widowControl/>
      <w:numPr>
        <w:ilvl w:val="0"/>
        <w:numId w:val="12"/>
      </w:numPr>
      <w:adjustRightInd/>
      <w:spacing w:before="120" w:line="240" w:lineRule="auto"/>
      <w:jc w:val="left"/>
      <w:textAlignment w:val="auto"/>
    </w:pPr>
    <w:rPr>
      <w:rFonts w:ascii="Arial" w:hAnsi="Arial"/>
      <w:sz w:val="20"/>
      <w:lang w:eastAsia="en-US"/>
    </w:rPr>
  </w:style>
  <w:style w:type="paragraph" w:customStyle="1" w:styleId="116">
    <w:name w:val="(i)"/>
    <w:basedOn w:val="1"/>
    <w:uiPriority w:val="0"/>
    <w:pPr>
      <w:widowControl/>
      <w:suppressAutoHyphens/>
      <w:adjustRightInd/>
      <w:spacing w:line="240" w:lineRule="auto"/>
      <w:textAlignment w:val="auto"/>
    </w:pPr>
    <w:rPr>
      <w:rFonts w:ascii="Tms Rmn" w:hAnsi="Tms Rmn"/>
      <w:sz w:val="20"/>
      <w:lang w:eastAsia="en-US"/>
    </w:rPr>
  </w:style>
  <w:style w:type="character" w:customStyle="1" w:styleId="117">
    <w:name w:val="Comment Subject Char1"/>
    <w:semiHidden/>
    <w:uiPriority w:val="99"/>
    <w:rPr>
      <w:rFonts w:ascii="Times New Roman" w:hAnsi="Times New Roman" w:eastAsia="宋体" w:cs="Times New Roman"/>
      <w:b/>
      <w:bCs/>
      <w:sz w:val="20"/>
      <w:szCs w:val="20"/>
    </w:rPr>
  </w:style>
  <w:style w:type="paragraph" w:customStyle="1" w:styleId="118">
    <w:name w:val="Section VII Header2"/>
    <w:basedOn w:val="2"/>
    <w:uiPriority w:val="0"/>
    <w:pPr>
      <w:keepNext w:val="0"/>
      <w:keepLines w:val="0"/>
      <w:widowControl/>
      <w:tabs>
        <w:tab w:val="right" w:pos="9000"/>
      </w:tabs>
      <w:adjustRightInd/>
      <w:jc w:val="left"/>
      <w:outlineLvl w:val="9"/>
    </w:pPr>
    <w:rPr>
      <w:rFonts w:ascii="Arial" w:hAnsi="Arial" w:cs="Arial"/>
      <w:bCs/>
      <w:kern w:val="0"/>
      <w:sz w:val="20"/>
      <w:lang w:eastAsia="en-US"/>
    </w:rPr>
  </w:style>
  <w:style w:type="character" w:customStyle="1" w:styleId="119">
    <w:name w:val="Body Text Char"/>
    <w:link w:val="26"/>
    <w:uiPriority w:val="0"/>
    <w:rPr>
      <w:i/>
      <w:iCs/>
      <w:sz w:val="16"/>
    </w:rPr>
  </w:style>
  <w:style w:type="paragraph" w:customStyle="1" w:styleId="120">
    <w:name w:val="Head 2"/>
    <w:basedOn w:val="10"/>
    <w:uiPriority w:val="0"/>
    <w:pPr>
      <w:keepLines w:val="0"/>
      <w:suppressAutoHyphens/>
      <w:adjustRightInd/>
      <w:spacing w:before="0" w:after="0" w:line="240" w:lineRule="auto"/>
      <w:textAlignment w:val="auto"/>
      <w:outlineLvl w:val="9"/>
    </w:pPr>
    <w:rPr>
      <w:rFonts w:ascii="Times New Roman Bold" w:hAnsi="Times New Roman Bold" w:eastAsia="宋体"/>
      <w:spacing w:val="-4"/>
      <w:sz w:val="32"/>
      <w:szCs w:val="20"/>
      <w:lang w:eastAsia="en-US"/>
    </w:rPr>
  </w:style>
  <w:style w:type="paragraph" w:customStyle="1" w:styleId="121">
    <w:name w:val="Technical 4"/>
    <w:uiPriority w:val="0"/>
    <w:pPr>
      <w:tabs>
        <w:tab w:val="left" w:pos="-720"/>
      </w:tabs>
      <w:suppressAutoHyphens/>
    </w:pPr>
    <w:rPr>
      <w:rFonts w:ascii="Times" w:hAnsi="Times" w:eastAsia="宋体" w:cs="Times New Roman"/>
      <w:b/>
      <w:sz w:val="24"/>
      <w:szCs w:val="24"/>
      <w:lang w:val="en-US" w:eastAsia="en-US" w:bidi="ar-SA"/>
    </w:rPr>
  </w:style>
  <w:style w:type="paragraph" w:customStyle="1" w:styleId="122">
    <w:name w:val="Head 1.2"/>
    <w:basedOn w:val="1"/>
    <w:uiPriority w:val="0"/>
    <w:pPr>
      <w:widowControl/>
      <w:tabs>
        <w:tab w:val="left" w:pos="720"/>
      </w:tabs>
      <w:adjustRightInd/>
      <w:spacing w:line="240" w:lineRule="auto"/>
      <w:ind w:left="720" w:hanging="720"/>
      <w:textAlignment w:val="auto"/>
    </w:pPr>
    <w:rPr>
      <w:rFonts w:ascii="Arial" w:hAnsi="Arial"/>
      <w:sz w:val="20"/>
      <w:lang w:eastAsia="en-US"/>
    </w:rPr>
  </w:style>
  <w:style w:type="paragraph" w:customStyle="1" w:styleId="123">
    <w:name w:val="Header 3 - Paragraph"/>
    <w:basedOn w:val="1"/>
    <w:uiPriority w:val="0"/>
    <w:pPr>
      <w:widowControl/>
      <w:tabs>
        <w:tab w:val="left" w:pos="864"/>
      </w:tabs>
      <w:adjustRightInd/>
      <w:spacing w:after="200" w:line="240" w:lineRule="auto"/>
      <w:ind w:left="864" w:hanging="432"/>
      <w:textAlignment w:val="auto"/>
    </w:pPr>
    <w:rPr>
      <w:rFonts w:ascii="Arial" w:hAnsi="Arial"/>
      <w:sz w:val="20"/>
      <w:lang w:eastAsia="en-US"/>
    </w:rPr>
  </w:style>
  <w:style w:type="paragraph" w:customStyle="1" w:styleId="124">
    <w:name w:val="BankNormal"/>
    <w:basedOn w:val="1"/>
    <w:uiPriority w:val="0"/>
    <w:pPr>
      <w:widowControl/>
      <w:adjustRightInd/>
      <w:spacing w:after="240" w:line="240" w:lineRule="auto"/>
      <w:jc w:val="left"/>
      <w:textAlignment w:val="auto"/>
    </w:pPr>
    <w:rPr>
      <w:rFonts w:ascii="Arial" w:hAnsi="Arial"/>
      <w:sz w:val="20"/>
      <w:lang w:eastAsia="en-US"/>
    </w:rPr>
  </w:style>
  <w:style w:type="paragraph" w:customStyle="1" w:styleId="125">
    <w:name w:val="Outline"/>
    <w:basedOn w:val="1"/>
    <w:uiPriority w:val="0"/>
    <w:pPr>
      <w:widowControl/>
      <w:adjustRightInd/>
      <w:spacing w:before="240" w:line="240" w:lineRule="auto"/>
      <w:jc w:val="left"/>
      <w:textAlignment w:val="auto"/>
    </w:pPr>
    <w:rPr>
      <w:rFonts w:ascii="Arial" w:hAnsi="Arial"/>
      <w:kern w:val="28"/>
      <w:sz w:val="20"/>
      <w:lang w:eastAsia="en-US"/>
    </w:rPr>
  </w:style>
  <w:style w:type="character" w:customStyle="1" w:styleId="126">
    <w:name w:val="Balloon Text Char1"/>
    <w:semiHidden/>
    <w:uiPriority w:val="99"/>
    <w:rPr>
      <w:rFonts w:ascii="Lucida Grande" w:hAnsi="Lucida Grande" w:eastAsia="宋体" w:cs="Times New Roman"/>
      <w:sz w:val="18"/>
      <w:szCs w:val="18"/>
    </w:rPr>
  </w:style>
  <w:style w:type="character" w:customStyle="1" w:styleId="127">
    <w:name w:val="Body Text 3 Char"/>
    <w:link w:val="23"/>
    <w:uiPriority w:val="0"/>
    <w:rPr>
      <w:rFonts w:ascii="Arial" w:hAnsi="Arial"/>
      <w:i/>
      <w:lang w:eastAsia="en-US"/>
    </w:rPr>
  </w:style>
  <w:style w:type="character" w:customStyle="1" w:styleId="128">
    <w:name w:val="Body Text Indent 3 Char"/>
    <w:link w:val="51"/>
    <w:uiPriority w:val="0"/>
    <w:rPr>
      <w:rFonts w:ascii="宋体" w:hAnsi="宋体"/>
      <w:i/>
      <w:iCs/>
      <w:sz w:val="21"/>
      <w:szCs w:val="21"/>
    </w:rPr>
  </w:style>
  <w:style w:type="paragraph" w:customStyle="1" w:styleId="129">
    <w:name w:val="Section Title"/>
    <w:next w:val="1"/>
    <w:uiPriority w:val="0"/>
    <w:pPr>
      <w:numPr>
        <w:ilvl w:val="0"/>
        <w:numId w:val="13"/>
      </w:numPr>
      <w:tabs>
        <w:tab w:val="clear" w:pos="1800"/>
      </w:tabs>
      <w:spacing w:after="200"/>
      <w:ind w:left="0" w:firstLine="0"/>
      <w:jc w:val="center"/>
    </w:pPr>
    <w:rPr>
      <w:rFonts w:ascii="Times New Roman" w:hAnsi="Times New Roman" w:eastAsia="宋体" w:cs="Times New Roman"/>
      <w:b/>
      <w:sz w:val="44"/>
      <w:szCs w:val="24"/>
      <w:lang w:val="en-GB" w:eastAsia="en-US" w:bidi="ar-SA"/>
    </w:rPr>
  </w:style>
  <w:style w:type="character" w:customStyle="1" w:styleId="130">
    <w:name w:val="Title Char"/>
    <w:link w:val="59"/>
    <w:uiPriority w:val="0"/>
    <w:rPr>
      <w:rFonts w:eastAsia="黑体"/>
      <w:b/>
      <w:kern w:val="44"/>
      <w:sz w:val="32"/>
      <w:szCs w:val="32"/>
      <w:lang w:val="zh-CN" w:eastAsia="zh-CN"/>
    </w:rPr>
  </w:style>
  <w:style w:type="paragraph" w:customStyle="1" w:styleId="131">
    <w:name w:val="Outline2"/>
    <w:basedOn w:val="1"/>
    <w:uiPriority w:val="0"/>
    <w:pPr>
      <w:widowControl/>
      <w:tabs>
        <w:tab w:val="left" w:pos="360"/>
        <w:tab w:val="left" w:pos="864"/>
      </w:tabs>
      <w:adjustRightInd/>
      <w:spacing w:before="240" w:line="240" w:lineRule="auto"/>
      <w:ind w:left="864" w:hanging="504"/>
      <w:jc w:val="left"/>
      <w:textAlignment w:val="auto"/>
    </w:pPr>
    <w:rPr>
      <w:rFonts w:ascii="Arial" w:hAnsi="Arial"/>
      <w:kern w:val="28"/>
      <w:sz w:val="20"/>
      <w:lang w:eastAsia="en-US"/>
    </w:rPr>
  </w:style>
  <w:style w:type="paragraph" w:customStyle="1" w:styleId="132">
    <w:name w:val="explanatory_clause"/>
    <w:basedOn w:val="1"/>
    <w:uiPriority w:val="0"/>
    <w:pPr>
      <w:widowControl/>
      <w:suppressAutoHyphens/>
      <w:adjustRightInd/>
      <w:spacing w:after="240" w:line="240" w:lineRule="auto"/>
      <w:ind w:left="738" w:right="-14" w:hanging="738"/>
      <w:jc w:val="left"/>
      <w:textAlignment w:val="auto"/>
    </w:pPr>
    <w:rPr>
      <w:rFonts w:ascii="Arial" w:hAnsi="Arial"/>
      <w:sz w:val="22"/>
      <w:lang w:eastAsia="en-US"/>
    </w:rPr>
  </w:style>
  <w:style w:type="paragraph" w:styleId="133">
    <w:name w:val="Intense Quote"/>
    <w:basedOn w:val="4"/>
    <w:next w:val="1"/>
    <w:link w:val="231"/>
    <w:qFormat/>
    <w:uiPriority w:val="30"/>
    <w:pPr>
      <w:jc w:val="both"/>
    </w:pPr>
  </w:style>
  <w:style w:type="character" w:customStyle="1" w:styleId="134">
    <w:name w:val="Message Header Char"/>
    <w:link w:val="56"/>
    <w:uiPriority w:val="0"/>
    <w:rPr>
      <w:rFonts w:ascii="Arial" w:hAnsi="Arial" w:cs="Arial"/>
      <w:sz w:val="24"/>
      <w:szCs w:val="24"/>
      <w:shd w:val="pct20" w:color="auto" w:fill="auto"/>
      <w:lang w:eastAsia="en-US"/>
    </w:rPr>
  </w:style>
  <w:style w:type="paragraph" w:customStyle="1" w:styleId="135">
    <w:name w:val="Enclosure"/>
    <w:basedOn w:val="1"/>
    <w:uiPriority w:val="0"/>
    <w:pPr>
      <w:widowControl/>
      <w:adjustRightInd/>
      <w:spacing w:line="240" w:lineRule="auto"/>
      <w:jc w:val="left"/>
      <w:textAlignment w:val="auto"/>
    </w:pPr>
    <w:rPr>
      <w:sz w:val="24"/>
      <w:szCs w:val="24"/>
      <w:lang w:eastAsia="en-US"/>
    </w:rPr>
  </w:style>
  <w:style w:type="paragraph" w:customStyle="1" w:styleId="136">
    <w:name w:val="Short Return Address"/>
    <w:basedOn w:val="1"/>
    <w:uiPriority w:val="0"/>
    <w:pPr>
      <w:widowControl/>
      <w:adjustRightInd/>
      <w:spacing w:line="240" w:lineRule="auto"/>
      <w:jc w:val="left"/>
      <w:textAlignment w:val="auto"/>
    </w:pPr>
    <w:rPr>
      <w:sz w:val="24"/>
      <w:szCs w:val="24"/>
      <w:lang w:eastAsia="en-US"/>
    </w:rPr>
  </w:style>
  <w:style w:type="paragraph" w:customStyle="1" w:styleId="137">
    <w:name w:val="Right Par 5"/>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szCs w:val="24"/>
      <w:lang w:val="en-US" w:eastAsia="en-US" w:bidi="ar-SA"/>
    </w:rPr>
  </w:style>
  <w:style w:type="character" w:customStyle="1" w:styleId="138">
    <w:name w:val="_Equation Caption"/>
    <w:uiPriority w:val="0"/>
  </w:style>
  <w:style w:type="character" w:customStyle="1" w:styleId="139">
    <w:name w:val="Tech Init"/>
    <w:uiPriority w:val="0"/>
    <w:rPr>
      <w:rFonts w:ascii="Times New Roman" w:hAnsi="Times New Roman"/>
      <w:sz w:val="20"/>
      <w:lang w:val="en-US"/>
    </w:rPr>
  </w:style>
  <w:style w:type="character" w:customStyle="1" w:styleId="140">
    <w:name w:val="Technical 1"/>
    <w:uiPriority w:val="0"/>
    <w:rPr>
      <w:rFonts w:ascii="Times New Roman" w:hAnsi="Times New Roman"/>
      <w:sz w:val="20"/>
      <w:lang w:val="en-US"/>
    </w:rPr>
  </w:style>
  <w:style w:type="character" w:customStyle="1" w:styleId="141">
    <w:name w:val="Technical 2"/>
    <w:uiPriority w:val="0"/>
    <w:rPr>
      <w:rFonts w:ascii="Times New Roman" w:hAnsi="Times New Roman"/>
      <w:sz w:val="20"/>
      <w:lang w:val="en-US"/>
    </w:rPr>
  </w:style>
  <w:style w:type="character" w:customStyle="1" w:styleId="142">
    <w:name w:val="Technical 3"/>
    <w:uiPriority w:val="0"/>
    <w:rPr>
      <w:rFonts w:ascii="Times New Roman" w:hAnsi="Times New Roman"/>
      <w:sz w:val="20"/>
      <w:lang w:val="en-US"/>
    </w:rPr>
  </w:style>
  <w:style w:type="paragraph" w:customStyle="1" w:styleId="143">
    <w:name w:val="Technical 5"/>
    <w:uiPriority w:val="0"/>
    <w:pPr>
      <w:tabs>
        <w:tab w:val="left" w:pos="-720"/>
      </w:tabs>
      <w:suppressAutoHyphens/>
      <w:overflowPunct w:val="0"/>
      <w:autoSpaceDE w:val="0"/>
      <w:autoSpaceDN w:val="0"/>
      <w:adjustRightInd w:val="0"/>
      <w:ind w:firstLine="720"/>
      <w:textAlignment w:val="baseline"/>
    </w:pPr>
    <w:rPr>
      <w:rFonts w:ascii="Times New Roman" w:hAnsi="Times New Roman" w:eastAsia="宋体" w:cs="Times New Roman"/>
      <w:b/>
      <w:sz w:val="24"/>
      <w:szCs w:val="24"/>
      <w:lang w:val="en-US" w:eastAsia="en-US" w:bidi="ar-SA"/>
    </w:rPr>
  </w:style>
  <w:style w:type="paragraph" w:customStyle="1" w:styleId="144">
    <w:name w:val="Technical 6"/>
    <w:uiPriority w:val="0"/>
    <w:pPr>
      <w:tabs>
        <w:tab w:val="left" w:pos="-720"/>
      </w:tabs>
      <w:suppressAutoHyphens/>
      <w:overflowPunct w:val="0"/>
      <w:autoSpaceDE w:val="0"/>
      <w:autoSpaceDN w:val="0"/>
      <w:adjustRightInd w:val="0"/>
      <w:ind w:firstLine="720"/>
      <w:textAlignment w:val="baseline"/>
    </w:pPr>
    <w:rPr>
      <w:rFonts w:ascii="Times New Roman" w:hAnsi="Times New Roman" w:eastAsia="宋体" w:cs="Times New Roman"/>
      <w:b/>
      <w:sz w:val="24"/>
      <w:szCs w:val="24"/>
      <w:lang w:val="en-US" w:eastAsia="en-US" w:bidi="ar-SA"/>
    </w:rPr>
  </w:style>
  <w:style w:type="paragraph" w:customStyle="1" w:styleId="145">
    <w:name w:val="Technical 7"/>
    <w:uiPriority w:val="0"/>
    <w:pPr>
      <w:tabs>
        <w:tab w:val="left" w:pos="-720"/>
      </w:tabs>
      <w:suppressAutoHyphens/>
      <w:overflowPunct w:val="0"/>
      <w:autoSpaceDE w:val="0"/>
      <w:autoSpaceDN w:val="0"/>
      <w:adjustRightInd w:val="0"/>
      <w:ind w:firstLine="720"/>
      <w:textAlignment w:val="baseline"/>
    </w:pPr>
    <w:rPr>
      <w:rFonts w:ascii="Times New Roman" w:hAnsi="Times New Roman" w:eastAsia="宋体" w:cs="Times New Roman"/>
      <w:b/>
      <w:sz w:val="24"/>
      <w:szCs w:val="24"/>
      <w:lang w:val="en-US" w:eastAsia="en-US" w:bidi="ar-SA"/>
    </w:rPr>
  </w:style>
  <w:style w:type="paragraph" w:customStyle="1" w:styleId="146">
    <w:name w:val="Technical 8"/>
    <w:uiPriority w:val="0"/>
    <w:pPr>
      <w:tabs>
        <w:tab w:val="left" w:pos="-720"/>
      </w:tabs>
      <w:suppressAutoHyphens/>
      <w:overflowPunct w:val="0"/>
      <w:autoSpaceDE w:val="0"/>
      <w:autoSpaceDN w:val="0"/>
      <w:adjustRightInd w:val="0"/>
      <w:ind w:firstLine="720"/>
      <w:textAlignment w:val="baseline"/>
    </w:pPr>
    <w:rPr>
      <w:rFonts w:ascii="Times New Roman" w:hAnsi="Times New Roman" w:eastAsia="宋体" w:cs="Times New Roman"/>
      <w:b/>
      <w:sz w:val="24"/>
      <w:szCs w:val="24"/>
      <w:lang w:val="en-US" w:eastAsia="en-US" w:bidi="ar-SA"/>
    </w:rPr>
  </w:style>
  <w:style w:type="character" w:customStyle="1" w:styleId="147">
    <w:name w:val="Doc Init"/>
    <w:basedOn w:val="64"/>
    <w:uiPriority w:val="0"/>
  </w:style>
  <w:style w:type="paragraph" w:customStyle="1" w:styleId="148">
    <w:name w:val="Document 1"/>
    <w:uiPriority w:val="0"/>
    <w:pPr>
      <w:keepNext/>
      <w:keepLines/>
      <w:tabs>
        <w:tab w:val="left" w:pos="-720"/>
      </w:tabs>
      <w:suppressAutoHyphens/>
      <w:overflowPunct w:val="0"/>
      <w:autoSpaceDE w:val="0"/>
      <w:autoSpaceDN w:val="0"/>
      <w:adjustRightInd w:val="0"/>
      <w:textAlignment w:val="baseline"/>
    </w:pPr>
    <w:rPr>
      <w:rFonts w:ascii="Times New Roman" w:hAnsi="Times New Roman" w:eastAsia="宋体" w:cs="Times New Roman"/>
      <w:sz w:val="24"/>
      <w:szCs w:val="24"/>
      <w:lang w:val="en-US" w:eastAsia="en-US" w:bidi="ar-SA"/>
    </w:rPr>
  </w:style>
  <w:style w:type="character" w:customStyle="1" w:styleId="149">
    <w:name w:val="Document 2"/>
    <w:qFormat/>
    <w:uiPriority w:val="0"/>
    <w:rPr>
      <w:rFonts w:ascii="Times New Roman" w:hAnsi="Times New Roman"/>
      <w:sz w:val="20"/>
      <w:lang w:val="en-US"/>
    </w:rPr>
  </w:style>
  <w:style w:type="character" w:customStyle="1" w:styleId="150">
    <w:name w:val="Document 3"/>
    <w:uiPriority w:val="0"/>
    <w:rPr>
      <w:rFonts w:ascii="Times New Roman" w:hAnsi="Times New Roman"/>
      <w:sz w:val="20"/>
      <w:lang w:val="en-US"/>
    </w:rPr>
  </w:style>
  <w:style w:type="character" w:customStyle="1" w:styleId="151">
    <w:name w:val="Document 4"/>
    <w:uiPriority w:val="0"/>
    <w:rPr>
      <w:b/>
      <w:i/>
      <w:sz w:val="20"/>
    </w:rPr>
  </w:style>
  <w:style w:type="character" w:customStyle="1" w:styleId="152">
    <w:name w:val="Document 5"/>
    <w:basedOn w:val="64"/>
    <w:uiPriority w:val="0"/>
  </w:style>
  <w:style w:type="character" w:customStyle="1" w:styleId="153">
    <w:name w:val="Document 6"/>
    <w:basedOn w:val="64"/>
    <w:uiPriority w:val="0"/>
  </w:style>
  <w:style w:type="character" w:customStyle="1" w:styleId="154">
    <w:name w:val="Document 7"/>
    <w:basedOn w:val="64"/>
    <w:uiPriority w:val="0"/>
  </w:style>
  <w:style w:type="character" w:customStyle="1" w:styleId="155">
    <w:name w:val="Document 8"/>
    <w:basedOn w:val="64"/>
    <w:uiPriority w:val="0"/>
  </w:style>
  <w:style w:type="paragraph" w:customStyle="1" w:styleId="156">
    <w:name w:val="Pleading"/>
    <w:uiPriority w:val="0"/>
    <w:pPr>
      <w:tabs>
        <w:tab w:val="left" w:pos="-720"/>
      </w:tabs>
      <w:suppressAutoHyphens/>
      <w:overflowPunct w:val="0"/>
      <w:autoSpaceDE w:val="0"/>
      <w:autoSpaceDN w:val="0"/>
      <w:adjustRightInd w:val="0"/>
      <w:spacing w:line="240" w:lineRule="exact"/>
      <w:textAlignment w:val="baseline"/>
    </w:pPr>
    <w:rPr>
      <w:rFonts w:ascii="Times New Roman" w:hAnsi="Times New Roman" w:eastAsia="宋体" w:cs="Times New Roman"/>
      <w:sz w:val="24"/>
      <w:szCs w:val="24"/>
      <w:lang w:val="en-US" w:eastAsia="en-US" w:bidi="ar-SA"/>
    </w:rPr>
  </w:style>
  <w:style w:type="character" w:customStyle="1" w:styleId="157">
    <w:name w:val="A Head"/>
    <w:uiPriority w:val="0"/>
    <w:rPr>
      <w:rFonts w:ascii="Times New Roman" w:hAnsi="Times New Roman"/>
      <w:sz w:val="20"/>
      <w:lang w:val="en-US"/>
    </w:rPr>
  </w:style>
  <w:style w:type="paragraph" w:customStyle="1" w:styleId="158">
    <w:name w:val="B Head"/>
    <w:uiPriority w:val="0"/>
    <w:pPr>
      <w:tabs>
        <w:tab w:val="left" w:pos="-720"/>
      </w:tabs>
      <w:suppressAutoHyphens/>
      <w:overflowPunct w:val="0"/>
      <w:autoSpaceDE w:val="0"/>
      <w:autoSpaceDN w:val="0"/>
      <w:adjustRightInd w:val="0"/>
      <w:textAlignment w:val="baseline"/>
    </w:pPr>
    <w:rPr>
      <w:rFonts w:ascii="Times New Roman" w:hAnsi="Times New Roman" w:eastAsia="宋体" w:cs="Times New Roman"/>
      <w:sz w:val="24"/>
      <w:szCs w:val="24"/>
      <w:lang w:val="en-US" w:eastAsia="en-US" w:bidi="ar-SA"/>
    </w:rPr>
  </w:style>
  <w:style w:type="paragraph" w:customStyle="1" w:styleId="159">
    <w:name w:val="C Head"/>
    <w:uiPriority w:val="0"/>
    <w:pPr>
      <w:tabs>
        <w:tab w:val="left" w:pos="-720"/>
      </w:tabs>
      <w:suppressAutoHyphens/>
      <w:overflowPunct w:val="0"/>
      <w:autoSpaceDE w:val="0"/>
      <w:autoSpaceDN w:val="0"/>
      <w:adjustRightInd w:val="0"/>
      <w:textAlignment w:val="baseline"/>
    </w:pPr>
    <w:rPr>
      <w:rFonts w:ascii="Times New Roman" w:hAnsi="Times New Roman" w:eastAsia="宋体" w:cs="Times New Roman"/>
      <w:sz w:val="24"/>
      <w:szCs w:val="24"/>
      <w:lang w:val="en-US" w:eastAsia="en-US" w:bidi="ar-SA"/>
    </w:rPr>
  </w:style>
  <w:style w:type="paragraph" w:customStyle="1" w:styleId="160">
    <w:name w:val="Sec No. &amp; He"/>
    <w:uiPriority w:val="0"/>
    <w:pPr>
      <w:tabs>
        <w:tab w:val="left" w:pos="-720"/>
      </w:tabs>
      <w:suppressAutoHyphens/>
      <w:overflowPunct w:val="0"/>
      <w:autoSpaceDE w:val="0"/>
      <w:autoSpaceDN w:val="0"/>
      <w:adjustRightInd w:val="0"/>
      <w:textAlignment w:val="baseline"/>
    </w:pPr>
    <w:rPr>
      <w:rFonts w:ascii="Times New Roman" w:hAnsi="Times New Roman" w:eastAsia="宋体" w:cs="Times New Roman"/>
      <w:sz w:val="24"/>
      <w:szCs w:val="24"/>
      <w:lang w:val="en-US" w:eastAsia="en-US" w:bidi="ar-SA"/>
    </w:rPr>
  </w:style>
  <w:style w:type="character" w:customStyle="1" w:styleId="161">
    <w:name w:val="Default Para"/>
    <w:uiPriority w:val="0"/>
    <w:rPr>
      <w:rFonts w:ascii="CG Times" w:hAnsi="CG Times"/>
      <w:b/>
      <w:i/>
      <w:sz w:val="24"/>
      <w:lang w:val="en-US"/>
    </w:rPr>
  </w:style>
  <w:style w:type="paragraph" w:customStyle="1" w:styleId="162">
    <w:name w:val="Right Par[1]"/>
    <w:uiPriority w:val="0"/>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eastAsia="宋体" w:cs="Times New Roman"/>
      <w:b/>
      <w:i/>
      <w:sz w:val="24"/>
      <w:szCs w:val="24"/>
      <w:lang w:val="en-US" w:eastAsia="en-US" w:bidi="ar-SA"/>
    </w:rPr>
  </w:style>
  <w:style w:type="paragraph" w:customStyle="1" w:styleId="163">
    <w:name w:val="Right Par[2]"/>
    <w:uiPriority w:val="0"/>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eastAsia="宋体" w:cs="Times New Roman"/>
      <w:b/>
      <w:i/>
      <w:sz w:val="24"/>
      <w:szCs w:val="24"/>
      <w:lang w:val="en-US" w:eastAsia="en-US" w:bidi="ar-SA"/>
    </w:rPr>
  </w:style>
  <w:style w:type="paragraph" w:customStyle="1" w:styleId="164">
    <w:name w:val="Right Par[3]"/>
    <w:uiPriority w:val="0"/>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eastAsia="宋体" w:cs="Times New Roman"/>
      <w:b/>
      <w:i/>
      <w:sz w:val="24"/>
      <w:szCs w:val="24"/>
      <w:lang w:val="en-US" w:eastAsia="en-US" w:bidi="ar-SA"/>
    </w:rPr>
  </w:style>
  <w:style w:type="paragraph" w:customStyle="1" w:styleId="165">
    <w:name w:val="Right Par[4]"/>
    <w:uiPriority w:val="0"/>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eastAsia="宋体" w:cs="Times New Roman"/>
      <w:b/>
      <w:i/>
      <w:sz w:val="24"/>
      <w:szCs w:val="24"/>
      <w:lang w:val="en-US" w:eastAsia="en-US" w:bidi="ar-SA"/>
    </w:rPr>
  </w:style>
  <w:style w:type="paragraph" w:customStyle="1" w:styleId="166">
    <w:name w:val="Right Par[5]"/>
    <w:qFormat/>
    <w:uiPriority w:val="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eastAsia="宋体" w:cs="Times New Roman"/>
      <w:b/>
      <w:i/>
      <w:sz w:val="24"/>
      <w:szCs w:val="24"/>
      <w:lang w:val="en-US" w:eastAsia="en-US" w:bidi="ar-SA"/>
    </w:rPr>
  </w:style>
  <w:style w:type="paragraph" w:customStyle="1" w:styleId="167">
    <w:name w:val="Right Par[6]"/>
    <w:uiPriority w:val="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eastAsia="宋体" w:cs="Times New Roman"/>
      <w:b/>
      <w:i/>
      <w:sz w:val="24"/>
      <w:szCs w:val="24"/>
      <w:lang w:val="en-US" w:eastAsia="en-US" w:bidi="ar-SA"/>
    </w:rPr>
  </w:style>
  <w:style w:type="paragraph" w:customStyle="1" w:styleId="168">
    <w:name w:val="Right Par[7]"/>
    <w:uiPriority w:val="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eastAsia="宋体" w:cs="Times New Roman"/>
      <w:b/>
      <w:i/>
      <w:sz w:val="24"/>
      <w:szCs w:val="24"/>
      <w:lang w:val="en-US" w:eastAsia="en-US" w:bidi="ar-SA"/>
    </w:rPr>
  </w:style>
  <w:style w:type="paragraph" w:customStyle="1" w:styleId="169">
    <w:name w:val="Right Par[8]"/>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eastAsia="宋体" w:cs="Times New Roman"/>
      <w:b/>
      <w:i/>
      <w:sz w:val="24"/>
      <w:szCs w:val="24"/>
      <w:lang w:val="en-US" w:eastAsia="en-US" w:bidi="ar-SA"/>
    </w:rPr>
  </w:style>
  <w:style w:type="character" w:customStyle="1" w:styleId="170">
    <w:name w:val="Bibliogrphy"/>
    <w:basedOn w:val="64"/>
    <w:uiPriority w:val="0"/>
  </w:style>
  <w:style w:type="character" w:customStyle="1" w:styleId="171">
    <w:name w:val="Bullet List"/>
    <w:basedOn w:val="64"/>
    <w:uiPriority w:val="0"/>
  </w:style>
  <w:style w:type="paragraph" w:customStyle="1" w:styleId="172">
    <w:name w:val="Head 2.1"/>
    <w:basedOn w:val="1"/>
    <w:uiPriority w:val="0"/>
    <w:pPr>
      <w:widowControl/>
      <w:suppressAutoHyphens/>
      <w:overflowPunct w:val="0"/>
      <w:autoSpaceDE w:val="0"/>
      <w:autoSpaceDN w:val="0"/>
      <w:spacing w:line="240" w:lineRule="auto"/>
      <w:jc w:val="center"/>
    </w:pPr>
    <w:rPr>
      <w:b/>
      <w:sz w:val="28"/>
      <w:lang w:eastAsia="en-US"/>
    </w:rPr>
  </w:style>
  <w:style w:type="paragraph" w:customStyle="1" w:styleId="173">
    <w:name w:val="Head 2.2"/>
    <w:basedOn w:val="1"/>
    <w:uiPriority w:val="0"/>
    <w:pPr>
      <w:widowControl/>
      <w:tabs>
        <w:tab w:val="left" w:pos="360"/>
      </w:tabs>
      <w:suppressAutoHyphens/>
      <w:overflowPunct w:val="0"/>
      <w:autoSpaceDE w:val="0"/>
      <w:autoSpaceDN w:val="0"/>
      <w:spacing w:line="240" w:lineRule="auto"/>
      <w:ind w:left="360" w:hanging="360"/>
      <w:jc w:val="left"/>
    </w:pPr>
    <w:rPr>
      <w:b/>
      <w:sz w:val="24"/>
      <w:lang w:eastAsia="en-US"/>
    </w:rPr>
  </w:style>
  <w:style w:type="paragraph" w:customStyle="1" w:styleId="174">
    <w:name w:val="Head 4.1"/>
    <w:basedOn w:val="1"/>
    <w:uiPriority w:val="0"/>
    <w:pPr>
      <w:widowControl/>
      <w:suppressAutoHyphens/>
      <w:overflowPunct w:val="0"/>
      <w:autoSpaceDE w:val="0"/>
      <w:autoSpaceDN w:val="0"/>
      <w:spacing w:before="120" w:after="200" w:line="240" w:lineRule="auto"/>
      <w:jc w:val="center"/>
    </w:pPr>
    <w:rPr>
      <w:b/>
      <w:sz w:val="28"/>
      <w:lang w:eastAsia="en-US"/>
    </w:rPr>
  </w:style>
  <w:style w:type="paragraph" w:customStyle="1" w:styleId="175">
    <w:name w:val="Head 4.2"/>
    <w:basedOn w:val="1"/>
    <w:uiPriority w:val="0"/>
    <w:pPr>
      <w:widowControl/>
      <w:tabs>
        <w:tab w:val="left" w:pos="360"/>
      </w:tabs>
      <w:suppressAutoHyphens/>
      <w:overflowPunct w:val="0"/>
      <w:autoSpaceDE w:val="0"/>
      <w:autoSpaceDN w:val="0"/>
      <w:spacing w:line="240" w:lineRule="auto"/>
      <w:ind w:left="360" w:hanging="360"/>
      <w:jc w:val="left"/>
    </w:pPr>
    <w:rPr>
      <w:b/>
      <w:sz w:val="24"/>
      <w:lang w:eastAsia="en-US"/>
    </w:rPr>
  </w:style>
  <w:style w:type="paragraph" w:customStyle="1" w:styleId="176">
    <w:name w:val="Sub-Clause Text"/>
    <w:basedOn w:val="1"/>
    <w:link w:val="177"/>
    <w:uiPriority w:val="0"/>
    <w:pPr>
      <w:widowControl/>
      <w:overflowPunct w:val="0"/>
      <w:autoSpaceDE w:val="0"/>
      <w:autoSpaceDN w:val="0"/>
      <w:spacing w:before="120" w:after="120" w:line="240" w:lineRule="auto"/>
    </w:pPr>
    <w:rPr>
      <w:spacing w:val="-4"/>
      <w:sz w:val="24"/>
      <w:lang w:val="zh-CN" w:eastAsia="en-US"/>
    </w:rPr>
  </w:style>
  <w:style w:type="character" w:customStyle="1" w:styleId="177">
    <w:name w:val="Sub-Clause Text Char"/>
    <w:link w:val="176"/>
    <w:uiPriority w:val="0"/>
    <w:rPr>
      <w:spacing w:val="-4"/>
      <w:sz w:val="24"/>
      <w:lang w:eastAsia="en-US"/>
    </w:rPr>
  </w:style>
  <w:style w:type="paragraph" w:customStyle="1" w:styleId="178">
    <w:name w:val="Outline1"/>
    <w:basedOn w:val="125"/>
    <w:next w:val="131"/>
    <w:uiPriority w:val="0"/>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179">
    <w:name w:val="text 3"/>
    <w:basedOn w:val="1"/>
    <w:uiPriority w:val="0"/>
    <w:pPr>
      <w:widowControl/>
      <w:adjustRightInd/>
      <w:spacing w:before="240" w:after="240" w:line="240" w:lineRule="auto"/>
      <w:ind w:left="1418"/>
      <w:jc w:val="left"/>
      <w:textAlignment w:val="auto"/>
    </w:pPr>
    <w:rPr>
      <w:sz w:val="24"/>
      <w:szCs w:val="24"/>
      <w:lang w:eastAsia="en-US"/>
    </w:rPr>
  </w:style>
  <w:style w:type="paragraph" w:customStyle="1" w:styleId="180">
    <w:name w:val="e4"/>
    <w:basedOn w:val="1"/>
    <w:next w:val="1"/>
    <w:uiPriority w:val="0"/>
    <w:pPr>
      <w:keepLines/>
      <w:widowControl/>
      <w:pBdr>
        <w:bottom w:val="single" w:color="auto" w:sz="6" w:space="0"/>
        <w:between w:val="single" w:color="auto" w:sz="6" w:space="0"/>
      </w:pBdr>
      <w:overflowPunct w:val="0"/>
      <w:autoSpaceDE w:val="0"/>
      <w:autoSpaceDN w:val="0"/>
      <w:spacing w:after="260" w:line="260" w:lineRule="atLeast"/>
      <w:jc w:val="left"/>
    </w:pPr>
    <w:rPr>
      <w:sz w:val="24"/>
      <w:lang w:eastAsia="en-US"/>
    </w:rPr>
  </w:style>
  <w:style w:type="character" w:customStyle="1" w:styleId="181">
    <w:name w:val="Note Heading Char"/>
    <w:link w:val="14"/>
    <w:uiPriority w:val="0"/>
    <w:rPr>
      <w:sz w:val="24"/>
      <w:lang w:eastAsia="en-US"/>
    </w:rPr>
  </w:style>
  <w:style w:type="character" w:customStyle="1" w:styleId="182">
    <w:name w:val="Header 2 - SubClauses Char Char"/>
    <w:uiPriority w:val="0"/>
    <w:rPr>
      <w:rFonts w:cs="Arial"/>
      <w:sz w:val="24"/>
      <w:szCs w:val="24"/>
      <w:lang w:val="en-US" w:eastAsia="en-US" w:bidi="ar-SA"/>
    </w:rPr>
  </w:style>
  <w:style w:type="paragraph" w:customStyle="1" w:styleId="183">
    <w:name w:val="Section X Header 3"/>
    <w:basedOn w:val="2"/>
    <w:uiPriority w:val="0"/>
    <w:pPr>
      <w:keepNext w:val="0"/>
      <w:keepLines w:val="0"/>
      <w:widowControl/>
      <w:adjustRightInd/>
      <w:spacing w:before="0" w:after="0"/>
    </w:pPr>
    <w:rPr>
      <w:bCs/>
      <w:kern w:val="0"/>
      <w:sz w:val="72"/>
      <w:szCs w:val="72"/>
      <w:lang w:eastAsia="en-US"/>
    </w:rPr>
  </w:style>
  <w:style w:type="paragraph" w:customStyle="1" w:styleId="184">
    <w:name w:val="Part 1"/>
    <w:basedOn w:val="1"/>
    <w:uiPriority w:val="0"/>
    <w:pPr>
      <w:widowControl/>
      <w:adjustRightInd/>
      <w:spacing w:before="3120" w:after="240" w:line="240" w:lineRule="auto"/>
      <w:jc w:val="center"/>
      <w:textAlignment w:val="auto"/>
    </w:pPr>
    <w:rPr>
      <w:b/>
      <w:sz w:val="48"/>
      <w:lang w:eastAsia="en-US"/>
    </w:rPr>
  </w:style>
  <w:style w:type="paragraph" w:customStyle="1" w:styleId="185">
    <w:name w:val="plane"/>
    <w:basedOn w:val="1"/>
    <w:uiPriority w:val="0"/>
    <w:pPr>
      <w:widowControl/>
      <w:suppressAutoHyphens/>
      <w:adjustRightInd/>
      <w:spacing w:line="240" w:lineRule="auto"/>
      <w:textAlignment w:val="auto"/>
    </w:pPr>
    <w:rPr>
      <w:rFonts w:ascii="Tms Rmn" w:hAnsi="Tms Rmn"/>
      <w:sz w:val="24"/>
      <w:lang w:eastAsia="en-US"/>
    </w:rPr>
  </w:style>
  <w:style w:type="paragraph" w:customStyle="1" w:styleId="186">
    <w:name w:val="S8 Header 1"/>
    <w:basedOn w:val="1"/>
    <w:next w:val="1"/>
    <w:uiPriority w:val="0"/>
    <w:pPr>
      <w:widowControl/>
      <w:adjustRightInd/>
      <w:spacing w:before="120" w:after="200" w:line="240" w:lineRule="auto"/>
      <w:textAlignment w:val="auto"/>
    </w:pPr>
    <w:rPr>
      <w:b/>
      <w:sz w:val="24"/>
      <w:lang w:eastAsia="en-US"/>
    </w:rPr>
  </w:style>
  <w:style w:type="paragraph" w:customStyle="1" w:styleId="187">
    <w:name w:val="S1-Header1"/>
    <w:basedOn w:val="1"/>
    <w:uiPriority w:val="0"/>
    <w:pPr>
      <w:widowControl/>
      <w:tabs>
        <w:tab w:val="left" w:pos="648"/>
      </w:tabs>
      <w:adjustRightInd/>
      <w:spacing w:before="240" w:after="240" w:line="240" w:lineRule="auto"/>
      <w:ind w:left="360" w:hanging="72"/>
      <w:jc w:val="center"/>
      <w:textAlignment w:val="auto"/>
    </w:pPr>
    <w:rPr>
      <w:b/>
      <w:sz w:val="28"/>
      <w:szCs w:val="24"/>
      <w:lang w:eastAsia="en-US"/>
    </w:rPr>
  </w:style>
  <w:style w:type="paragraph" w:customStyle="1" w:styleId="188">
    <w:name w:val="S1-Header2"/>
    <w:basedOn w:val="1"/>
    <w:uiPriority w:val="0"/>
    <w:pPr>
      <w:widowControl/>
      <w:numPr>
        <w:ilvl w:val="0"/>
        <w:numId w:val="14"/>
      </w:numPr>
      <w:tabs>
        <w:tab w:val="left" w:pos="432"/>
        <w:tab w:val="clear" w:pos="648"/>
      </w:tabs>
      <w:adjustRightInd/>
      <w:spacing w:after="200" w:line="240" w:lineRule="auto"/>
      <w:ind w:left="432" w:hanging="432"/>
      <w:jc w:val="left"/>
      <w:textAlignment w:val="auto"/>
    </w:pPr>
    <w:rPr>
      <w:b/>
      <w:sz w:val="24"/>
      <w:szCs w:val="24"/>
      <w:lang w:eastAsia="en-US"/>
    </w:rPr>
  </w:style>
  <w:style w:type="paragraph" w:customStyle="1" w:styleId="189">
    <w:name w:val="Style Header 2 - SubClauses + Italic"/>
    <w:basedOn w:val="82"/>
    <w:uiPriority w:val="0"/>
    <w:pPr>
      <w:tabs>
        <w:tab w:val="left" w:pos="504"/>
        <w:tab w:val="left" w:pos="540"/>
        <w:tab w:val="clear" w:pos="840"/>
      </w:tabs>
      <w:spacing w:before="0"/>
      <w:ind w:left="504" w:hanging="504"/>
    </w:pPr>
    <w:rPr>
      <w:rFonts w:ascii="Times New Roman" w:hAnsi="Times New Roman"/>
      <w:i/>
      <w:iCs/>
      <w:sz w:val="24"/>
      <w:szCs w:val="24"/>
    </w:rPr>
  </w:style>
  <w:style w:type="character" w:customStyle="1" w:styleId="190">
    <w:name w:val="Style Header 2 - SubClauses + Italic Char"/>
    <w:uiPriority w:val="0"/>
    <w:rPr>
      <w:rFonts w:cs="Arial"/>
      <w:i/>
      <w:iCs/>
      <w:sz w:val="24"/>
      <w:szCs w:val="24"/>
      <w:lang w:val="en-US" w:eastAsia="en-US" w:bidi="ar-SA"/>
    </w:rPr>
  </w:style>
  <w:style w:type="paragraph" w:customStyle="1" w:styleId="191">
    <w:name w:val="Style Header 2 - SubClauses + After:  6 pt"/>
    <w:basedOn w:val="82"/>
    <w:uiPriority w:val="0"/>
    <w:pPr>
      <w:tabs>
        <w:tab w:val="left" w:pos="504"/>
      </w:tabs>
      <w:spacing w:before="0"/>
      <w:ind w:left="504" w:hanging="504"/>
    </w:pPr>
    <w:rPr>
      <w:rFonts w:ascii="Times New Roman" w:hAnsi="Times New Roman" w:cs="Times New Roman"/>
      <w:sz w:val="24"/>
      <w:szCs w:val="24"/>
    </w:rPr>
  </w:style>
  <w:style w:type="paragraph" w:customStyle="1" w:styleId="192">
    <w:name w:val="Style Subtitle + Left:  0.13&quot; Right:  0.2&quot;"/>
    <w:basedOn w:val="46"/>
    <w:uiPriority w:val="0"/>
  </w:style>
  <w:style w:type="paragraph" w:customStyle="1" w:styleId="193">
    <w:name w:val="Style Arial 20 pt Bold Centered Before:  6 pt After:  12 pt"/>
    <w:basedOn w:val="1"/>
    <w:qFormat/>
    <w:uiPriority w:val="0"/>
    <w:pPr>
      <w:widowControl/>
      <w:adjustRightInd/>
      <w:spacing w:before="120" w:after="240" w:line="240" w:lineRule="auto"/>
      <w:jc w:val="center"/>
      <w:textAlignment w:val="auto"/>
    </w:pPr>
    <w:rPr>
      <w:b/>
      <w:bCs/>
      <w:sz w:val="36"/>
      <w:lang w:eastAsia="en-US"/>
    </w:rPr>
  </w:style>
  <w:style w:type="paragraph" w:customStyle="1" w:styleId="194">
    <w:name w:val="S3-Header 1"/>
    <w:basedOn w:val="1"/>
    <w:qFormat/>
    <w:uiPriority w:val="0"/>
    <w:pPr>
      <w:widowControl/>
      <w:adjustRightInd/>
      <w:spacing w:before="120" w:after="200" w:line="240" w:lineRule="auto"/>
      <w:ind w:left="1080" w:hanging="720"/>
      <w:textAlignment w:val="auto"/>
    </w:pPr>
    <w:rPr>
      <w:b/>
      <w:bCs/>
      <w:sz w:val="28"/>
      <w:lang w:eastAsia="en-US"/>
    </w:rPr>
  </w:style>
  <w:style w:type="paragraph" w:customStyle="1" w:styleId="195">
    <w:name w:val="S3-Heading 2"/>
    <w:basedOn w:val="1"/>
    <w:uiPriority w:val="0"/>
    <w:pPr>
      <w:widowControl/>
      <w:adjustRightInd/>
      <w:spacing w:after="200" w:line="240" w:lineRule="auto"/>
      <w:ind w:left="1080" w:right="288" w:hanging="720"/>
      <w:textAlignment w:val="auto"/>
    </w:pPr>
    <w:rPr>
      <w:b/>
      <w:bCs/>
      <w:sz w:val="24"/>
      <w:szCs w:val="24"/>
      <w:lang w:eastAsia="en-US"/>
    </w:rPr>
  </w:style>
  <w:style w:type="paragraph" w:customStyle="1" w:styleId="196">
    <w:name w:val="S4 Header"/>
    <w:basedOn w:val="1"/>
    <w:next w:val="1"/>
    <w:qFormat/>
    <w:uiPriority w:val="0"/>
    <w:pPr>
      <w:widowControl/>
      <w:adjustRightInd/>
      <w:spacing w:before="120" w:after="240" w:line="240" w:lineRule="auto"/>
      <w:jc w:val="center"/>
      <w:textAlignment w:val="auto"/>
    </w:pPr>
    <w:rPr>
      <w:b/>
      <w:sz w:val="32"/>
      <w:lang w:eastAsia="en-US"/>
    </w:rPr>
  </w:style>
  <w:style w:type="paragraph" w:customStyle="1" w:styleId="197">
    <w:name w:val="S4-header1"/>
    <w:basedOn w:val="1"/>
    <w:uiPriority w:val="0"/>
    <w:pPr>
      <w:widowControl/>
      <w:adjustRightInd/>
      <w:spacing w:before="120" w:after="240" w:line="240" w:lineRule="auto"/>
      <w:jc w:val="center"/>
      <w:textAlignment w:val="auto"/>
    </w:pPr>
    <w:rPr>
      <w:b/>
      <w:sz w:val="36"/>
      <w:lang w:eastAsia="en-US"/>
    </w:rPr>
  </w:style>
  <w:style w:type="paragraph" w:customStyle="1" w:styleId="198">
    <w:name w:val="S4-Header 1"/>
    <w:basedOn w:val="1"/>
    <w:next w:val="1"/>
    <w:uiPriority w:val="0"/>
    <w:pPr>
      <w:widowControl/>
      <w:adjustRightInd/>
      <w:spacing w:before="120" w:after="240" w:line="240" w:lineRule="auto"/>
      <w:jc w:val="center"/>
      <w:textAlignment w:val="auto"/>
    </w:pPr>
    <w:rPr>
      <w:rFonts w:cs="Arial"/>
      <w:b/>
      <w:sz w:val="36"/>
      <w:szCs w:val="24"/>
      <w:lang w:eastAsia="en-US"/>
    </w:rPr>
  </w:style>
  <w:style w:type="paragraph" w:customStyle="1" w:styleId="199">
    <w:name w:val="Style Section V. Header + Left:  0.25&quot; Right:  0.2&quot;"/>
    <w:basedOn w:val="99"/>
    <w:uiPriority w:val="0"/>
    <w:pPr>
      <w:spacing w:before="120" w:after="240"/>
      <w:ind w:left="360" w:right="288"/>
    </w:pPr>
    <w:rPr>
      <w:rFonts w:ascii="Times New Roman" w:hAnsi="Times New Roman"/>
      <w:bCs/>
      <w:sz w:val="32"/>
    </w:rPr>
  </w:style>
  <w:style w:type="paragraph" w:customStyle="1" w:styleId="200">
    <w:name w:val="Style Style Header 1 - Clauses + After:  0 pt + Left:  0&quot; Hanging:..."/>
    <w:basedOn w:val="1"/>
    <w:uiPriority w:val="0"/>
    <w:pPr>
      <w:widowControl/>
      <w:tabs>
        <w:tab w:val="left" w:pos="576"/>
      </w:tabs>
      <w:adjustRightInd/>
      <w:spacing w:after="200" w:line="240" w:lineRule="auto"/>
      <w:ind w:left="576" w:hanging="576"/>
      <w:textAlignment w:val="auto"/>
    </w:pPr>
    <w:rPr>
      <w:sz w:val="24"/>
      <w:lang w:eastAsia="en-US"/>
    </w:rPr>
  </w:style>
  <w:style w:type="paragraph" w:customStyle="1" w:styleId="201">
    <w:name w:val="S4-Header 2"/>
    <w:basedOn w:val="1"/>
    <w:uiPriority w:val="0"/>
    <w:pPr>
      <w:widowControl/>
      <w:adjustRightInd/>
      <w:spacing w:before="120" w:after="240" w:line="240" w:lineRule="auto"/>
      <w:jc w:val="center"/>
      <w:textAlignment w:val="auto"/>
    </w:pPr>
    <w:rPr>
      <w:b/>
      <w:sz w:val="32"/>
      <w:szCs w:val="24"/>
      <w:lang w:eastAsia="en-US"/>
    </w:rPr>
  </w:style>
  <w:style w:type="paragraph" w:customStyle="1" w:styleId="202">
    <w:name w:val="S6-Header 1"/>
    <w:basedOn w:val="1"/>
    <w:next w:val="1"/>
    <w:uiPriority w:val="0"/>
    <w:pPr>
      <w:widowControl/>
      <w:adjustRightInd/>
      <w:spacing w:before="120" w:after="240" w:line="240" w:lineRule="auto"/>
      <w:jc w:val="center"/>
      <w:textAlignment w:val="auto"/>
    </w:pPr>
    <w:rPr>
      <w:rFonts w:cs="Arial"/>
      <w:b/>
      <w:sz w:val="32"/>
      <w:szCs w:val="24"/>
      <w:lang w:eastAsia="en-US"/>
    </w:rPr>
  </w:style>
  <w:style w:type="paragraph" w:customStyle="1" w:styleId="203">
    <w:name w:val="Part"/>
    <w:basedOn w:val="1"/>
    <w:uiPriority w:val="0"/>
    <w:pPr>
      <w:keepNext/>
      <w:widowControl/>
      <w:adjustRightInd/>
      <w:spacing w:before="2280" w:line="240" w:lineRule="auto"/>
      <w:jc w:val="center"/>
      <w:textAlignment w:val="auto"/>
    </w:pPr>
    <w:rPr>
      <w:b/>
      <w:sz w:val="52"/>
      <w:szCs w:val="24"/>
      <w:lang w:eastAsia="en-US"/>
    </w:rPr>
  </w:style>
  <w:style w:type="paragraph" w:customStyle="1" w:styleId="204">
    <w:name w:val="Style Head 4.1 + Before:  6 pt After:  6 pt"/>
    <w:basedOn w:val="174"/>
    <w:qFormat/>
    <w:uiPriority w:val="0"/>
    <w:rPr>
      <w:bCs/>
    </w:rPr>
  </w:style>
  <w:style w:type="paragraph" w:customStyle="1" w:styleId="205">
    <w:name w:val="S9 Header 1"/>
    <w:basedOn w:val="1"/>
    <w:next w:val="1"/>
    <w:qFormat/>
    <w:uiPriority w:val="0"/>
    <w:pPr>
      <w:widowControl/>
      <w:adjustRightInd/>
      <w:spacing w:before="120" w:after="240" w:line="240" w:lineRule="auto"/>
      <w:jc w:val="center"/>
      <w:textAlignment w:val="auto"/>
    </w:pPr>
    <w:rPr>
      <w:b/>
      <w:sz w:val="36"/>
      <w:szCs w:val="24"/>
      <w:lang w:eastAsia="en-US"/>
    </w:rPr>
  </w:style>
  <w:style w:type="paragraph" w:customStyle="1" w:styleId="206">
    <w:name w:val="Style S1-Header1 + Times New Roman 14 pt"/>
    <w:basedOn w:val="187"/>
    <w:uiPriority w:val="0"/>
    <w:pPr>
      <w:tabs>
        <w:tab w:val="clear" w:pos="648"/>
      </w:tabs>
      <w:ind w:left="0" w:firstLine="0"/>
    </w:pPr>
    <w:rPr>
      <w:bCs/>
    </w:rPr>
  </w:style>
  <w:style w:type="character" w:customStyle="1" w:styleId="207">
    <w:name w:val="S1-Header1 Char Char"/>
    <w:uiPriority w:val="0"/>
    <w:rPr>
      <w:i/>
      <w:iCs/>
      <w:sz w:val="28"/>
      <w:szCs w:val="24"/>
      <w:lang w:val="en-US" w:eastAsia="en-US" w:bidi="ar-SA"/>
    </w:rPr>
  </w:style>
  <w:style w:type="character" w:customStyle="1" w:styleId="208">
    <w:name w:val="Style S1-Header1 + Times New Roman 14 pt Char"/>
    <w:qFormat/>
    <w:uiPriority w:val="0"/>
    <w:rPr>
      <w:bCs/>
      <w:i/>
      <w:iCs/>
      <w:sz w:val="28"/>
      <w:szCs w:val="24"/>
      <w:lang w:val="en-US" w:eastAsia="en-US" w:bidi="ar-SA"/>
    </w:rPr>
  </w:style>
  <w:style w:type="paragraph" w:customStyle="1" w:styleId="209">
    <w:name w:val="Style Style S1-Header1 + Times New Roman 14 pt +"/>
    <w:basedOn w:val="206"/>
    <w:uiPriority w:val="0"/>
    <w:pPr>
      <w:tabs>
        <w:tab w:val="left" w:pos="648"/>
      </w:tabs>
      <w:ind w:left="360" w:hanging="72"/>
    </w:pPr>
  </w:style>
  <w:style w:type="character" w:customStyle="1" w:styleId="210">
    <w:name w:val="Style Style S1-Header1 + Times New Roman 14 pt + Char"/>
    <w:basedOn w:val="208"/>
    <w:uiPriority w:val="0"/>
    <w:rPr>
      <w:sz w:val="28"/>
      <w:szCs w:val="24"/>
      <w:lang w:val="en-US" w:eastAsia="en-US" w:bidi="ar-SA"/>
    </w:rPr>
  </w:style>
  <w:style w:type="paragraph" w:customStyle="1" w:styleId="211">
    <w:name w:val="Style Style S1-Header1 + Times New Roman 14 pt +1"/>
    <w:basedOn w:val="206"/>
    <w:uiPriority w:val="0"/>
    <w:pPr>
      <w:tabs>
        <w:tab w:val="left" w:pos="648"/>
      </w:tabs>
      <w:ind w:left="360" w:hanging="72"/>
    </w:pPr>
  </w:style>
  <w:style w:type="character" w:customStyle="1" w:styleId="212">
    <w:name w:val="Style Style S1-Header1 + Times New Roman 14 pt +1 Char"/>
    <w:basedOn w:val="208"/>
    <w:uiPriority w:val="0"/>
    <w:rPr>
      <w:sz w:val="28"/>
      <w:szCs w:val="24"/>
      <w:lang w:val="en-US" w:eastAsia="en-US" w:bidi="ar-SA"/>
    </w:rPr>
  </w:style>
  <w:style w:type="paragraph" w:customStyle="1" w:styleId="213">
    <w:name w:val="Style Header 1 - Clauses + After:  0 pt"/>
    <w:basedOn w:val="1"/>
    <w:uiPriority w:val="0"/>
    <w:pPr>
      <w:widowControl/>
      <w:adjustRightInd/>
      <w:spacing w:after="200" w:line="240" w:lineRule="auto"/>
      <w:textAlignment w:val="auto"/>
    </w:pPr>
    <w:rPr>
      <w:bCs/>
      <w:sz w:val="24"/>
      <w:lang w:eastAsia="en-US"/>
    </w:rPr>
  </w:style>
  <w:style w:type="paragraph" w:customStyle="1" w:styleId="214">
    <w:name w:val="Style Header 2 - SubClauses + Bold"/>
    <w:basedOn w:val="1"/>
    <w:link w:val="215"/>
    <w:qFormat/>
    <w:uiPriority w:val="0"/>
    <w:pPr>
      <w:widowControl/>
      <w:tabs>
        <w:tab w:val="left" w:pos="576"/>
      </w:tabs>
      <w:adjustRightInd/>
      <w:spacing w:after="200" w:line="240" w:lineRule="auto"/>
      <w:ind w:left="612"/>
      <w:textAlignment w:val="auto"/>
    </w:pPr>
    <w:rPr>
      <w:b/>
      <w:bCs/>
      <w:sz w:val="24"/>
      <w:lang w:eastAsia="en-US"/>
    </w:rPr>
  </w:style>
  <w:style w:type="character" w:customStyle="1" w:styleId="215">
    <w:name w:val="Style Header 2 - SubClauses + Bold Char"/>
    <w:link w:val="214"/>
    <w:uiPriority w:val="0"/>
    <w:rPr>
      <w:b/>
      <w:bCs/>
      <w:sz w:val="24"/>
      <w:lang w:eastAsia="en-US"/>
    </w:rPr>
  </w:style>
  <w:style w:type="character" w:customStyle="1" w:styleId="216">
    <w:name w:val="Plain Text Char"/>
    <w:link w:val="34"/>
    <w:uiPriority w:val="0"/>
    <w:rPr>
      <w:rFonts w:ascii="宋体" w:hAnsi="Courier New"/>
      <w:kern w:val="2"/>
      <w:sz w:val="21"/>
    </w:rPr>
  </w:style>
  <w:style w:type="character" w:customStyle="1" w:styleId="217">
    <w:name w:val="Endnote Text Char"/>
    <w:link w:val="40"/>
    <w:semiHidden/>
    <w:uiPriority w:val="0"/>
    <w:rPr>
      <w:sz w:val="21"/>
    </w:rPr>
  </w:style>
  <w:style w:type="paragraph" w:customStyle="1" w:styleId="218">
    <w:name w:val="TOC 标题1"/>
    <w:basedOn w:val="2"/>
    <w:next w:val="1"/>
    <w:unhideWhenUsed/>
    <w:qFormat/>
    <w:uiPriority w:val="39"/>
    <w:pPr>
      <w:widowControl/>
      <w:adjustRightInd/>
      <w:spacing w:before="480" w:after="0" w:line="276" w:lineRule="auto"/>
      <w:jc w:val="left"/>
      <w:outlineLvl w:val="9"/>
    </w:pPr>
    <w:rPr>
      <w:rFonts w:ascii="Calibri" w:hAnsi="Calibri" w:eastAsia="Times New Roman"/>
      <w:bCs/>
      <w:color w:val="365F91"/>
      <w:kern w:val="0"/>
      <w:sz w:val="28"/>
      <w:szCs w:val="28"/>
      <w:lang w:eastAsia="en-US"/>
    </w:rPr>
  </w:style>
  <w:style w:type="paragraph" w:customStyle="1" w:styleId="219">
    <w:name w:val="样式 标题 2节标题 1.1标题 1.1Section-TitleTitle Header2标题 2-GLClaus..."/>
    <w:basedOn w:val="1"/>
    <w:next w:val="1"/>
    <w:qFormat/>
    <w:uiPriority w:val="0"/>
    <w:pPr>
      <w:spacing w:before="120" w:after="120" w:line="240" w:lineRule="auto"/>
      <w:jc w:val="center"/>
    </w:pPr>
    <w:rPr>
      <w:rFonts w:ascii="宋体" w:hAnsi="宋体" w:cs="宋体"/>
      <w:b/>
      <w:bCs/>
      <w:sz w:val="24"/>
    </w:rPr>
  </w:style>
  <w:style w:type="paragraph" w:customStyle="1" w:styleId="220">
    <w:name w:val="Revision"/>
    <w:hidden/>
    <w:semiHidden/>
    <w:qFormat/>
    <w:uiPriority w:val="99"/>
    <w:rPr>
      <w:rFonts w:ascii="Times New Roman" w:hAnsi="Times New Roman" w:eastAsia="宋体" w:cs="Times New Roman"/>
      <w:sz w:val="21"/>
      <w:lang w:val="en-US" w:eastAsia="zh-CN" w:bidi="ar-SA"/>
    </w:rPr>
  </w:style>
  <w:style w:type="character" w:customStyle="1" w:styleId="221">
    <w:name w:val="Unresolved Mention"/>
    <w:semiHidden/>
    <w:unhideWhenUsed/>
    <w:qFormat/>
    <w:uiPriority w:val="99"/>
    <w:rPr>
      <w:color w:val="605E5C"/>
      <w:shd w:val="clear" w:color="auto" w:fill="E1DFDD"/>
    </w:rPr>
  </w:style>
  <w:style w:type="character" w:customStyle="1" w:styleId="222">
    <w:name w:val="SBD_small italic"/>
    <w:qFormat/>
    <w:uiPriority w:val="99"/>
    <w:rPr>
      <w:i/>
      <w:iCs/>
      <w:sz w:val="18"/>
      <w:szCs w:val="18"/>
    </w:rPr>
  </w:style>
  <w:style w:type="paragraph" w:customStyle="1" w:styleId="223">
    <w:name w:val="SBD_BT no space"/>
    <w:basedOn w:val="1"/>
    <w:qFormat/>
    <w:uiPriority w:val="99"/>
    <w:pPr>
      <w:widowControl/>
      <w:suppressAutoHyphens/>
      <w:autoSpaceDE w:val="0"/>
      <w:autoSpaceDN w:val="0"/>
      <w:spacing w:line="260" w:lineRule="atLeast"/>
      <w:textAlignment w:val="center"/>
    </w:pPr>
    <w:rPr>
      <w:rFonts w:ascii="Ideal Sans Light" w:hAnsi="Ideal Sans Light" w:eastAsia="Calibri" w:cs="Ideal Sans Light"/>
      <w:color w:val="000000"/>
      <w:w w:val="95"/>
      <w:szCs w:val="21"/>
      <w:lang w:eastAsia="en-US"/>
    </w:rPr>
  </w:style>
  <w:style w:type="paragraph" w:customStyle="1" w:styleId="224">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5">
    <w:name w:val="第一篇"/>
    <w:basedOn w:val="2"/>
    <w:link w:val="226"/>
    <w:qFormat/>
    <w:uiPriority w:val="0"/>
  </w:style>
  <w:style w:type="character" w:customStyle="1" w:styleId="226">
    <w:name w:val="第一篇 Char"/>
    <w:basedOn w:val="78"/>
    <w:link w:val="225"/>
    <w:qFormat/>
    <w:uiPriority w:val="0"/>
    <w:rPr>
      <w:rFonts w:ascii="黑体" w:hAnsi="黑体" w:eastAsia="黑体"/>
      <w:kern w:val="44"/>
      <w:sz w:val="32"/>
      <w:szCs w:val="32"/>
      <w:lang w:val="zh-CN" w:eastAsia="zh-CN"/>
    </w:rPr>
  </w:style>
  <w:style w:type="character" w:customStyle="1" w:styleId="227">
    <w:name w:val="Subtle Emphasis"/>
    <w:qFormat/>
    <w:uiPriority w:val="19"/>
  </w:style>
  <w:style w:type="character" w:customStyle="1" w:styleId="228">
    <w:name w:val="Intense Emphasis"/>
    <w:qFormat/>
    <w:uiPriority w:val="21"/>
  </w:style>
  <w:style w:type="paragraph" w:styleId="229">
    <w:name w:val="Quote"/>
    <w:basedOn w:val="3"/>
    <w:next w:val="1"/>
    <w:link w:val="230"/>
    <w:qFormat/>
    <w:uiPriority w:val="29"/>
  </w:style>
  <w:style w:type="character" w:customStyle="1" w:styleId="230">
    <w:name w:val="Quote Char"/>
    <w:basedOn w:val="64"/>
    <w:link w:val="229"/>
    <w:qFormat/>
    <w:uiPriority w:val="29"/>
    <w:rPr>
      <w:b/>
      <w:sz w:val="28"/>
      <w:szCs w:val="28"/>
      <w:lang w:val="zh-CN" w:eastAsia="zh-CN"/>
    </w:rPr>
  </w:style>
  <w:style w:type="character" w:customStyle="1" w:styleId="231">
    <w:name w:val="Intense Quote Char"/>
    <w:basedOn w:val="64"/>
    <w:link w:val="133"/>
    <w:qFormat/>
    <w:uiPriority w:val="30"/>
    <w:rPr>
      <w:b/>
      <w:sz w:val="24"/>
      <w:lang w:val="zh-CN" w:eastAsia="zh-CN"/>
    </w:rPr>
  </w:style>
  <w:style w:type="paragraph" w:customStyle="1" w:styleId="232">
    <w:name w:val="Section 4 - Heading 2"/>
    <w:basedOn w:val="1"/>
    <w:qFormat/>
    <w:uiPriority w:val="0"/>
    <w:pPr>
      <w:widowControl/>
      <w:adjustRightInd/>
      <w:spacing w:after="200" w:line="240" w:lineRule="auto"/>
      <w:jc w:val="center"/>
      <w:textAlignment w:val="auto"/>
    </w:pPr>
    <w:rPr>
      <w:rFonts w:eastAsia="Times New Roman"/>
      <w:b/>
      <w:sz w:val="32"/>
      <w:szCs w:val="24"/>
      <w:lang w:eastAsia="en-US"/>
    </w:rPr>
  </w:style>
  <w:style w:type="paragraph" w:customStyle="1" w:styleId="233">
    <w:name w:val="Section 4 heading"/>
    <w:basedOn w:val="1"/>
    <w:next w:val="1"/>
    <w:qFormat/>
    <w:uiPriority w:val="0"/>
    <w:pPr>
      <w:tabs>
        <w:tab w:val="left" w:leader="dot" w:pos="8748"/>
      </w:tabs>
      <w:autoSpaceDE w:val="0"/>
      <w:autoSpaceDN w:val="0"/>
      <w:adjustRightInd/>
      <w:spacing w:after="240" w:line="240" w:lineRule="auto"/>
      <w:jc w:val="center"/>
      <w:textAlignment w:val="auto"/>
    </w:pPr>
    <w:rPr>
      <w:rFonts w:eastAsia="Times New Roman"/>
      <w:b/>
      <w:sz w:val="36"/>
      <w:szCs w:val="24"/>
      <w:lang w:eastAsia="en-US"/>
    </w:rPr>
  </w:style>
  <w:style w:type="character" w:customStyle="1" w:styleId="234">
    <w:name w:val="List Paragraph Char"/>
    <w:link w:val="102"/>
    <w:qFormat/>
    <w:uiPriority w:val="34"/>
    <w:rPr>
      <w:kern w:val="2"/>
      <w:sz w:val="21"/>
      <w:szCs w:val="24"/>
    </w:rPr>
  </w:style>
  <w:style w:type="paragraph" w:customStyle="1" w:styleId="235">
    <w:name w:val="Style 5"/>
    <w:basedOn w:val="1"/>
    <w:uiPriority w:val="0"/>
    <w:pPr>
      <w:autoSpaceDE w:val="0"/>
      <w:autoSpaceDN w:val="0"/>
      <w:adjustRightInd/>
      <w:spacing w:line="480" w:lineRule="exact"/>
      <w:jc w:val="center"/>
      <w:textAlignment w:val="auto"/>
    </w:pPr>
    <w:rPr>
      <w:rFonts w:eastAsia="Times New Roman"/>
      <w:sz w:val="24"/>
      <w:szCs w:val="24"/>
      <w:lang w:eastAsia="en-US"/>
    </w:rPr>
  </w:style>
  <w:style w:type="paragraph" w:customStyle="1" w:styleId="236">
    <w:name w:val="ClauseSub_Para"/>
    <w:link w:val="237"/>
    <w:qFormat/>
    <w:uiPriority w:val="0"/>
    <w:pPr>
      <w:spacing w:before="60" w:after="60"/>
      <w:ind w:left="2268"/>
    </w:pPr>
    <w:rPr>
      <w:rFonts w:ascii="Times New Roman" w:hAnsi="Times New Roman" w:eastAsia="Times New Roman" w:cs="Times New Roman"/>
      <w:sz w:val="22"/>
      <w:szCs w:val="22"/>
      <w:lang w:val="en-GB" w:eastAsia="en-US" w:bidi="ar-SA"/>
    </w:rPr>
  </w:style>
  <w:style w:type="character" w:customStyle="1" w:styleId="237">
    <w:name w:val="ClauseSub_Para Char"/>
    <w:link w:val="236"/>
    <w:qFormat/>
    <w:uiPriority w:val="0"/>
    <w:rPr>
      <w:rFonts w:eastAsia="Times New Roman"/>
      <w:sz w:val="22"/>
      <w:szCs w:val="22"/>
      <w:lang w:val="en-GB" w:eastAsia="en-US"/>
    </w:rPr>
  </w:style>
  <w:style w:type="paragraph" w:customStyle="1" w:styleId="238">
    <w:name w:val="Bullet roman"/>
    <w:basedOn w:val="102"/>
    <w:qFormat/>
    <w:uiPriority w:val="0"/>
    <w:pPr>
      <w:widowControl/>
      <w:numPr>
        <w:ilvl w:val="0"/>
        <w:numId w:val="15"/>
      </w:numPr>
      <w:tabs>
        <w:tab w:val="left" w:pos="360"/>
      </w:tabs>
      <w:spacing w:after="120" w:line="259" w:lineRule="auto"/>
      <w:ind w:left="720" w:firstLine="0" w:firstLineChars="0"/>
      <w:jc w:val="left"/>
    </w:pPr>
    <w:rPr>
      <w:rFonts w:ascii="Calibri" w:hAnsi="Calibri" w:eastAsia="Calibri"/>
      <w:kern w:val="0"/>
      <w:sz w:val="24"/>
      <w:szCs w:val="22"/>
      <w:lang w:eastAsia="en-US"/>
    </w:rPr>
  </w:style>
  <w:style w:type="paragraph" w:customStyle="1" w:styleId="239">
    <w:name w:val="Bullet abc"/>
    <w:basedOn w:val="102"/>
    <w:qFormat/>
    <w:uiPriority w:val="0"/>
    <w:pPr>
      <w:widowControl/>
      <w:numPr>
        <w:ilvl w:val="0"/>
        <w:numId w:val="16"/>
      </w:numPr>
      <w:tabs>
        <w:tab w:val="left" w:pos="360"/>
      </w:tabs>
      <w:spacing w:after="120" w:line="259" w:lineRule="auto"/>
      <w:ind w:firstLine="0" w:firstLineChars="0"/>
      <w:jc w:val="left"/>
    </w:pPr>
    <w:rPr>
      <w:rFonts w:ascii="Calibri" w:hAnsi="Calibri" w:eastAsia="Calibri"/>
      <w:kern w:val="0"/>
      <w:sz w:val="24"/>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3.xml"/><Relationship Id="rId16" Type="http://schemas.openxmlformats.org/officeDocument/2006/relationships/footer" Target="footer2.xml"/><Relationship Id="rId15" Type="http://schemas.openxmlformats.org/officeDocument/2006/relationships/footer" Target="footer1.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0CF61-AFB6-43FB-8609-C11D2309B139}">
  <ds:schemaRefs/>
</ds:datastoreItem>
</file>

<file path=docProps/app.xml><?xml version="1.0" encoding="utf-8"?>
<Properties xmlns="http://schemas.openxmlformats.org/officeDocument/2006/extended-properties" xmlns:vt="http://schemas.openxmlformats.org/officeDocument/2006/docPropsVTypes">
  <Template>Normal</Template>
  <Pages>116</Pages>
  <Words>62546</Words>
  <Characters>23560</Characters>
  <Lines>196</Lines>
  <Paragraphs>171</Paragraphs>
  <TotalTime>2</TotalTime>
  <ScaleCrop>false</ScaleCrop>
  <LinksUpToDate>false</LinksUpToDate>
  <CharactersWithSpaces>85935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2024-07-07T09:31:00Z</dcterms:created>
  <dc:creator>Yinqiu Tang</dc:creator>
  <cp:lastModifiedBy>Wang Qian</cp:lastModifiedBy>
  <cp:lastPrinted>2015-11-09T10:23:00Z</cp:lastPrinted>
  <dcterms:modified xsi:type="dcterms:W3CDTF">2024-07-26T02:59:17Z</dcterms:modified>
  <dc:title>合同条款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41c926-a14a-41de-ac3f-1745125a8630_Enabled">
    <vt:lpwstr>true</vt:lpwstr>
  </property>
  <property fmtid="{D5CDD505-2E9C-101B-9397-08002B2CF9AE}" pid="3" name="MSIP_Label_2b41c926-a14a-41de-ac3f-1745125a8630_SetDate">
    <vt:lpwstr>2022-08-17T09:55:11Z</vt:lpwstr>
  </property>
  <property fmtid="{D5CDD505-2E9C-101B-9397-08002B2CF9AE}" pid="4" name="MSIP_Label_2b41c926-a14a-41de-ac3f-1745125a8630_Method">
    <vt:lpwstr>Privileged</vt:lpwstr>
  </property>
  <property fmtid="{D5CDD505-2E9C-101B-9397-08002B2CF9AE}" pid="5" name="MSIP_Label_2b41c926-a14a-41de-ac3f-1745125a8630_Name">
    <vt:lpwstr>OFFICIAL USE ONLY</vt:lpwstr>
  </property>
  <property fmtid="{D5CDD505-2E9C-101B-9397-08002B2CF9AE}" pid="6" name="MSIP_Label_2b41c926-a14a-41de-ac3f-1745125a8630_SiteId">
    <vt:lpwstr>31ea652b-27c2-4f52-9f81-91ce42d48e6f</vt:lpwstr>
  </property>
  <property fmtid="{D5CDD505-2E9C-101B-9397-08002B2CF9AE}" pid="7" name="MSIP_Label_2b41c926-a14a-41de-ac3f-1745125a8630_ActionId">
    <vt:lpwstr>344d5ad1-6c6e-4b85-a38a-61644325d06b</vt:lpwstr>
  </property>
  <property fmtid="{D5CDD505-2E9C-101B-9397-08002B2CF9AE}" pid="8" name="MSIP_Label_2b41c926-a14a-41de-ac3f-1745125a8630_ContentBits">
    <vt:lpwstr>1</vt:lpwstr>
  </property>
  <property fmtid="{D5CDD505-2E9C-101B-9397-08002B2CF9AE}" pid="9" name="KSOProductBuildVer">
    <vt:lpwstr>2052-11.8.2.8506</vt:lpwstr>
  </property>
</Properties>
</file>